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8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3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May 8, 2025</w:t>
      </w:r>
    </w:p>
    <w:p>
      <w:pPr>
        <w:spacing w:after="0" w:line="35" w:lineRule="exact"/>
        <w:rPr>
          <w:sz w:val="24"/>
          <w:szCs w:val="24"/>
          <w:color w:val="auto"/>
        </w:rPr>
      </w:pPr>
    </w:p>
    <w:p>
      <w:pPr>
        <w:ind w:left="7540"/>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368300</wp:posOffset>
            </wp:positionH>
            <wp:positionV relativeFrom="paragraph">
              <wp:posOffset>34290</wp:posOffset>
            </wp:positionV>
            <wp:extent cx="556831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68315" cy="1524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88265</wp:posOffset>
            </wp:positionV>
            <wp:extent cx="55683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68315" cy="7620"/>
                    </a:xfrm>
                    <a:prstGeom prst="rect">
                      <a:avLst/>
                    </a:prstGeom>
                    <a:noFill/>
                  </pic:spPr>
                </pic:pic>
              </a:graphicData>
            </a:graphic>
          </wp:anchor>
        </w:drawing>
      </w:r>
    </w:p>
    <w:p>
      <w:pPr>
        <w:spacing w:after="0" w:line="2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2657475</wp:posOffset>
            </wp:positionH>
            <wp:positionV relativeFrom="paragraph">
              <wp:posOffset>39370</wp:posOffset>
            </wp:positionV>
            <wp:extent cx="9899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9965" cy="7620"/>
                    </a:xfrm>
                    <a:prstGeom prst="rect">
                      <a:avLst/>
                    </a:prstGeom>
                    <a:noFill/>
                  </pic:spPr>
                </pic:pic>
              </a:graphicData>
            </a:graphic>
          </wp:anchor>
        </w:drawing>
      </w:r>
    </w:p>
    <w:p>
      <w:pPr>
        <w:spacing w:after="0" w:line="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FORM S-3</w:t>
      </w:r>
    </w:p>
    <w:p>
      <w:pPr>
        <w:spacing w:after="0" w:line="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2657475</wp:posOffset>
            </wp:positionH>
            <wp:positionV relativeFrom="paragraph">
              <wp:posOffset>39370</wp:posOffset>
            </wp:positionV>
            <wp:extent cx="9899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9965" cy="7620"/>
                    </a:xfrm>
                    <a:prstGeom prst="rect">
                      <a:avLst/>
                    </a:prstGeom>
                    <a:noFill/>
                  </pic:spPr>
                </pic:pic>
              </a:graphicData>
            </a:graphic>
          </wp:anchor>
        </w:drawing>
      </w:r>
    </w:p>
    <w:p>
      <w:pPr>
        <w:spacing w:after="0" w:line="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VIATRIS INC.</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2657475</wp:posOffset>
            </wp:positionH>
            <wp:positionV relativeFrom="paragraph">
              <wp:posOffset>50800</wp:posOffset>
            </wp:positionV>
            <wp:extent cx="9899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9965" cy="7620"/>
                    </a:xfrm>
                    <a:prstGeom prst="rect">
                      <a:avLst/>
                    </a:prstGeom>
                    <a:noFill/>
                  </pic:spPr>
                </pic:pic>
              </a:graphicData>
            </a:graphic>
          </wp:anchor>
        </w:drawing>
      </w:r>
    </w:p>
    <w:p>
      <w:pPr>
        <w:spacing w:after="0" w:line="110" w:lineRule="exact"/>
        <w:rPr>
          <w:sz w:val="24"/>
          <w:szCs w:val="24"/>
          <w:color w:val="auto"/>
        </w:rPr>
      </w:pPr>
    </w:p>
    <w:tbl>
      <w:tblPr>
        <w:tblLayout w:type="fixed"/>
        <w:tblInd w:w="1900" w:type="dxa"/>
        <w:tblCellMar>
          <w:top w:w="0" w:type="dxa"/>
          <w:left w:w="0" w:type="dxa"/>
          <w:bottom w:w="0" w:type="dxa"/>
          <w:right w:w="0" w:type="dxa"/>
        </w:tblCellMar>
      </w:tblPr>
      <w:tr>
        <w:trPr>
          <w:trHeight w:val="149"/>
        </w:trPr>
        <w:tc>
          <w:tcPr>
            <w:tcW w:w="3160" w:type="dxa"/>
            <w:vAlign w:val="bottom"/>
          </w:tcPr>
          <w:p>
            <w:pPr>
              <w:jc w:val="center"/>
              <w:ind w:right="145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2780" w:type="dxa"/>
            <w:vAlign w:val="bottom"/>
          </w:tcPr>
          <w:p>
            <w:pPr>
              <w:jc w:val="center"/>
              <w:ind w:left="1457"/>
              <w:spacing w:after="0"/>
              <w:rPr>
                <w:sz w:val="20"/>
                <w:szCs w:val="20"/>
                <w:color w:val="auto"/>
              </w:rPr>
            </w:pPr>
            <w:r>
              <w:rPr>
                <w:rFonts w:ascii="Times New Roman" w:cs="Times New Roman" w:eastAsia="Times New Roman" w:hAnsi="Times New Roman"/>
                <w:sz w:val="13"/>
                <w:szCs w:val="13"/>
                <w:b w:val="1"/>
                <w:bCs w:val="1"/>
                <w:color w:val="auto"/>
                <w:w w:val="98"/>
              </w:rPr>
              <w:t>83-4364296</w:t>
            </w:r>
          </w:p>
        </w:tc>
      </w:tr>
      <w:tr>
        <w:trPr>
          <w:trHeight w:val="134"/>
        </w:trPr>
        <w:tc>
          <w:tcPr>
            <w:tcW w:w="3160" w:type="dxa"/>
            <w:vAlign w:val="bottom"/>
          </w:tcPr>
          <w:p>
            <w:pPr>
              <w:jc w:val="center"/>
              <w:ind w:right="1437"/>
              <w:spacing w:after="0" w:line="134"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780" w:type="dxa"/>
            <w:vAlign w:val="bottom"/>
          </w:tcPr>
          <w:p>
            <w:pPr>
              <w:jc w:val="center"/>
              <w:ind w:left="1437"/>
              <w:spacing w:after="0" w:line="134"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7"/>
        </w:trPr>
        <w:tc>
          <w:tcPr>
            <w:tcW w:w="3160" w:type="dxa"/>
            <w:vAlign w:val="bottom"/>
          </w:tcPr>
          <w:p>
            <w:pPr>
              <w:jc w:val="center"/>
              <w:ind w:right="145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780" w:type="dxa"/>
            <w:vAlign w:val="bottom"/>
          </w:tcPr>
          <w:p>
            <w:pPr>
              <w:jc w:val="center"/>
              <w:ind w:left="1457"/>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r>
    </w:tbl>
    <w:p>
      <w:pPr>
        <w:spacing w:after="0" w:line="6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1000 Mylan Boulevard</w:t>
      </w:r>
    </w:p>
    <w:p>
      <w:pPr>
        <w:jc w:val="center"/>
        <w:ind w:right="20"/>
        <w:spacing w:after="0" w:line="215" w:lineRule="auto"/>
        <w:rPr>
          <w:sz w:val="20"/>
          <w:szCs w:val="20"/>
          <w:color w:val="auto"/>
        </w:rPr>
      </w:pPr>
      <w:r>
        <w:rPr>
          <w:rFonts w:ascii="Times New Roman" w:cs="Times New Roman" w:eastAsia="Times New Roman" w:hAnsi="Times New Roman"/>
          <w:sz w:val="13"/>
          <w:szCs w:val="13"/>
          <w:b w:val="1"/>
          <w:bCs w:val="1"/>
          <w:color w:val="auto"/>
        </w:rPr>
        <w:t>Canonsburg, Pennsylvania 15317</w:t>
      </w:r>
    </w:p>
    <w:p>
      <w:pPr>
        <w:jc w:val="center"/>
        <w:ind w:right="20"/>
        <w:spacing w:after="0" w:line="215" w:lineRule="auto"/>
        <w:rPr>
          <w:sz w:val="20"/>
          <w:szCs w:val="20"/>
          <w:color w:val="auto"/>
        </w:rPr>
      </w:pPr>
      <w:r>
        <w:rPr>
          <w:rFonts w:ascii="Times New Roman" w:cs="Times New Roman" w:eastAsia="Times New Roman" w:hAnsi="Times New Roman"/>
          <w:sz w:val="13"/>
          <w:szCs w:val="13"/>
          <w:b w:val="1"/>
          <w:bCs w:val="1"/>
          <w:color w:val="auto"/>
        </w:rPr>
        <w:t>(724) 514-1800</w:t>
      </w:r>
    </w:p>
    <w:p>
      <w:pPr>
        <w:jc w:val="center"/>
        <w:ind w:right="40"/>
        <w:spacing w:after="0" w:line="216" w:lineRule="auto"/>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(See Table of Additional Registrant Guarantors for information regarding additional registrants)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2657475</wp:posOffset>
            </wp:positionH>
            <wp:positionV relativeFrom="paragraph">
              <wp:posOffset>31115</wp:posOffset>
            </wp:positionV>
            <wp:extent cx="9899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9965" cy="7620"/>
                    </a:xfrm>
                    <a:prstGeom prst="rect">
                      <a:avLst/>
                    </a:prstGeom>
                    <a:noFill/>
                  </pic:spPr>
                </pic:pic>
              </a:graphicData>
            </a:graphic>
          </wp:anchor>
        </w:drawing>
      </w:r>
    </w:p>
    <w:p>
      <w:pPr>
        <w:spacing w:after="0" w:line="9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Brian Roman</w:t>
      </w:r>
    </w:p>
    <w:p>
      <w:pPr>
        <w:jc w:val="center"/>
        <w:ind w:right="40"/>
        <w:spacing w:after="0" w:line="215" w:lineRule="auto"/>
        <w:rPr>
          <w:sz w:val="20"/>
          <w:szCs w:val="20"/>
          <w:color w:val="auto"/>
        </w:rPr>
      </w:pPr>
      <w:r>
        <w:rPr>
          <w:rFonts w:ascii="Times New Roman" w:cs="Times New Roman" w:eastAsia="Times New Roman" w:hAnsi="Times New Roman"/>
          <w:sz w:val="13"/>
          <w:szCs w:val="13"/>
          <w:b w:val="1"/>
          <w:bCs w:val="1"/>
          <w:color w:val="auto"/>
        </w:rPr>
        <w:t>Chief Legal Officer</w:t>
      </w:r>
    </w:p>
    <w:p>
      <w:pPr>
        <w:jc w:val="center"/>
        <w:ind w:right="40"/>
        <w:spacing w:after="0" w:line="215" w:lineRule="auto"/>
        <w:rPr>
          <w:sz w:val="20"/>
          <w:szCs w:val="20"/>
          <w:color w:val="auto"/>
        </w:rPr>
      </w:pPr>
      <w:r>
        <w:rPr>
          <w:rFonts w:ascii="Times New Roman" w:cs="Times New Roman" w:eastAsia="Times New Roman" w:hAnsi="Times New Roman"/>
          <w:sz w:val="13"/>
          <w:szCs w:val="13"/>
          <w:b w:val="1"/>
          <w:bCs w:val="1"/>
          <w:color w:val="auto"/>
        </w:rPr>
        <w:t>Viatris Inc.</w:t>
      </w:r>
    </w:p>
    <w:p>
      <w:pPr>
        <w:jc w:val="center"/>
        <w:ind w:right="40"/>
        <w:spacing w:after="0" w:line="216" w:lineRule="auto"/>
        <w:rPr>
          <w:sz w:val="20"/>
          <w:szCs w:val="20"/>
          <w:color w:val="auto"/>
        </w:rPr>
      </w:pPr>
      <w:r>
        <w:rPr>
          <w:rFonts w:ascii="Times New Roman" w:cs="Times New Roman" w:eastAsia="Times New Roman" w:hAnsi="Times New Roman"/>
          <w:sz w:val="13"/>
          <w:szCs w:val="13"/>
          <w:b w:val="1"/>
          <w:bCs w:val="1"/>
          <w:color w:val="auto"/>
        </w:rPr>
        <w:t>1000 Mylan Boulevard</w:t>
      </w:r>
    </w:p>
    <w:p>
      <w:pPr>
        <w:jc w:val="center"/>
        <w:ind w:right="40"/>
        <w:spacing w:after="0" w:line="215" w:lineRule="auto"/>
        <w:rPr>
          <w:sz w:val="20"/>
          <w:szCs w:val="20"/>
          <w:color w:val="auto"/>
        </w:rPr>
      </w:pPr>
      <w:r>
        <w:rPr>
          <w:rFonts w:ascii="Times New Roman" w:cs="Times New Roman" w:eastAsia="Times New Roman" w:hAnsi="Times New Roman"/>
          <w:sz w:val="13"/>
          <w:szCs w:val="13"/>
          <w:b w:val="1"/>
          <w:bCs w:val="1"/>
          <w:color w:val="auto"/>
        </w:rPr>
        <w:t>Canonsburg, Pennsylvania 15317</w:t>
      </w:r>
    </w:p>
    <w:p>
      <w:pPr>
        <w:jc w:val="center"/>
        <w:ind w:right="20"/>
        <w:spacing w:after="0" w:line="215" w:lineRule="auto"/>
        <w:rPr>
          <w:sz w:val="20"/>
          <w:szCs w:val="20"/>
          <w:color w:val="auto"/>
        </w:rPr>
      </w:pPr>
      <w:r>
        <w:rPr>
          <w:rFonts w:ascii="Times New Roman" w:cs="Times New Roman" w:eastAsia="Times New Roman" w:hAnsi="Times New Roman"/>
          <w:sz w:val="13"/>
          <w:szCs w:val="13"/>
          <w:b w:val="1"/>
          <w:bCs w:val="1"/>
          <w:color w:val="auto"/>
        </w:rPr>
        <w:t>(724) 514-1800</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2657475</wp:posOffset>
            </wp:positionH>
            <wp:positionV relativeFrom="paragraph">
              <wp:posOffset>31115</wp:posOffset>
            </wp:positionV>
            <wp:extent cx="9899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9965" cy="7620"/>
                    </a:xfrm>
                    <a:prstGeom prst="rect">
                      <a:avLst/>
                    </a:prstGeom>
                    <a:noFill/>
                  </pic:spPr>
                </pic:pic>
              </a:graphicData>
            </a:graphic>
          </wp:anchor>
        </w:drawing>
      </w:r>
    </w:p>
    <w:p>
      <w:pPr>
        <w:spacing w:after="0" w:line="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p>
      <w:pPr>
        <w:spacing w:after="0" w:line="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Ryan J. Patrone</w:t>
      </w:r>
    </w:p>
    <w:p>
      <w:pPr>
        <w:jc w:val="center"/>
        <w:ind w:right="40"/>
        <w:spacing w:after="0" w:line="215" w:lineRule="auto"/>
        <w:rPr>
          <w:sz w:val="20"/>
          <w:szCs w:val="20"/>
          <w:color w:val="auto"/>
        </w:rPr>
      </w:pPr>
      <w:r>
        <w:rPr>
          <w:rFonts w:ascii="Times New Roman" w:cs="Times New Roman" w:eastAsia="Times New Roman" w:hAnsi="Times New Roman"/>
          <w:sz w:val="13"/>
          <w:szCs w:val="13"/>
          <w:b w:val="1"/>
          <w:bCs w:val="1"/>
          <w:color w:val="auto"/>
        </w:rPr>
        <w:t>Cravath, Swaine &amp; Moore LLP</w:t>
      </w:r>
    </w:p>
    <w:p>
      <w:pPr>
        <w:jc w:val="center"/>
        <w:ind w:right="40"/>
        <w:spacing w:after="0" w:line="215" w:lineRule="auto"/>
        <w:rPr>
          <w:sz w:val="20"/>
          <w:szCs w:val="20"/>
          <w:color w:val="auto"/>
        </w:rPr>
      </w:pPr>
      <w:r>
        <w:rPr>
          <w:rFonts w:ascii="Times New Roman" w:cs="Times New Roman" w:eastAsia="Times New Roman" w:hAnsi="Times New Roman"/>
          <w:sz w:val="13"/>
          <w:szCs w:val="13"/>
          <w:b w:val="1"/>
          <w:bCs w:val="1"/>
          <w:color w:val="auto"/>
        </w:rPr>
        <w:t>375 Ninth Avenue</w:t>
      </w:r>
    </w:p>
    <w:p>
      <w:pPr>
        <w:jc w:val="center"/>
        <w:ind w:right="40"/>
        <w:spacing w:after="0" w:line="216" w:lineRule="auto"/>
        <w:rPr>
          <w:sz w:val="20"/>
          <w:szCs w:val="20"/>
          <w:color w:val="auto"/>
        </w:rPr>
      </w:pPr>
      <w:r>
        <w:rPr>
          <w:rFonts w:ascii="Times New Roman" w:cs="Times New Roman" w:eastAsia="Times New Roman" w:hAnsi="Times New Roman"/>
          <w:sz w:val="13"/>
          <w:szCs w:val="13"/>
          <w:b w:val="1"/>
          <w:bCs w:val="1"/>
          <w:color w:val="auto"/>
        </w:rPr>
        <w:t>New York, New York 10001</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(212) 474-1000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2657475</wp:posOffset>
            </wp:positionH>
            <wp:positionV relativeFrom="paragraph">
              <wp:posOffset>31115</wp:posOffset>
            </wp:positionV>
            <wp:extent cx="9899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89965" cy="7620"/>
                    </a:xfrm>
                    <a:prstGeom prst="rect">
                      <a:avLst/>
                    </a:prstGeom>
                    <a:noFill/>
                  </pic:spPr>
                </pic:pic>
              </a:graphicData>
            </a:graphic>
          </wp:anchor>
        </w:drawing>
      </w:r>
    </w:p>
    <w:p>
      <w:pPr>
        <w:spacing w:after="0" w:line="95"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3"/>
          <w:szCs w:val="13"/>
          <w:b w:val="1"/>
          <w:bCs w:val="1"/>
          <w:color w:val="auto"/>
        </w:rPr>
        <w:t xml:space="preserve">Approximate date of commencement of proposed sale to the public: </w:t>
      </w:r>
      <w:r>
        <w:rPr>
          <w:rFonts w:ascii="Times New Roman" w:cs="Times New Roman" w:eastAsia="Times New Roman" w:hAnsi="Times New Roman"/>
          <w:sz w:val="13"/>
          <w:szCs w:val="13"/>
          <w:color w:val="auto"/>
        </w:rPr>
        <w:t>From time to time after this registration statement becomes effective.</w:t>
      </w:r>
    </w:p>
    <w:p>
      <w:pPr>
        <w:spacing w:after="0" w:line="17" w:lineRule="exact"/>
        <w:rPr>
          <w:sz w:val="24"/>
          <w:szCs w:val="24"/>
          <w:color w:val="auto"/>
        </w:rPr>
      </w:pPr>
    </w:p>
    <w:p>
      <w:pPr>
        <w:ind w:left="900"/>
        <w:spacing w:after="0" w:line="150"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41" w:lineRule="exact"/>
        <w:rPr>
          <w:sz w:val="24"/>
          <w:szCs w:val="24"/>
          <w:color w:val="auto"/>
        </w:rPr>
      </w:pPr>
    </w:p>
    <w:p>
      <w:pPr>
        <w:jc w:val="both"/>
        <w:ind w:left="580" w:right="600" w:firstLine="325"/>
        <w:spacing w:after="0" w:line="159"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jc w:val="both"/>
        <w:ind w:left="580" w:right="600" w:firstLine="325"/>
        <w:spacing w:after="0" w:line="152"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jc w:val="both"/>
        <w:ind w:left="580" w:right="600" w:firstLine="325"/>
        <w:spacing w:after="0" w:line="159"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jc w:val="both"/>
        <w:ind w:left="580" w:right="600" w:firstLine="325"/>
        <w:spacing w:after="0" w:line="152"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jc w:val="both"/>
        <w:ind w:left="580" w:right="600" w:firstLine="325"/>
        <w:spacing w:after="0" w:line="159"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jc w:val="both"/>
        <w:ind w:left="580" w:right="600" w:firstLine="325"/>
        <w:spacing w:after="0" w:line="22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580" w:type="dxa"/>
        <w:tblCellMar>
          <w:top w:w="0" w:type="dxa"/>
          <w:left w:w="0" w:type="dxa"/>
          <w:bottom w:w="0" w:type="dxa"/>
          <w:right w:w="0" w:type="dxa"/>
        </w:tblCellMar>
      </w:tblP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720" w:type="dxa"/>
            <w:vAlign w:val="bottom"/>
          </w:tcPr>
          <w:p>
            <w:pPr>
              <w:ind w:left="1480"/>
              <w:spacing w:after="0" w:line="131" w:lineRule="exact"/>
              <w:rPr>
                <w:sz w:val="20"/>
                <w:szCs w:val="20"/>
                <w:color w:val="auto"/>
              </w:rPr>
            </w:pPr>
            <w:r>
              <w:rPr>
                <w:rFonts w:ascii="MS PGothic" w:cs="MS PGothic" w:eastAsia="MS PGothic" w:hAnsi="MS PGothic"/>
                <w:sz w:val="13"/>
                <w:szCs w:val="13"/>
                <w:color w:val="auto"/>
              </w:rPr>
              <w:t>☒</w:t>
            </w:r>
          </w:p>
        </w:tc>
        <w:tc>
          <w:tcPr>
            <w:tcW w:w="2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Accelerated filer</w:t>
            </w:r>
          </w:p>
        </w:tc>
        <w:tc>
          <w:tcPr>
            <w:tcW w:w="1480" w:type="dxa"/>
            <w:vAlign w:val="bottom"/>
          </w:tcPr>
          <w:p>
            <w:pPr>
              <w:ind w:left="13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6"/>
        </w:trPr>
        <w:tc>
          <w:tcPr>
            <w:tcW w:w="262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Non-accelerated filer</w:t>
            </w:r>
          </w:p>
        </w:tc>
        <w:tc>
          <w:tcPr>
            <w:tcW w:w="1720" w:type="dxa"/>
            <w:vAlign w:val="bottom"/>
          </w:tcPr>
          <w:p>
            <w:pPr>
              <w:ind w:left="1480"/>
              <w:spacing w:after="0" w:line="131" w:lineRule="exact"/>
              <w:rPr>
                <w:sz w:val="20"/>
                <w:szCs w:val="20"/>
                <w:color w:val="auto"/>
              </w:rPr>
            </w:pPr>
            <w:r>
              <w:rPr>
                <w:rFonts w:ascii="MS PGothic" w:cs="MS PGothic" w:eastAsia="MS PGothic" w:hAnsi="MS PGothic"/>
                <w:sz w:val="13"/>
                <w:szCs w:val="13"/>
                <w:color w:val="auto"/>
              </w:rPr>
              <w:t>☐</w:t>
            </w:r>
          </w:p>
        </w:tc>
        <w:tc>
          <w:tcPr>
            <w:tcW w:w="2880" w:type="dxa"/>
            <w:vAlign w:val="bottom"/>
          </w:tcPr>
          <w:p>
            <w:pPr>
              <w:ind w:left="140"/>
              <w:spacing w:after="0" w:line="146" w:lineRule="exact"/>
              <w:rPr>
                <w:sz w:val="20"/>
                <w:szCs w:val="20"/>
                <w:color w:val="auto"/>
              </w:rPr>
            </w:pPr>
            <w:r>
              <w:rPr>
                <w:rFonts w:ascii="Times New Roman" w:cs="Times New Roman" w:eastAsia="Times New Roman" w:hAnsi="Times New Roman"/>
                <w:sz w:val="13"/>
                <w:szCs w:val="13"/>
                <w:color w:val="auto"/>
              </w:rPr>
              <w:t>Smaller reporting company</w:t>
            </w:r>
          </w:p>
        </w:tc>
        <w:tc>
          <w:tcPr>
            <w:tcW w:w="1480" w:type="dxa"/>
            <w:vAlign w:val="bottom"/>
          </w:tcPr>
          <w:p>
            <w:pPr>
              <w:ind w:left="13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4"/>
        </w:trPr>
        <w:tc>
          <w:tcPr>
            <w:tcW w:w="2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Emerging growth company</w:t>
            </w:r>
          </w:p>
        </w:tc>
        <w:tc>
          <w:tcPr>
            <w:tcW w:w="1480" w:type="dxa"/>
            <w:vAlign w:val="bottom"/>
          </w:tcPr>
          <w:p>
            <w:pPr>
              <w:ind w:left="13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37" w:lineRule="exact"/>
        <w:rPr>
          <w:sz w:val="24"/>
          <w:szCs w:val="24"/>
          <w:color w:val="auto"/>
        </w:rPr>
      </w:pPr>
    </w:p>
    <w:p>
      <w:pPr>
        <w:ind w:left="580" w:right="600" w:firstLine="325"/>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2657475</wp:posOffset>
            </wp:positionH>
            <wp:positionV relativeFrom="paragraph">
              <wp:posOffset>17780</wp:posOffset>
            </wp:positionV>
            <wp:extent cx="9899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89965" cy="7620"/>
                    </a:xfrm>
                    <a:prstGeom prst="rect">
                      <a:avLst/>
                    </a:prstGeom>
                    <a:noFill/>
                  </pic:spPr>
                </pic:pic>
              </a:graphicData>
            </a:graphic>
          </wp:anchor>
        </w:drawing>
      </w:r>
    </w:p>
    <w:p>
      <w:pPr>
        <w:spacing w:after="0" w:line="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TABLE OF ADDITIONAL REGISTRANT GUARANTORS</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58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Address, including zip code,</w:t>
            </w:r>
          </w:p>
        </w:tc>
        <w:tc>
          <w:tcPr>
            <w:tcW w:w="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34"/>
        </w:trPr>
        <w:tc>
          <w:tcPr>
            <w:tcW w:w="580" w:type="dxa"/>
            <w:vAlign w:val="bottom"/>
          </w:tcPr>
          <w:p>
            <w:pPr>
              <w:spacing w:after="0"/>
              <w:rPr>
                <w:sz w:val="11"/>
                <w:szCs w:val="11"/>
                <w:color w:val="auto"/>
              </w:rPr>
            </w:pPr>
          </w:p>
        </w:tc>
        <w:tc>
          <w:tcPr>
            <w:tcW w:w="13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200" w:type="dxa"/>
            <w:vAlign w:val="bottom"/>
          </w:tcPr>
          <w:p>
            <w:pPr>
              <w:spacing w:after="0"/>
              <w:rPr>
                <w:sz w:val="11"/>
                <w:szCs w:val="11"/>
                <w:color w:val="auto"/>
              </w:rPr>
            </w:pPr>
          </w:p>
        </w:tc>
        <w:tc>
          <w:tcPr>
            <w:tcW w:w="13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State or other</w:t>
            </w:r>
          </w:p>
        </w:tc>
        <w:tc>
          <w:tcPr>
            <w:tcW w:w="200" w:type="dxa"/>
            <w:vAlign w:val="bottom"/>
          </w:tcPr>
          <w:p>
            <w:pPr>
              <w:spacing w:after="0"/>
              <w:rPr>
                <w:sz w:val="11"/>
                <w:szCs w:val="11"/>
                <w:color w:val="auto"/>
              </w:rPr>
            </w:pPr>
          </w:p>
        </w:tc>
        <w:tc>
          <w:tcPr>
            <w:tcW w:w="13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I.R.S.</w:t>
            </w:r>
          </w:p>
        </w:tc>
        <w:tc>
          <w:tcPr>
            <w:tcW w:w="200" w:type="dxa"/>
            <w:vAlign w:val="bottom"/>
          </w:tcPr>
          <w:p>
            <w:pPr>
              <w:spacing w:after="0"/>
              <w:rPr>
                <w:sz w:val="11"/>
                <w:szCs w:val="11"/>
                <w:color w:val="auto"/>
              </w:rPr>
            </w:pPr>
          </w:p>
        </w:tc>
        <w:tc>
          <w:tcPr>
            <w:tcW w:w="17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and telephone number,</w:t>
            </w:r>
          </w:p>
        </w:tc>
        <w:tc>
          <w:tcPr>
            <w:tcW w:w="180" w:type="dxa"/>
            <w:vAlign w:val="bottom"/>
          </w:tcPr>
          <w:p>
            <w:pPr>
              <w:spacing w:after="0"/>
              <w:rPr>
                <w:sz w:val="11"/>
                <w:szCs w:val="11"/>
                <w:color w:val="auto"/>
              </w:rPr>
            </w:pPr>
          </w:p>
        </w:tc>
        <w:tc>
          <w:tcPr>
            <w:tcW w:w="21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Name, address, including zip</w:t>
            </w:r>
          </w:p>
        </w:tc>
        <w:tc>
          <w:tcPr>
            <w:tcW w:w="600" w:type="dxa"/>
            <w:vAlign w:val="bottom"/>
          </w:tcPr>
          <w:p>
            <w:pPr>
              <w:spacing w:after="0"/>
              <w:rPr>
                <w:sz w:val="11"/>
                <w:szCs w:val="11"/>
                <w:color w:val="auto"/>
              </w:rPr>
            </w:pPr>
          </w:p>
        </w:tc>
      </w:tr>
      <w:tr>
        <w:trPr>
          <w:trHeight w:val="134"/>
        </w:trPr>
        <w:tc>
          <w:tcPr>
            <w:tcW w:w="580" w:type="dxa"/>
            <w:vAlign w:val="bottom"/>
          </w:tcPr>
          <w:p>
            <w:pPr>
              <w:spacing w:after="0"/>
              <w:rPr>
                <w:sz w:val="11"/>
                <w:szCs w:val="11"/>
                <w:color w:val="auto"/>
              </w:rPr>
            </w:pPr>
          </w:p>
        </w:tc>
        <w:tc>
          <w:tcPr>
            <w:tcW w:w="13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registrant</w:t>
            </w:r>
          </w:p>
        </w:tc>
        <w:tc>
          <w:tcPr>
            <w:tcW w:w="200" w:type="dxa"/>
            <w:vAlign w:val="bottom"/>
          </w:tcPr>
          <w:p>
            <w:pPr>
              <w:spacing w:after="0"/>
              <w:rPr>
                <w:sz w:val="11"/>
                <w:szCs w:val="11"/>
                <w:color w:val="auto"/>
              </w:rPr>
            </w:pPr>
          </w:p>
        </w:tc>
        <w:tc>
          <w:tcPr>
            <w:tcW w:w="13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jurisdiction of</w:t>
            </w:r>
          </w:p>
        </w:tc>
        <w:tc>
          <w:tcPr>
            <w:tcW w:w="200" w:type="dxa"/>
            <w:vAlign w:val="bottom"/>
          </w:tcPr>
          <w:p>
            <w:pPr>
              <w:spacing w:after="0"/>
              <w:rPr>
                <w:sz w:val="11"/>
                <w:szCs w:val="11"/>
                <w:color w:val="auto"/>
              </w:rPr>
            </w:pPr>
          </w:p>
        </w:tc>
        <w:tc>
          <w:tcPr>
            <w:tcW w:w="13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Employer</w:t>
            </w:r>
          </w:p>
        </w:tc>
        <w:tc>
          <w:tcPr>
            <w:tcW w:w="200" w:type="dxa"/>
            <w:vAlign w:val="bottom"/>
          </w:tcPr>
          <w:p>
            <w:pPr>
              <w:spacing w:after="0"/>
              <w:rPr>
                <w:sz w:val="11"/>
                <w:szCs w:val="11"/>
                <w:color w:val="auto"/>
              </w:rPr>
            </w:pPr>
          </w:p>
        </w:tc>
        <w:tc>
          <w:tcPr>
            <w:tcW w:w="17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including area code, of</w:t>
            </w:r>
          </w:p>
        </w:tc>
        <w:tc>
          <w:tcPr>
            <w:tcW w:w="180" w:type="dxa"/>
            <w:vAlign w:val="bottom"/>
          </w:tcPr>
          <w:p>
            <w:pPr>
              <w:spacing w:after="0"/>
              <w:rPr>
                <w:sz w:val="11"/>
                <w:szCs w:val="11"/>
                <w:color w:val="auto"/>
              </w:rPr>
            </w:pPr>
          </w:p>
        </w:tc>
        <w:tc>
          <w:tcPr>
            <w:tcW w:w="21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code, and telephone number,</w:t>
            </w:r>
          </w:p>
        </w:tc>
        <w:tc>
          <w:tcPr>
            <w:tcW w:w="600" w:type="dxa"/>
            <w:vAlign w:val="bottom"/>
          </w:tcPr>
          <w:p>
            <w:pPr>
              <w:spacing w:after="0"/>
              <w:rPr>
                <w:sz w:val="11"/>
                <w:szCs w:val="11"/>
                <w:color w:val="auto"/>
              </w:rPr>
            </w:pPr>
          </w:p>
        </w:tc>
      </w:tr>
      <w:tr>
        <w:trPr>
          <w:trHeight w:val="134"/>
        </w:trPr>
        <w:tc>
          <w:tcPr>
            <w:tcW w:w="580" w:type="dxa"/>
            <w:vAlign w:val="bottom"/>
          </w:tcPr>
          <w:p>
            <w:pPr>
              <w:spacing w:after="0"/>
              <w:rPr>
                <w:sz w:val="11"/>
                <w:szCs w:val="11"/>
                <w:color w:val="auto"/>
              </w:rPr>
            </w:pPr>
          </w:p>
        </w:tc>
        <w:tc>
          <w:tcPr>
            <w:tcW w:w="13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guarantor as</w:t>
            </w:r>
          </w:p>
        </w:tc>
        <w:tc>
          <w:tcPr>
            <w:tcW w:w="200" w:type="dxa"/>
            <w:vAlign w:val="bottom"/>
          </w:tcPr>
          <w:p>
            <w:pPr>
              <w:spacing w:after="0"/>
              <w:rPr>
                <w:sz w:val="11"/>
                <w:szCs w:val="11"/>
                <w:color w:val="auto"/>
              </w:rPr>
            </w:pPr>
          </w:p>
        </w:tc>
        <w:tc>
          <w:tcPr>
            <w:tcW w:w="13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incorporation or</w:t>
            </w:r>
          </w:p>
        </w:tc>
        <w:tc>
          <w:tcPr>
            <w:tcW w:w="200" w:type="dxa"/>
            <w:vAlign w:val="bottom"/>
          </w:tcPr>
          <w:p>
            <w:pPr>
              <w:spacing w:after="0"/>
              <w:rPr>
                <w:sz w:val="11"/>
                <w:szCs w:val="11"/>
                <w:color w:val="auto"/>
              </w:rPr>
            </w:pPr>
          </w:p>
        </w:tc>
        <w:tc>
          <w:tcPr>
            <w:tcW w:w="13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Identification</w:t>
            </w:r>
          </w:p>
        </w:tc>
        <w:tc>
          <w:tcPr>
            <w:tcW w:w="200" w:type="dxa"/>
            <w:vAlign w:val="bottom"/>
          </w:tcPr>
          <w:p>
            <w:pPr>
              <w:spacing w:after="0"/>
              <w:rPr>
                <w:sz w:val="11"/>
                <w:szCs w:val="11"/>
                <w:color w:val="auto"/>
              </w:rPr>
            </w:pPr>
          </w:p>
        </w:tc>
        <w:tc>
          <w:tcPr>
            <w:tcW w:w="17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registrant’s principal</w:t>
            </w:r>
          </w:p>
        </w:tc>
        <w:tc>
          <w:tcPr>
            <w:tcW w:w="180" w:type="dxa"/>
            <w:vAlign w:val="bottom"/>
          </w:tcPr>
          <w:p>
            <w:pPr>
              <w:spacing w:after="0"/>
              <w:rPr>
                <w:sz w:val="11"/>
                <w:szCs w:val="11"/>
                <w:color w:val="auto"/>
              </w:rPr>
            </w:pPr>
          </w:p>
        </w:tc>
        <w:tc>
          <w:tcPr>
            <w:tcW w:w="21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including area code, of agent</w:t>
            </w:r>
          </w:p>
        </w:tc>
        <w:tc>
          <w:tcPr>
            <w:tcW w:w="600" w:type="dxa"/>
            <w:vAlign w:val="bottom"/>
          </w:tcPr>
          <w:p>
            <w:pPr>
              <w:spacing w:after="0"/>
              <w:rPr>
                <w:sz w:val="11"/>
                <w:szCs w:val="11"/>
                <w:color w:val="auto"/>
              </w:rPr>
            </w:pPr>
          </w:p>
        </w:tc>
      </w:tr>
      <w:tr>
        <w:trPr>
          <w:trHeight w:val="152"/>
        </w:trPr>
        <w:tc>
          <w:tcPr>
            <w:tcW w:w="580" w:type="dxa"/>
            <w:vAlign w:val="bottom"/>
          </w:tcPr>
          <w:p>
            <w:pPr>
              <w:spacing w:after="0"/>
              <w:rPr>
                <w:sz w:val="13"/>
                <w:szCs w:val="13"/>
                <w:color w:val="auto"/>
              </w:rPr>
            </w:pPr>
          </w:p>
        </w:tc>
        <w:tc>
          <w:tcPr>
            <w:tcW w:w="1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specified in its charter</w:t>
            </w:r>
          </w:p>
        </w:tc>
        <w:tc>
          <w:tcPr>
            <w:tcW w:w="200" w:type="dxa"/>
            <w:vAlign w:val="bottom"/>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organization</w:t>
            </w:r>
          </w:p>
        </w:tc>
        <w:tc>
          <w:tcPr>
            <w:tcW w:w="200" w:type="dxa"/>
            <w:vAlign w:val="bottom"/>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200" w:type="dxa"/>
            <w:vAlign w:val="bottom"/>
          </w:tcPr>
          <w:p>
            <w:pPr>
              <w:spacing w:after="0"/>
              <w:rPr>
                <w:sz w:val="13"/>
                <w:szCs w:val="13"/>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executive offices</w:t>
            </w:r>
          </w:p>
        </w:tc>
        <w:tc>
          <w:tcPr>
            <w:tcW w:w="180" w:type="dxa"/>
            <w:vAlign w:val="bottom"/>
          </w:tcPr>
          <w:p>
            <w:pPr>
              <w:spacing w:after="0"/>
              <w:rPr>
                <w:sz w:val="13"/>
                <w:szCs w:val="13"/>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for service</w:t>
            </w:r>
          </w:p>
        </w:tc>
        <w:tc>
          <w:tcPr>
            <w:tcW w:w="600" w:type="dxa"/>
            <w:vAlign w:val="bottom"/>
          </w:tcPr>
          <w:p>
            <w:pPr>
              <w:spacing w:after="0"/>
              <w:rPr>
                <w:sz w:val="13"/>
                <w:szCs w:val="13"/>
                <w:color w:val="auto"/>
              </w:rPr>
            </w:pPr>
          </w:p>
        </w:tc>
      </w:tr>
      <w:tr>
        <w:trPr>
          <w:trHeight w:val="109"/>
        </w:trPr>
        <w:tc>
          <w:tcPr>
            <w:tcW w:w="580" w:type="dxa"/>
            <w:vAlign w:val="bottom"/>
          </w:tcPr>
          <w:p>
            <w:pPr>
              <w:spacing w:after="0"/>
              <w:rPr>
                <w:sz w:val="9"/>
                <w:szCs w:val="9"/>
                <w:color w:val="auto"/>
              </w:rPr>
            </w:pPr>
          </w:p>
        </w:tc>
        <w:tc>
          <w:tcPr>
            <w:tcW w:w="136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Mylan Inc.</w:t>
            </w:r>
          </w:p>
        </w:tc>
        <w:tc>
          <w:tcPr>
            <w:tcW w:w="200" w:type="dxa"/>
            <w:vAlign w:val="bottom"/>
          </w:tcPr>
          <w:p>
            <w:pPr>
              <w:spacing w:after="0"/>
              <w:rPr>
                <w:sz w:val="9"/>
                <w:szCs w:val="9"/>
                <w:color w:val="auto"/>
              </w:rPr>
            </w:pPr>
          </w:p>
        </w:tc>
        <w:tc>
          <w:tcPr>
            <w:tcW w:w="13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Pennsylvania</w:t>
            </w:r>
          </w:p>
        </w:tc>
        <w:tc>
          <w:tcPr>
            <w:tcW w:w="200" w:type="dxa"/>
            <w:vAlign w:val="bottom"/>
          </w:tcPr>
          <w:p>
            <w:pPr>
              <w:spacing w:after="0"/>
              <w:rPr>
                <w:sz w:val="9"/>
                <w:szCs w:val="9"/>
                <w:color w:val="auto"/>
              </w:rPr>
            </w:pPr>
          </w:p>
        </w:tc>
        <w:tc>
          <w:tcPr>
            <w:tcW w:w="13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25-1211621</w:t>
            </w:r>
          </w:p>
        </w:tc>
        <w:tc>
          <w:tcPr>
            <w:tcW w:w="200" w:type="dxa"/>
            <w:vAlign w:val="bottom"/>
          </w:tcPr>
          <w:p>
            <w:pPr>
              <w:spacing w:after="0"/>
              <w:rPr>
                <w:sz w:val="9"/>
                <w:szCs w:val="9"/>
                <w:color w:val="auto"/>
              </w:rPr>
            </w:pPr>
          </w:p>
        </w:tc>
        <w:tc>
          <w:tcPr>
            <w:tcW w:w="17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1000 Mylan Boulevard</w:t>
            </w:r>
          </w:p>
        </w:tc>
        <w:tc>
          <w:tcPr>
            <w:tcW w:w="180" w:type="dxa"/>
            <w:vAlign w:val="bottom"/>
          </w:tcPr>
          <w:p>
            <w:pPr>
              <w:spacing w:after="0"/>
              <w:rPr>
                <w:sz w:val="9"/>
                <w:szCs w:val="9"/>
                <w:color w:val="auto"/>
              </w:rPr>
            </w:pPr>
          </w:p>
        </w:tc>
        <w:tc>
          <w:tcPr>
            <w:tcW w:w="21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c/o CT Corporation System,</w:t>
            </w:r>
          </w:p>
        </w:tc>
        <w:tc>
          <w:tcPr>
            <w:tcW w:w="600" w:type="dxa"/>
            <w:vAlign w:val="bottom"/>
          </w:tcPr>
          <w:p>
            <w:pPr>
              <w:spacing w:after="0"/>
              <w:rPr>
                <w:sz w:val="9"/>
                <w:szCs w:val="9"/>
                <w:color w:val="auto"/>
              </w:rPr>
            </w:pPr>
          </w:p>
        </w:tc>
      </w:tr>
      <w:tr>
        <w:trPr>
          <w:trHeight w:val="134"/>
        </w:trPr>
        <w:tc>
          <w:tcPr>
            <w:tcW w:w="5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color w:val="auto"/>
                <w:w w:val="96"/>
              </w:rPr>
              <w:t>Canonsburg,</w:t>
            </w:r>
          </w:p>
        </w:tc>
        <w:tc>
          <w:tcPr>
            <w:tcW w:w="180" w:type="dxa"/>
            <w:vAlign w:val="bottom"/>
          </w:tcPr>
          <w:p>
            <w:pPr>
              <w:spacing w:after="0"/>
              <w:rPr>
                <w:sz w:val="11"/>
                <w:szCs w:val="11"/>
                <w:color w:val="auto"/>
              </w:rPr>
            </w:pPr>
          </w:p>
        </w:tc>
        <w:tc>
          <w:tcPr>
            <w:tcW w:w="214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color w:val="auto"/>
                <w:w w:val="95"/>
              </w:rPr>
              <w:t>Washington County</w:t>
            </w:r>
          </w:p>
        </w:tc>
        <w:tc>
          <w:tcPr>
            <w:tcW w:w="600" w:type="dxa"/>
            <w:vAlign w:val="bottom"/>
          </w:tcPr>
          <w:p>
            <w:pPr>
              <w:spacing w:after="0"/>
              <w:rPr>
                <w:sz w:val="11"/>
                <w:szCs w:val="11"/>
                <w:color w:val="auto"/>
              </w:rPr>
            </w:pPr>
          </w:p>
        </w:tc>
      </w:tr>
      <w:tr>
        <w:trPr>
          <w:trHeight w:val="165"/>
        </w:trPr>
        <w:tc>
          <w:tcPr>
            <w:tcW w:w="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Pennsylvania 15317</w:t>
            </w:r>
          </w:p>
        </w:tc>
        <w:tc>
          <w:tcPr>
            <w:tcW w:w="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37"/>
        </w:trPr>
        <w:tc>
          <w:tcPr>
            <w:tcW w:w="19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Mylan II B.V.</w:t>
            </w:r>
          </w:p>
        </w:tc>
        <w:tc>
          <w:tcPr>
            <w:tcW w:w="2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Netherlands</w:t>
            </w:r>
          </w:p>
        </w:tc>
        <w:tc>
          <w:tcPr>
            <w:tcW w:w="2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9"/>
              </w:rPr>
              <w:t>N/A</w:t>
            </w:r>
          </w:p>
        </w:tc>
        <w:tc>
          <w:tcPr>
            <w:tcW w:w="20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Krijgsman 20</w:t>
            </w:r>
          </w:p>
        </w:tc>
        <w:tc>
          <w:tcPr>
            <w:tcW w:w="18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Corporation Service Company</w:t>
            </w:r>
          </w:p>
        </w:tc>
        <w:tc>
          <w:tcPr>
            <w:tcW w:w="600" w:type="dxa"/>
            <w:vAlign w:val="bottom"/>
          </w:tcPr>
          <w:p>
            <w:pPr>
              <w:spacing w:after="0"/>
              <w:rPr>
                <w:sz w:val="20"/>
                <w:szCs w:val="20"/>
                <w:color w:val="auto"/>
              </w:rPr>
            </w:pPr>
          </w:p>
        </w:tc>
      </w:tr>
      <w:tr>
        <w:trPr>
          <w:trHeight w:val="134"/>
        </w:trPr>
        <w:tc>
          <w:tcPr>
            <w:tcW w:w="5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color w:val="auto"/>
                <w:w w:val="96"/>
              </w:rPr>
              <w:t>1186 DM Amstelveen</w:t>
            </w:r>
          </w:p>
        </w:tc>
        <w:tc>
          <w:tcPr>
            <w:tcW w:w="180" w:type="dxa"/>
            <w:vAlign w:val="bottom"/>
          </w:tcPr>
          <w:p>
            <w:pPr>
              <w:spacing w:after="0"/>
              <w:rPr>
                <w:sz w:val="11"/>
                <w:szCs w:val="11"/>
                <w:color w:val="auto"/>
              </w:rPr>
            </w:pPr>
          </w:p>
        </w:tc>
        <w:tc>
          <w:tcPr>
            <w:tcW w:w="214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color w:val="auto"/>
                <w:w w:val="96"/>
              </w:rPr>
              <w:t>19 West 44th Street, Suite 200,</w:t>
            </w:r>
          </w:p>
        </w:tc>
        <w:tc>
          <w:tcPr>
            <w:tcW w:w="600" w:type="dxa"/>
            <w:vAlign w:val="bottom"/>
          </w:tcPr>
          <w:p>
            <w:pPr>
              <w:spacing w:after="0"/>
              <w:rPr>
                <w:sz w:val="11"/>
                <w:szCs w:val="11"/>
                <w:color w:val="auto"/>
              </w:rPr>
            </w:pPr>
          </w:p>
        </w:tc>
      </w:tr>
      <w:tr>
        <w:trPr>
          <w:trHeight w:val="165"/>
        </w:trPr>
        <w:tc>
          <w:tcPr>
            <w:tcW w:w="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Amsterdam, the Netherlands</w:t>
            </w:r>
          </w:p>
        </w:tc>
        <w:tc>
          <w:tcPr>
            <w:tcW w:w="18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New York, NY 10036</w:t>
            </w:r>
          </w:p>
        </w:tc>
        <w:tc>
          <w:tcPr>
            <w:tcW w:w="600" w:type="dxa"/>
            <w:vAlign w:val="bottom"/>
          </w:tcPr>
          <w:p>
            <w:pPr>
              <w:spacing w:after="0"/>
              <w:rPr>
                <w:sz w:val="14"/>
                <w:szCs w:val="14"/>
                <w:color w:val="auto"/>
              </w:rPr>
            </w:pPr>
          </w:p>
        </w:tc>
      </w:tr>
      <w:tr>
        <w:trPr>
          <w:trHeight w:val="237"/>
        </w:trPr>
        <w:tc>
          <w:tcPr>
            <w:tcW w:w="1940" w:type="dxa"/>
            <w:vAlign w:val="bottom"/>
            <w:gridSpan w:val="2"/>
          </w:tcPr>
          <w:p>
            <w:pPr>
              <w:jc w:val="center"/>
              <w:ind w:left="477"/>
              <w:spacing w:after="0"/>
              <w:rPr>
                <w:sz w:val="20"/>
                <w:szCs w:val="20"/>
                <w:color w:val="auto"/>
              </w:rPr>
            </w:pPr>
            <w:r>
              <w:rPr>
                <w:rFonts w:ascii="Times New Roman" w:cs="Times New Roman" w:eastAsia="Times New Roman" w:hAnsi="Times New Roman"/>
                <w:sz w:val="13"/>
                <w:szCs w:val="13"/>
                <w:color w:val="auto"/>
                <w:w w:val="97"/>
              </w:rPr>
              <w:t>Utah Acquisition Sub Inc.</w:t>
            </w:r>
          </w:p>
        </w:tc>
        <w:tc>
          <w:tcPr>
            <w:tcW w:w="2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Delaware</w:t>
            </w:r>
          </w:p>
        </w:tc>
        <w:tc>
          <w:tcPr>
            <w:tcW w:w="1560" w:type="dxa"/>
            <w:vAlign w:val="bottom"/>
            <w:gridSpan w:val="2"/>
          </w:tcPr>
          <w:p>
            <w:pPr>
              <w:jc w:val="center"/>
              <w:ind w:left="137"/>
              <w:spacing w:after="0"/>
              <w:rPr>
                <w:sz w:val="20"/>
                <w:szCs w:val="20"/>
                <w:color w:val="auto"/>
              </w:rPr>
            </w:pPr>
            <w:r>
              <w:rPr>
                <w:rFonts w:ascii="Times New Roman" w:cs="Times New Roman" w:eastAsia="Times New Roman" w:hAnsi="Times New Roman"/>
                <w:sz w:val="13"/>
                <w:szCs w:val="13"/>
                <w:color w:val="auto"/>
                <w:w w:val="95"/>
              </w:rPr>
              <w:t>84-4554869</w:t>
            </w:r>
          </w:p>
        </w:tc>
        <w:tc>
          <w:tcPr>
            <w:tcW w:w="20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1000 Mylan Boulevard</w:t>
            </w:r>
          </w:p>
        </w:tc>
        <w:tc>
          <w:tcPr>
            <w:tcW w:w="18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The Corporation Trust Company</w:t>
            </w:r>
          </w:p>
        </w:tc>
        <w:tc>
          <w:tcPr>
            <w:tcW w:w="600" w:type="dxa"/>
            <w:vAlign w:val="bottom"/>
          </w:tcPr>
          <w:p>
            <w:pPr>
              <w:spacing w:after="0"/>
              <w:rPr>
                <w:sz w:val="20"/>
                <w:szCs w:val="20"/>
                <w:color w:val="auto"/>
              </w:rPr>
            </w:pPr>
          </w:p>
        </w:tc>
      </w:tr>
      <w:tr>
        <w:trPr>
          <w:trHeight w:val="134"/>
        </w:trPr>
        <w:tc>
          <w:tcPr>
            <w:tcW w:w="5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color w:val="auto"/>
                <w:w w:val="98"/>
              </w:rPr>
              <w:t>Canonsburg, Pennsylvania</w:t>
            </w:r>
          </w:p>
        </w:tc>
        <w:tc>
          <w:tcPr>
            <w:tcW w:w="180" w:type="dxa"/>
            <w:vAlign w:val="bottom"/>
          </w:tcPr>
          <w:p>
            <w:pPr>
              <w:spacing w:after="0"/>
              <w:rPr>
                <w:sz w:val="11"/>
                <w:szCs w:val="11"/>
                <w:color w:val="auto"/>
              </w:rPr>
            </w:pPr>
          </w:p>
        </w:tc>
        <w:tc>
          <w:tcPr>
            <w:tcW w:w="214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color w:val="auto"/>
                <w:w w:val="97"/>
              </w:rPr>
              <w:t>Corporation Trust Center</w:t>
            </w:r>
          </w:p>
        </w:tc>
        <w:tc>
          <w:tcPr>
            <w:tcW w:w="600" w:type="dxa"/>
            <w:vAlign w:val="bottom"/>
          </w:tcPr>
          <w:p>
            <w:pPr>
              <w:spacing w:after="0"/>
              <w:rPr>
                <w:sz w:val="11"/>
                <w:szCs w:val="11"/>
                <w:color w:val="auto"/>
              </w:rPr>
            </w:pPr>
          </w:p>
        </w:tc>
      </w:tr>
      <w:tr>
        <w:trPr>
          <w:trHeight w:val="134"/>
        </w:trPr>
        <w:tc>
          <w:tcPr>
            <w:tcW w:w="5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60" w:type="dxa"/>
            <w:vAlign w:val="bottom"/>
            <w:gridSpan w:val="2"/>
          </w:tcPr>
          <w:p>
            <w:pPr>
              <w:jc w:val="center"/>
              <w:ind w:left="137"/>
              <w:spacing w:after="0" w:line="134" w:lineRule="exact"/>
              <w:rPr>
                <w:sz w:val="20"/>
                <w:szCs w:val="20"/>
                <w:color w:val="auto"/>
              </w:rPr>
            </w:pPr>
            <w:r>
              <w:rPr>
                <w:rFonts w:ascii="Times New Roman" w:cs="Times New Roman" w:eastAsia="Times New Roman" w:hAnsi="Times New Roman"/>
                <w:sz w:val="13"/>
                <w:szCs w:val="13"/>
                <w:color w:val="auto"/>
                <w:w w:val="98"/>
              </w:rPr>
              <w:t>15317</w:t>
            </w:r>
          </w:p>
        </w:tc>
        <w:tc>
          <w:tcPr>
            <w:tcW w:w="180" w:type="dxa"/>
            <w:vAlign w:val="bottom"/>
          </w:tcPr>
          <w:p>
            <w:pPr>
              <w:spacing w:after="0"/>
              <w:rPr>
                <w:sz w:val="11"/>
                <w:szCs w:val="11"/>
                <w:color w:val="auto"/>
              </w:rPr>
            </w:pPr>
          </w:p>
        </w:tc>
        <w:tc>
          <w:tcPr>
            <w:tcW w:w="214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color w:val="auto"/>
                <w:w w:val="98"/>
              </w:rPr>
              <w:t>1209 Orange Street</w:t>
            </w:r>
          </w:p>
        </w:tc>
        <w:tc>
          <w:tcPr>
            <w:tcW w:w="600" w:type="dxa"/>
            <w:vAlign w:val="bottom"/>
          </w:tcPr>
          <w:p>
            <w:pPr>
              <w:spacing w:after="0"/>
              <w:rPr>
                <w:sz w:val="11"/>
                <w:szCs w:val="11"/>
                <w:color w:val="auto"/>
              </w:rPr>
            </w:pPr>
          </w:p>
        </w:tc>
      </w:tr>
      <w:tr>
        <w:trPr>
          <w:trHeight w:val="165"/>
        </w:trPr>
        <w:tc>
          <w:tcPr>
            <w:tcW w:w="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Wilmington, DE 19801</w:t>
            </w:r>
          </w:p>
        </w:tc>
        <w:tc>
          <w:tcPr>
            <w:tcW w:w="600" w:type="dxa"/>
            <w:vAlign w:val="bottom"/>
          </w:tcPr>
          <w:p>
            <w:pPr>
              <w:spacing w:after="0"/>
              <w:rPr>
                <w:sz w:val="14"/>
                <w:szCs w:val="14"/>
                <w:color w:val="auto"/>
              </w:rPr>
            </w:pPr>
          </w:p>
        </w:tc>
      </w:tr>
      <w:tr>
        <w:trPr>
          <w:trHeight w:val="193"/>
        </w:trPr>
        <w:tc>
          <w:tcPr>
            <w:tcW w:w="5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600" w:type="dxa"/>
            <w:vAlign w:val="bottom"/>
          </w:tcPr>
          <w:p>
            <w:pPr>
              <w:spacing w:after="0"/>
              <w:rPr>
                <w:sz w:val="16"/>
                <w:szCs w:val="16"/>
                <w:color w:val="auto"/>
              </w:rPr>
            </w:pPr>
          </w:p>
        </w:tc>
      </w:tr>
      <w:tr>
        <w:trPr>
          <w:trHeight w:val="70"/>
        </w:trPr>
        <w:tc>
          <w:tcPr>
            <w:tcW w:w="580" w:type="dxa"/>
            <w:vAlign w:val="bottom"/>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600" w:type="dxa"/>
            <w:vAlign w:val="bottom"/>
          </w:tcPr>
          <w:p>
            <w:pPr>
              <w:spacing w:after="0"/>
              <w:rPr>
                <w:sz w:val="6"/>
                <w:szCs w:val="6"/>
                <w:color w:val="auto"/>
              </w:rPr>
            </w:pPr>
          </w:p>
        </w:tc>
      </w:tr>
      <w:tr>
        <w:trPr>
          <w:trHeight w:val="163"/>
        </w:trPr>
        <w:tc>
          <w:tcPr>
            <w:tcW w:w="5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bl>
    <w:p>
      <w:pPr>
        <w:sectPr>
          <w:pgSz w:w="11900" w:h="16838" w:orient="portrait"/>
          <w:cols w:equalWidth="0" w:num="1">
            <w:col w:w="9940"/>
          </w:cols>
          <w:pgMar w:left="980" w:top="215" w:right="979" w:bottom="1440" w:gutter="0" w:footer="0" w:header="0"/>
        </w:sectPr>
      </w:pPr>
    </w:p>
    <w:bookmarkStart w:id="1" w:name="page2"/>
    <w:bookmarkEnd w:id="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2009140</wp:posOffset>
            </wp:positionH>
            <wp:positionV relativeFrom="paragraph">
              <wp:posOffset>165735</wp:posOffset>
            </wp:positionV>
            <wp:extent cx="1708785" cy="4565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08785" cy="45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 </w:t>
      </w:r>
    </w:p>
    <w:p>
      <w:pPr>
        <w:spacing w:after="0" w:line="6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6"/>
          <w:szCs w:val="26"/>
          <w:b w:val="1"/>
          <w:bCs w:val="1"/>
          <w:color w:val="auto"/>
        </w:rPr>
        <w:t>VIATRIS INC.</w:t>
      </w:r>
    </w:p>
    <w:p>
      <w:pPr>
        <w:spacing w:after="0" w:line="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DEBT SECURITIES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RIGHTS</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UNITS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GUARANTEES OF DEBT SECURITIES</w:t>
      </w:r>
    </w:p>
    <w:p>
      <w:pPr>
        <w:spacing w:after="0" w:line="80" w:lineRule="exact"/>
        <w:rPr>
          <w:sz w:val="20"/>
          <w:szCs w:val="20"/>
          <w:color w:val="auto"/>
        </w:rPr>
      </w:pPr>
    </w:p>
    <w:p>
      <w:pPr>
        <w:jc w:val="both"/>
        <w:ind w:left="800" w:right="819"/>
        <w:spacing w:after="0" w:line="262" w:lineRule="auto"/>
        <w:rPr>
          <w:sz w:val="20"/>
          <w:szCs w:val="20"/>
          <w:color w:val="auto"/>
        </w:rPr>
      </w:pPr>
      <w:r>
        <w:rPr>
          <w:rFonts w:ascii="Times New Roman" w:cs="Times New Roman" w:eastAsia="Times New Roman" w:hAnsi="Times New Roman"/>
          <w:sz w:val="16"/>
          <w:szCs w:val="16"/>
          <w:color w:val="auto"/>
        </w:rPr>
        <w:t>Viatris Inc. may, from time to time, offer and sell debt securities, common stock, preferred stock, warrants, rights and units, and Mylan Inc., Mylan II B.V. and Utah Acquisition Sub Inc. may guarantee the principal of, and premium (if any) and interest on, any such debt securities of Viatris Inc. The debt securities may be convertible into or exercisable or exchangeable for common stock of Viatris Inc., other securities of Viatris Inc. or the debt or equity securities of one or more other entities.</w:t>
      </w:r>
    </w:p>
    <w:p>
      <w:pPr>
        <w:spacing w:after="0" w:line="55" w:lineRule="exact"/>
        <w:rPr>
          <w:sz w:val="20"/>
          <w:szCs w:val="20"/>
          <w:color w:val="auto"/>
        </w:rPr>
      </w:pPr>
    </w:p>
    <w:p>
      <w:pPr>
        <w:jc w:val="both"/>
        <w:ind w:left="800" w:right="819"/>
        <w:spacing w:after="0" w:line="288" w:lineRule="auto"/>
        <w:rPr>
          <w:sz w:val="20"/>
          <w:szCs w:val="20"/>
          <w:color w:val="auto"/>
        </w:rPr>
      </w:pPr>
      <w:r>
        <w:rPr>
          <w:rFonts w:ascii="Times New Roman" w:cs="Times New Roman" w:eastAsia="Times New Roman" w:hAnsi="Times New Roman"/>
          <w:sz w:val="16"/>
          <w:szCs w:val="16"/>
          <w:color w:val="auto"/>
        </w:rPr>
        <w:t>We refer to the debt securities and the guarantees thereof, common stock, preferred stock, warrants, rights and units of Viatris Inc. registered hereunder collectively as the “securities” in this prospectus.</w:t>
      </w:r>
    </w:p>
    <w:p>
      <w:pPr>
        <w:spacing w:after="0" w:line="21" w:lineRule="exact"/>
        <w:rPr>
          <w:sz w:val="20"/>
          <w:szCs w:val="20"/>
          <w:color w:val="auto"/>
        </w:rPr>
      </w:pPr>
    </w:p>
    <w:p>
      <w:pPr>
        <w:jc w:val="both"/>
        <w:ind w:left="800" w:right="819"/>
        <w:spacing w:after="0" w:line="265" w:lineRule="auto"/>
        <w:rPr>
          <w:sz w:val="20"/>
          <w:szCs w:val="20"/>
          <w:color w:val="auto"/>
        </w:rPr>
      </w:pPr>
      <w:r>
        <w:rPr>
          <w:rFonts w:ascii="Times New Roman" w:cs="Times New Roman" w:eastAsia="Times New Roman" w:hAnsi="Times New Roman"/>
          <w:sz w:val="16"/>
          <w:szCs w:val="16"/>
          <w:color w:val="auto"/>
        </w:rPr>
        <w:t>In addition, selling securityholders to be named in a prospectus supplement may, from time to time, offer and sell securities in such amounts and on such terms as are set forth in such prospectus supplement. Unless otherwise set forth in a prospectus supplement, we will not receive any proceeds from any sale of the securities by any selling securityholder.</w:t>
      </w:r>
    </w:p>
    <w:p>
      <w:pPr>
        <w:spacing w:after="0" w:line="52" w:lineRule="exact"/>
        <w:rPr>
          <w:sz w:val="20"/>
          <w:szCs w:val="20"/>
          <w:color w:val="auto"/>
        </w:rPr>
      </w:pPr>
    </w:p>
    <w:p>
      <w:pPr>
        <w:jc w:val="both"/>
        <w:ind w:left="800" w:right="819"/>
        <w:spacing w:after="0" w:line="259" w:lineRule="auto"/>
        <w:rPr>
          <w:sz w:val="20"/>
          <w:szCs w:val="20"/>
          <w:color w:val="auto"/>
        </w:rPr>
      </w:pPr>
      <w:r>
        <w:rPr>
          <w:rFonts w:ascii="Times New Roman" w:cs="Times New Roman" w:eastAsia="Times New Roman" w:hAnsi="Times New Roman"/>
          <w:sz w:val="16"/>
          <w:szCs w:val="16"/>
          <w:color w:val="auto"/>
        </w:rPr>
        <w:t>This prospectus describes some of the general terms that may apply to the offering of securities registered hereunder. The specific terms of each series or class of the securities to be offered, and any other information relating to such offering of securities, will be set forth in the applicable prospectus supplement or the applicable free writing prospectus. The applicable prospectus supplement or free writing prospectus will also contain information, where applicable, about material U.S. federal and Dutch income tax consequences relating to, and any listing on a securities exchange of, the securities offered by such prospectus supplement or free writing prospectus. Any prospectus supplement or free writing prospectus may add to, update or change the information in this prospectus.</w:t>
      </w:r>
    </w:p>
    <w:p>
      <w:pPr>
        <w:spacing w:after="0" w:line="56" w:lineRule="exact"/>
        <w:rPr>
          <w:sz w:val="20"/>
          <w:szCs w:val="20"/>
          <w:color w:val="auto"/>
        </w:rPr>
      </w:pPr>
    </w:p>
    <w:p>
      <w:pPr>
        <w:jc w:val="both"/>
        <w:ind w:left="800" w:right="819"/>
        <w:spacing w:after="0" w:line="259" w:lineRule="auto"/>
        <w:rPr>
          <w:sz w:val="20"/>
          <w:szCs w:val="20"/>
          <w:color w:val="auto"/>
        </w:rPr>
      </w:pPr>
      <w:r>
        <w:rPr>
          <w:rFonts w:ascii="Times New Roman" w:cs="Times New Roman" w:eastAsia="Times New Roman" w:hAnsi="Times New Roman"/>
          <w:sz w:val="16"/>
          <w:szCs w:val="16"/>
          <w:color w:val="auto"/>
        </w:rPr>
        <w:t>The securities may be offered directly by us or any selling securityholder, as applicable, through one or more underwriters, dealers or agents or directly to purchasers, or through a combination of such methods, on a continuous or delayed basis. The names of any underwriters, dealers or agents and any purchase price, fee, commission or discount arrangement between us or any selling securityholder and them or among them will be set forth, or will be calculable from the information set forth, in the applicable prospectus supplement or free writing prospectus. See “About this Prospectus” and “Plan of Distribution” for more information. No securities may be sold without delivery of this prospectus and the applicable prospectus supplement or free writing prospectus describing the method and terms of the offering of such series of securities.</w:t>
      </w:r>
    </w:p>
    <w:p>
      <w:pPr>
        <w:spacing w:after="0" w:line="44" w:lineRule="exact"/>
        <w:rPr>
          <w:sz w:val="20"/>
          <w:szCs w:val="20"/>
          <w:color w:val="auto"/>
        </w:rPr>
      </w:pPr>
    </w:p>
    <w:p>
      <w:pPr>
        <w:jc w:val="both"/>
        <w:ind w:left="800" w:right="819"/>
        <w:spacing w:after="0" w:line="261" w:lineRule="auto"/>
        <w:rPr>
          <w:sz w:val="20"/>
          <w:szCs w:val="20"/>
          <w:color w:val="auto"/>
        </w:rPr>
      </w:pPr>
      <w:r>
        <w:rPr>
          <w:rFonts w:ascii="Times New Roman" w:cs="Times New Roman" w:eastAsia="Times New Roman" w:hAnsi="Times New Roman"/>
          <w:sz w:val="16"/>
          <w:szCs w:val="16"/>
          <w:color w:val="auto"/>
        </w:rPr>
        <w:t>Our common stock is listed on the NASDAQ Stock Market (“NASDAQ”) under the symbol “VTRS”. On May 7, 2025, the last reported sale price of our common stock on NASDAQ was $8.60 per share. Our principal executive offices are located at 1000 Mylan Boulevard, Canonsburg, Pennsylvania 15317, and our telephone number is</w:t>
      </w:r>
    </w:p>
    <w:p>
      <w:pPr>
        <w:jc w:val="both"/>
        <w:ind w:left="800" w:right="819" w:firstLine="2"/>
        <w:spacing w:after="0" w:line="258" w:lineRule="auto"/>
        <w:tabs>
          <w:tab w:leader="none" w:pos="1248"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514-1800. Our Internet website address is www.viatris.com. The contents of our website are not incorporated by reference in this prospectus (except for the information expressly incorporated herein by reference as described in “Incorporation of Certain Documents by Reference”) and shall not be deemed “filed” under the Securities Exchange Act of 1934, as amended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70485</wp:posOffset>
            </wp:positionV>
            <wp:extent cx="98996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89965" cy="7620"/>
                    </a:xfrm>
                    <a:prstGeom prst="rect">
                      <a:avLst/>
                    </a:prstGeom>
                    <a:noFill/>
                  </pic:spPr>
                </pic:pic>
              </a:graphicData>
            </a:graphic>
          </wp:anchor>
        </w:drawing>
      </w:r>
    </w:p>
    <w:p>
      <w:pPr>
        <w:spacing w:after="0" w:line="158" w:lineRule="exact"/>
        <w:rPr>
          <w:sz w:val="20"/>
          <w:szCs w:val="20"/>
          <w:color w:val="auto"/>
        </w:rPr>
      </w:pPr>
    </w:p>
    <w:p>
      <w:pPr>
        <w:jc w:val="both"/>
        <w:ind w:left="800" w:right="819"/>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Investing in the securities involves risks. You should carefully consider the information referred to under the heading “Risk Factors” on page </w:t>
      </w:r>
      <w:r>
        <w:rPr>
          <w:rFonts w:ascii="Times New Roman" w:cs="Times New Roman" w:eastAsia="Times New Roman" w:hAnsi="Times New Roman"/>
          <w:sz w:val="16"/>
          <w:szCs w:val="16"/>
          <w:b w:val="1"/>
          <w:bCs w:val="1"/>
          <w:u w:val="single" w:color="auto"/>
          <w:color w:val="0000EE"/>
        </w:rPr>
        <w:t>7</w:t>
      </w:r>
      <w:r>
        <w:rPr>
          <w:rFonts w:ascii="Times New Roman" w:cs="Times New Roman" w:eastAsia="Times New Roman" w:hAnsi="Times New Roman"/>
          <w:sz w:val="16"/>
          <w:szCs w:val="16"/>
          <w:b w:val="1"/>
          <w:bCs w:val="1"/>
          <w:color w:val="auto"/>
        </w:rPr>
        <w:t xml:space="preserve"> of this prospectus and under any similar headings in any applicable prospectus supplement or free writing prospectus and in the documents that are incorporated by reference into this prospectus.</w:t>
      </w:r>
    </w:p>
    <w:p>
      <w:pPr>
        <w:spacing w:after="0" w:line="49" w:lineRule="exact"/>
        <w:rPr>
          <w:sz w:val="20"/>
          <w:szCs w:val="20"/>
          <w:color w:val="auto"/>
        </w:rPr>
      </w:pPr>
    </w:p>
    <w:p>
      <w:pPr>
        <w:jc w:val="both"/>
        <w:ind w:left="800" w:right="819"/>
        <w:spacing w:after="0" w:line="272"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55245</wp:posOffset>
            </wp:positionV>
            <wp:extent cx="98996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89965" cy="7620"/>
                    </a:xfrm>
                    <a:prstGeom prst="rect">
                      <a:avLst/>
                    </a:prstGeom>
                    <a:noFill/>
                  </pic:spPr>
                </pic:pic>
              </a:graphicData>
            </a:graphic>
          </wp:anchor>
        </w:drawing>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Prospectus dated 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119380</wp:posOffset>
            </wp:positionV>
            <wp:extent cx="631063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2" w:name="page3"/>
    <w:bookmarkEnd w:id="2"/>
    <w:tbl>
      <w:tblPr>
        <w:tblLayout w:type="fixed"/>
        <w:tblInd w:w="700" w:type="dxa"/>
        <w:tblCellMar>
          <w:top w:w="0" w:type="dxa"/>
          <w:left w:w="0" w:type="dxa"/>
          <w:bottom w:w="0" w:type="dxa"/>
          <w:right w:w="0" w:type="dxa"/>
        </w:tblCellMar>
      </w:tblPr>
      <w:tr>
        <w:trPr>
          <w:trHeight w:val="149"/>
        </w:trPr>
        <w:tc>
          <w:tcPr>
            <w:tcW w:w="7020" w:type="dxa"/>
            <w:vAlign w:val="bottom"/>
            <w:gridSpan w:val="21"/>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20" w:type="dxa"/>
            <w:vAlign w:val="bottom"/>
            <w:gridSpan w:val="7"/>
          </w:tcPr>
          <w:p>
            <w:pPr>
              <w:ind w:left="34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0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0000EE"/>
                <w:w w:val="99"/>
              </w:rPr>
              <w:t>ABOUT THIS PROSPECTUS</w:t>
            </w:r>
          </w:p>
        </w:tc>
        <w:tc>
          <w:tcPr>
            <w:tcW w:w="5000" w:type="dxa"/>
            <w:vAlign w:val="bottom"/>
            <w:gridSpan w:val="10"/>
            <w:shd w:val="clear" w:color="auto" w:fill="CCEEFF"/>
          </w:tcPr>
          <w:p>
            <w:pPr>
              <w:spacing w:after="0"/>
              <w:rPr>
                <w:sz w:val="22"/>
                <w:szCs w:val="22"/>
                <w:color w:val="auto"/>
              </w:rPr>
            </w:pPr>
          </w:p>
        </w:tc>
        <w:tc>
          <w:tcPr>
            <w:tcW w:w="480" w:type="dxa"/>
            <w:vAlign w:val="bottom"/>
            <w:tcBorders>
              <w:right w:val="single" w:sz="8" w:color="CCEEFF"/>
            </w:tcBorders>
            <w:shd w:val="clear" w:color="auto" w:fill="CCEEFF"/>
          </w:tcPr>
          <w:p>
            <w:pPr>
              <w:spacing w:after="0"/>
              <w:rPr>
                <w:sz w:val="22"/>
                <w:szCs w:val="22"/>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0000EE"/>
                <w:w w:val="74"/>
              </w:rPr>
              <w:t>1</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700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WHERE YOU CAN FIND MORE INFORMATION</w:t>
            </w:r>
          </w:p>
        </w:tc>
        <w:tc>
          <w:tcPr>
            <w:tcW w:w="580" w:type="dxa"/>
            <w:vAlign w:val="bottom"/>
            <w:gridSpan w:val="3"/>
          </w:tcPr>
          <w:p>
            <w:pPr>
              <w:jc w:val="right"/>
              <w:ind w:right="20"/>
              <w:spacing w:after="0" w:line="171" w:lineRule="exact"/>
              <w:rPr>
                <w:sz w:val="20"/>
                <w:szCs w:val="20"/>
                <w:color w:val="auto"/>
              </w:rPr>
            </w:pPr>
            <w:r>
              <w:rPr>
                <w:rFonts w:ascii="Times New Roman" w:cs="Times New Roman" w:eastAsia="Times New Roman" w:hAnsi="Times New Roman"/>
                <w:sz w:val="16"/>
                <w:szCs w:val="16"/>
                <w:color w:val="0000EE"/>
              </w:rPr>
              <w:t>2</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7000" w:type="dxa"/>
            <w:vAlign w:val="bottom"/>
            <w:gridSpan w:val="20"/>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INCORPORATION OF CERTAIN DOCUMENTS BY REFERENCE</w:t>
            </w:r>
          </w:p>
        </w:tc>
        <w:tc>
          <w:tcPr>
            <w:tcW w:w="580" w:type="dxa"/>
            <w:vAlign w:val="bottom"/>
            <w:gridSpan w:val="3"/>
            <w:shd w:val="clear" w:color="auto" w:fill="CCEEFF"/>
          </w:tcPr>
          <w:p>
            <w:pPr>
              <w:jc w:val="right"/>
              <w:ind w:right="20"/>
              <w:spacing w:after="0" w:line="171" w:lineRule="exact"/>
              <w:rPr>
                <w:sz w:val="20"/>
                <w:szCs w:val="20"/>
                <w:color w:val="auto"/>
              </w:rPr>
            </w:pPr>
            <w:r>
              <w:rPr>
                <w:rFonts w:ascii="Times New Roman" w:cs="Times New Roman" w:eastAsia="Times New Roman" w:hAnsi="Times New Roman"/>
                <w:sz w:val="16"/>
                <w:szCs w:val="16"/>
                <w:color w:val="0000EE"/>
              </w:rPr>
              <w:t>3</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700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CAUTIONARY LANGUAGE REGARDING FORWARD-LOOKING STATEMENTS</w:t>
            </w:r>
          </w:p>
        </w:tc>
        <w:tc>
          <w:tcPr>
            <w:tcW w:w="580" w:type="dxa"/>
            <w:vAlign w:val="bottom"/>
            <w:gridSpan w:val="3"/>
          </w:tcPr>
          <w:p>
            <w:pPr>
              <w:jc w:val="right"/>
              <w:ind w:right="20"/>
              <w:spacing w:after="0" w:line="171" w:lineRule="exact"/>
              <w:rPr>
                <w:sz w:val="20"/>
                <w:szCs w:val="20"/>
                <w:color w:val="auto"/>
              </w:rPr>
            </w:pPr>
            <w:r>
              <w:rPr>
                <w:rFonts w:ascii="Times New Roman" w:cs="Times New Roman" w:eastAsia="Times New Roman" w:hAnsi="Times New Roman"/>
                <w:sz w:val="16"/>
                <w:szCs w:val="16"/>
                <w:color w:val="0000EE"/>
              </w:rPr>
              <w:t>4</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40" w:type="dxa"/>
            <w:vAlign w:val="bottom"/>
            <w:tcBorders>
              <w:top w:val="single" w:sz="8" w:color="0000EE"/>
            </w:tcBorders>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7000" w:type="dxa"/>
            <w:vAlign w:val="bottom"/>
            <w:gridSpan w:val="20"/>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OUR COMPANY</w:t>
            </w:r>
          </w:p>
        </w:tc>
        <w:tc>
          <w:tcPr>
            <w:tcW w:w="580" w:type="dxa"/>
            <w:vAlign w:val="bottom"/>
            <w:gridSpan w:val="3"/>
            <w:shd w:val="clear" w:color="auto" w:fill="CCEEFF"/>
          </w:tcPr>
          <w:p>
            <w:pPr>
              <w:jc w:val="right"/>
              <w:ind w:right="20"/>
              <w:spacing w:after="0" w:line="171" w:lineRule="exact"/>
              <w:rPr>
                <w:sz w:val="20"/>
                <w:szCs w:val="20"/>
                <w:color w:val="auto"/>
              </w:rPr>
            </w:pPr>
            <w:r>
              <w:rPr>
                <w:rFonts w:ascii="Times New Roman" w:cs="Times New Roman" w:eastAsia="Times New Roman" w:hAnsi="Times New Roman"/>
                <w:sz w:val="16"/>
                <w:szCs w:val="16"/>
                <w:color w:val="0000EE"/>
              </w:rPr>
              <w:t>6</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1160" w:type="dxa"/>
            <w:vAlign w:val="bottom"/>
            <w:gridSpan w:val="3"/>
          </w:tcPr>
          <w:p>
            <w:pPr>
              <w:spacing w:after="0" w:line="171" w:lineRule="exact"/>
              <w:rPr>
                <w:sz w:val="20"/>
                <w:szCs w:val="20"/>
                <w:color w:val="auto"/>
              </w:rPr>
            </w:pPr>
            <w:r>
              <w:rPr>
                <w:rFonts w:ascii="Times New Roman" w:cs="Times New Roman" w:eastAsia="Times New Roman" w:hAnsi="Times New Roman"/>
                <w:sz w:val="16"/>
                <w:szCs w:val="16"/>
                <w:color w:val="0000EE"/>
              </w:rPr>
              <w:t>RISK FACTORS</w:t>
            </w:r>
          </w:p>
        </w:tc>
        <w:tc>
          <w:tcPr>
            <w:tcW w:w="5840" w:type="dxa"/>
            <w:vAlign w:val="bottom"/>
            <w:gridSpan w:val="17"/>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0000EE"/>
                <w:w w:val="74"/>
              </w:rPr>
              <w:t>7</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7000" w:type="dxa"/>
            <w:vAlign w:val="bottom"/>
            <w:gridSpan w:val="20"/>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SELLING SECURITYHOLDERS</w:t>
            </w:r>
          </w:p>
        </w:tc>
        <w:tc>
          <w:tcPr>
            <w:tcW w:w="580" w:type="dxa"/>
            <w:vAlign w:val="bottom"/>
            <w:gridSpan w:val="3"/>
            <w:shd w:val="clear" w:color="auto" w:fill="CCEEFF"/>
          </w:tcPr>
          <w:p>
            <w:pPr>
              <w:jc w:val="right"/>
              <w:ind w:right="20"/>
              <w:spacing w:after="0" w:line="171" w:lineRule="exact"/>
              <w:rPr>
                <w:sz w:val="20"/>
                <w:szCs w:val="20"/>
                <w:color w:val="auto"/>
              </w:rPr>
            </w:pPr>
            <w:r>
              <w:rPr>
                <w:rFonts w:ascii="Times New Roman" w:cs="Times New Roman" w:eastAsia="Times New Roman" w:hAnsi="Times New Roman"/>
                <w:sz w:val="16"/>
                <w:szCs w:val="16"/>
                <w:color w:val="0000EE"/>
              </w:rPr>
              <w:t>8</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2240" w:type="dxa"/>
            <w:vAlign w:val="bottom"/>
            <w:gridSpan w:val="12"/>
          </w:tcPr>
          <w:p>
            <w:pPr>
              <w:spacing w:after="0" w:line="171" w:lineRule="exact"/>
              <w:rPr>
                <w:sz w:val="20"/>
                <w:szCs w:val="20"/>
                <w:color w:val="auto"/>
              </w:rPr>
            </w:pPr>
            <w:r>
              <w:rPr>
                <w:rFonts w:ascii="Times New Roman" w:cs="Times New Roman" w:eastAsia="Times New Roman" w:hAnsi="Times New Roman"/>
                <w:sz w:val="16"/>
                <w:szCs w:val="16"/>
                <w:color w:val="0000EE"/>
              </w:rPr>
              <w:t>USE OF PROCEEDS</w:t>
            </w:r>
          </w:p>
        </w:tc>
        <w:tc>
          <w:tcPr>
            <w:tcW w:w="4760" w:type="dxa"/>
            <w:vAlign w:val="bottom"/>
            <w:gridSpan w:val="8"/>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0000EE"/>
                <w:w w:val="74"/>
              </w:rPr>
              <w:t>9</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7000" w:type="dxa"/>
            <w:vAlign w:val="bottom"/>
            <w:gridSpan w:val="20"/>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DESCRIPTION OF DEBT SECURITIES AND GUARANTEES</w:t>
            </w:r>
          </w:p>
        </w:tc>
        <w:tc>
          <w:tcPr>
            <w:tcW w:w="580" w:type="dxa"/>
            <w:vAlign w:val="bottom"/>
            <w:gridSpan w:val="3"/>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0000EE"/>
              </w:rPr>
              <w:t>10</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4220" w:type="dxa"/>
            <w:vAlign w:val="bottom"/>
            <w:gridSpan w:val="17"/>
          </w:tcPr>
          <w:p>
            <w:pPr>
              <w:spacing w:after="0" w:line="171" w:lineRule="exact"/>
              <w:rPr>
                <w:sz w:val="20"/>
                <w:szCs w:val="20"/>
                <w:color w:val="auto"/>
              </w:rPr>
            </w:pPr>
            <w:r>
              <w:rPr>
                <w:rFonts w:ascii="Times New Roman" w:cs="Times New Roman" w:eastAsia="Times New Roman" w:hAnsi="Times New Roman"/>
                <w:sz w:val="16"/>
                <w:szCs w:val="16"/>
                <w:color w:val="0000EE"/>
              </w:rPr>
              <w:t>DESCRIPTION OF CAPITAL STOCK</w:t>
            </w:r>
          </w:p>
        </w:tc>
        <w:tc>
          <w:tcPr>
            <w:tcW w:w="2780" w:type="dxa"/>
            <w:vAlign w:val="bottom"/>
            <w:gridSpan w:val="3"/>
          </w:tcPr>
          <w:p>
            <w:pPr>
              <w:spacing w:after="0"/>
              <w:rPr>
                <w:sz w:val="14"/>
                <w:szCs w:val="14"/>
                <w:color w:val="auto"/>
              </w:rPr>
            </w:pPr>
          </w:p>
        </w:tc>
        <w:tc>
          <w:tcPr>
            <w:tcW w:w="5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6"/>
                <w:szCs w:val="16"/>
                <w:color w:val="0000EE"/>
              </w:rPr>
              <w:t>21</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7000" w:type="dxa"/>
            <w:vAlign w:val="bottom"/>
            <w:gridSpan w:val="20"/>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DESCRIPTION OF WARRANTS</w:t>
            </w:r>
          </w:p>
        </w:tc>
        <w:tc>
          <w:tcPr>
            <w:tcW w:w="580" w:type="dxa"/>
            <w:vAlign w:val="bottom"/>
            <w:gridSpan w:val="3"/>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0000EE"/>
              </w:rPr>
              <w:t>25</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2220" w:type="dxa"/>
            <w:vAlign w:val="bottom"/>
            <w:gridSpan w:val="11"/>
          </w:tcPr>
          <w:p>
            <w:pPr>
              <w:spacing w:after="0" w:line="171" w:lineRule="exact"/>
              <w:rPr>
                <w:sz w:val="20"/>
                <w:szCs w:val="20"/>
                <w:color w:val="auto"/>
              </w:rPr>
            </w:pPr>
            <w:r>
              <w:rPr>
                <w:rFonts w:ascii="Times New Roman" w:cs="Times New Roman" w:eastAsia="Times New Roman" w:hAnsi="Times New Roman"/>
                <w:sz w:val="16"/>
                <w:szCs w:val="16"/>
                <w:color w:val="0000EE"/>
              </w:rPr>
              <w:t>DESCRIPTION OF RIGHTS</w:t>
            </w:r>
          </w:p>
        </w:tc>
        <w:tc>
          <w:tcPr>
            <w:tcW w:w="4780" w:type="dxa"/>
            <w:vAlign w:val="bottom"/>
            <w:gridSpan w:val="9"/>
          </w:tcPr>
          <w:p>
            <w:pPr>
              <w:spacing w:after="0"/>
              <w:rPr>
                <w:sz w:val="14"/>
                <w:szCs w:val="14"/>
                <w:color w:val="auto"/>
              </w:rPr>
            </w:pPr>
          </w:p>
        </w:tc>
        <w:tc>
          <w:tcPr>
            <w:tcW w:w="5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6"/>
                <w:szCs w:val="16"/>
                <w:color w:val="0000EE"/>
              </w:rPr>
              <w:t>28</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7000" w:type="dxa"/>
            <w:vAlign w:val="bottom"/>
            <w:gridSpan w:val="20"/>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DESCRIPTION OF UNITS</w:t>
            </w:r>
          </w:p>
        </w:tc>
        <w:tc>
          <w:tcPr>
            <w:tcW w:w="580" w:type="dxa"/>
            <w:vAlign w:val="bottom"/>
            <w:gridSpan w:val="3"/>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0000EE"/>
              </w:rPr>
              <w:t>29</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700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PLAN OF DISTRIBUTION</w:t>
            </w:r>
          </w:p>
        </w:tc>
        <w:tc>
          <w:tcPr>
            <w:tcW w:w="5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6"/>
                <w:szCs w:val="16"/>
                <w:color w:val="0000EE"/>
              </w:rPr>
              <w:t>30</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1300" w:type="dxa"/>
            <w:vAlign w:val="bottom"/>
            <w:gridSpan w:val="4"/>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7"/>
              </w:rPr>
              <w:t>LEGAL MATTERS</w:t>
            </w:r>
          </w:p>
        </w:tc>
        <w:tc>
          <w:tcPr>
            <w:tcW w:w="5700" w:type="dxa"/>
            <w:vAlign w:val="bottom"/>
            <w:gridSpan w:val="16"/>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0000EE"/>
              </w:rPr>
              <w:t>33</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130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0000EE"/>
              </w:rPr>
              <w:t>EXPERTS</w:t>
            </w:r>
          </w:p>
        </w:tc>
        <w:tc>
          <w:tcPr>
            <w:tcW w:w="5700" w:type="dxa"/>
            <w:vAlign w:val="bottom"/>
            <w:gridSpan w:val="16"/>
          </w:tcPr>
          <w:p>
            <w:pPr>
              <w:spacing w:after="0"/>
              <w:rPr>
                <w:sz w:val="14"/>
                <w:szCs w:val="14"/>
                <w:color w:val="auto"/>
              </w:rPr>
            </w:pPr>
          </w:p>
        </w:tc>
        <w:tc>
          <w:tcPr>
            <w:tcW w:w="5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6"/>
                <w:szCs w:val="16"/>
                <w:color w:val="0000EE"/>
              </w:rPr>
              <w:t>34</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7000" w:type="dxa"/>
            <w:vAlign w:val="bottom"/>
            <w:gridSpan w:val="20"/>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ENFORCEABILITY OF CIVIL LIABILITIES</w:t>
            </w:r>
          </w:p>
        </w:tc>
        <w:tc>
          <w:tcPr>
            <w:tcW w:w="580" w:type="dxa"/>
            <w:vAlign w:val="bottom"/>
            <w:gridSpan w:val="3"/>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0000EE"/>
              </w:rPr>
              <w:t>35</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3560" w:type="dxa"/>
            <w:vAlign w:val="bottom"/>
            <w:gridSpan w:val="16"/>
          </w:tcPr>
          <w:p>
            <w:pPr>
              <w:spacing w:after="0" w:line="171" w:lineRule="exact"/>
              <w:rPr>
                <w:sz w:val="20"/>
                <w:szCs w:val="20"/>
                <w:color w:val="auto"/>
              </w:rPr>
            </w:pPr>
            <w:r>
              <w:rPr>
                <w:rFonts w:ascii="Times New Roman" w:cs="Times New Roman" w:eastAsia="Times New Roman" w:hAnsi="Times New Roman"/>
                <w:sz w:val="16"/>
                <w:szCs w:val="16"/>
                <w:color w:val="0000EE"/>
                <w:w w:val="98"/>
              </w:rPr>
              <w:t>CERTAIN INSOLVENCY LAW CONSIDERATIONS</w:t>
            </w:r>
          </w:p>
        </w:tc>
        <w:tc>
          <w:tcPr>
            <w:tcW w:w="3440" w:type="dxa"/>
            <w:vAlign w:val="bottom"/>
            <w:gridSpan w:val="4"/>
          </w:tcPr>
          <w:p>
            <w:pPr>
              <w:spacing w:after="0"/>
              <w:rPr>
                <w:sz w:val="14"/>
                <w:szCs w:val="14"/>
                <w:color w:val="auto"/>
              </w:rPr>
            </w:pPr>
          </w:p>
        </w:tc>
        <w:tc>
          <w:tcPr>
            <w:tcW w:w="5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6"/>
                <w:szCs w:val="16"/>
                <w:color w:val="0000EE"/>
              </w:rPr>
              <w:t>36</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118110</wp:posOffset>
            </wp:positionV>
            <wp:extent cx="631063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3" w:name="page4"/>
    <w:bookmarkEnd w:id="3"/>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ABOUT THIS PROSPECTUS</w:t>
      </w:r>
    </w:p>
    <w:p>
      <w:pPr>
        <w:spacing w:after="0" w:line="110" w:lineRule="exact"/>
        <w:rPr>
          <w:sz w:val="20"/>
          <w:szCs w:val="20"/>
          <w:color w:val="auto"/>
        </w:rPr>
      </w:pPr>
    </w:p>
    <w:p>
      <w:pPr>
        <w:jc w:val="both"/>
        <w:ind w:left="700" w:right="719"/>
        <w:spacing w:after="0" w:line="256" w:lineRule="auto"/>
        <w:rPr>
          <w:sz w:val="20"/>
          <w:szCs w:val="20"/>
          <w:color w:val="auto"/>
        </w:rPr>
      </w:pPr>
      <w:r>
        <w:rPr>
          <w:rFonts w:ascii="Times New Roman" w:cs="Times New Roman" w:eastAsia="Times New Roman" w:hAnsi="Times New Roman"/>
          <w:sz w:val="16"/>
          <w:szCs w:val="16"/>
          <w:color w:val="auto"/>
        </w:rPr>
        <w:t xml:space="preserve">This prospectus is a part of a registration statement on Form S-3 (the “Registration Statement”) that we filed with the U.S. Securities and Exchange Commission (the “SEC”) as a “well-known seasoned issuer” (“WKSI”) as defined in Rule 405 of the Securities Act of 1933, as amended (the “Securities Act”), using an automatic “shelf” registration process. By registering securities under the Registration Statement using this process, we or any selling securityholder may offer and sell any combination of the securities described in this prospectus from time to time in one or more offerings in any manner described under the heading “Plan of Distribution” in this prospectus. This prospectus provides you with a general description of the securities we or any selling securityholder may offer. Each time we sell securities, we will provide a prospectus supplement containing specific information about the terms of the applicable offering. We may also provide one or more free writing prospectuses containing material information relating to the applicable offering. Any prospectus supplement or free writing prospectus that we provide you may add to, update or change the information in this prospectus or in any documents incorporated by reference in this prospectus. If there is any inconsistency between the information in this prospectus and any prospectus supplement or free writing prospectus, you should rely on the information in such prospectus supplement or free writing prospectus;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any information in any of these documents is inconsistent with any information in another document having a later date, the information in the document having the later date modifies or supersedes, as applicable, the information in the document having an earlier date. You should read carefully this prospectus and any prospectus supplement or free writing prospectus together with the additional information described under the headings “Where You Can Find More Information” and “Incorporation of Certain Documents by Reference” in this prospectus.</w:t>
      </w:r>
    </w:p>
    <w:p>
      <w:pPr>
        <w:spacing w:after="0" w:line="267" w:lineRule="exact"/>
        <w:rPr>
          <w:sz w:val="20"/>
          <w:szCs w:val="20"/>
          <w:color w:val="auto"/>
        </w:rPr>
      </w:pPr>
    </w:p>
    <w:p>
      <w:pPr>
        <w:jc w:val="both"/>
        <w:ind w:left="700" w:right="719"/>
        <w:spacing w:after="0" w:line="259" w:lineRule="auto"/>
        <w:rPr>
          <w:sz w:val="20"/>
          <w:szCs w:val="20"/>
          <w:color w:val="auto"/>
        </w:rPr>
      </w:pPr>
      <w:r>
        <w:rPr>
          <w:rFonts w:ascii="Times New Roman" w:cs="Times New Roman" w:eastAsia="Times New Roman" w:hAnsi="Times New Roman"/>
          <w:sz w:val="16"/>
          <w:szCs w:val="16"/>
          <w:color w:val="auto"/>
        </w:rPr>
        <w:t>The securities may be offered directly by us or any selling securityholder, as applicable, through one or more underwriters, dealers or agents or directly to purchasers, or through a combination of such methods, on a continuous or delayed basis. The names of any underwriters, dealers or agents and any purchase price, fee, commission or discount arrangement between us or any selling securityholder and them or among them will be set forth, or will be calculable from the information set forth, in the applicable prospectus supplement or free writing prospectus. See “Plan of Distribution” for more information. No securities may be sold without delivery of this prospectus and the applicable prospectus supplement or free writing prospectus describing the method and terms of the offering of such series of securities.</w:t>
      </w:r>
    </w:p>
    <w:p>
      <w:pPr>
        <w:spacing w:after="0" w:line="66" w:lineRule="exact"/>
        <w:rPr>
          <w:sz w:val="20"/>
          <w:szCs w:val="20"/>
          <w:color w:val="auto"/>
        </w:rPr>
      </w:pPr>
    </w:p>
    <w:p>
      <w:pPr>
        <w:jc w:val="both"/>
        <w:ind w:left="700" w:right="719"/>
        <w:spacing w:after="0" w:line="258" w:lineRule="auto"/>
        <w:rPr>
          <w:sz w:val="20"/>
          <w:szCs w:val="20"/>
          <w:color w:val="auto"/>
        </w:rPr>
      </w:pPr>
      <w:r>
        <w:rPr>
          <w:rFonts w:ascii="Times New Roman" w:cs="Times New Roman" w:eastAsia="Times New Roman" w:hAnsi="Times New Roman"/>
          <w:sz w:val="16"/>
          <w:szCs w:val="16"/>
          <w:b w:val="1"/>
          <w:bCs w:val="1"/>
          <w:color w:val="auto"/>
        </w:rPr>
        <w:t>We are responsible for the information contained in this prospectus and any prospectus supplement or free writing prospectus or incorporated by reference herein or therein. We have not authorized anyone to provide you with information or make any representation that is different from or inconsistent with, or in addition to, such information and we take no responsibility for any other information that others may give you. You should not assume that the information contained or incorporated by reference in this prospectus or any prospectus supplement or free writing prospectus is correct as of any date after the date of the document containing the information. Since the respective dates of the prospectus contained in the Registration Statement and any prospectus supplement or free writing prospectus, our business, financial condition, results of operations and prospects may have changed. Except as required by law, we undertake no obligation to update any information contained or incorporated by reference herein for revisions or changes after the date of this prospectus.</w:t>
      </w:r>
    </w:p>
    <w:p>
      <w:pPr>
        <w:spacing w:after="0" w:line="263" w:lineRule="exact"/>
        <w:rPr>
          <w:sz w:val="20"/>
          <w:szCs w:val="20"/>
          <w:color w:val="auto"/>
        </w:rPr>
      </w:pPr>
    </w:p>
    <w:p>
      <w:pPr>
        <w:jc w:val="both"/>
        <w:ind w:left="700" w:right="719"/>
        <w:spacing w:after="0" w:line="266" w:lineRule="auto"/>
        <w:rPr>
          <w:sz w:val="20"/>
          <w:szCs w:val="20"/>
          <w:color w:val="auto"/>
        </w:rPr>
      </w:pPr>
      <w:r>
        <w:rPr>
          <w:rFonts w:ascii="Times New Roman" w:cs="Times New Roman" w:eastAsia="Times New Roman" w:hAnsi="Times New Roman"/>
          <w:sz w:val="16"/>
          <w:szCs w:val="16"/>
          <w:b w:val="1"/>
          <w:bCs w:val="1"/>
          <w:color w:val="auto"/>
        </w:rPr>
        <w:t>This prospectus and any prospectus supplement or free writing prospectus do not constitute an offer to sell, or a solicitation of an offer to buy, any securities other than the securities registered pursuant to the Registration Statement and do not constitute an offer to sell, or a solicitation of an offer to buy, any securities in any jurisdiction in which, or from any person to whom, it is unlawful to make such an offer or solicitation.</w:t>
      </w:r>
    </w:p>
    <w:p>
      <w:pPr>
        <w:spacing w:after="0" w:line="63" w:lineRule="exact"/>
        <w:rPr>
          <w:sz w:val="20"/>
          <w:szCs w:val="20"/>
          <w:color w:val="auto"/>
        </w:rPr>
      </w:pPr>
    </w:p>
    <w:p>
      <w:pPr>
        <w:jc w:val="both"/>
        <w:ind w:left="700" w:right="719"/>
        <w:spacing w:after="0" w:line="257" w:lineRule="auto"/>
        <w:rPr>
          <w:sz w:val="20"/>
          <w:szCs w:val="20"/>
          <w:color w:val="auto"/>
        </w:rPr>
      </w:pPr>
      <w:r>
        <w:rPr>
          <w:rFonts w:ascii="Times New Roman" w:cs="Times New Roman" w:eastAsia="Times New Roman" w:hAnsi="Times New Roman"/>
          <w:sz w:val="16"/>
          <w:szCs w:val="16"/>
          <w:color w:val="auto"/>
        </w:rPr>
        <w:t>In this prospectus, unless otherwise indicated herein or the context otherwise indicates, the terms the “Company,” “Viatris,” “our,” “us” and “we” refer to Viatris Inc., a Delaware corporation, and, where appropriate, its consolidated subsidiaries, except where it is clear from the context that the terms mean only Viatris Inc. “Utah Acquisition Sub Inc.” refers to Utah Acquisition Sub Inc., a Delaware corporation, and, where appropriate, its consolidated subsidiaries, except where it is clear from the context that the term means only Utah Acquisition Sub Inc. “Mylan II B.V.” refers to Mylan II B.V., a private limited liability company (</w:t>
      </w:r>
      <w:r>
        <w:rPr>
          <w:rFonts w:ascii="Times New Roman" w:cs="Times New Roman" w:eastAsia="Times New Roman" w:hAnsi="Times New Roman"/>
          <w:sz w:val="16"/>
          <w:szCs w:val="16"/>
          <w:i w:val="1"/>
          <w:iCs w:val="1"/>
          <w:color w:val="auto"/>
        </w:rPr>
        <w:t>besloten vennootschap met beperkte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aansprakelijkheid</w:t>
      </w:r>
      <w:r>
        <w:rPr>
          <w:rFonts w:ascii="Times New Roman" w:cs="Times New Roman" w:eastAsia="Times New Roman" w:hAnsi="Times New Roman"/>
          <w:sz w:val="16"/>
          <w:szCs w:val="16"/>
          <w:color w:val="auto"/>
        </w:rPr>
        <w:t>) incorporated and existing under the laws of the Netherlands, and, where appropriate,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consolidated subsidiaries, except where it is clear from the context that the term means only Mylan II B.V. “Mylan Inc.” refers to Mylan Inc., a Pennsylvania corporation, and, where appropriate, its consolidated subsidiaries, except where it is clear from the context that the term means only Mylan Inc. Unless otherwise indicated in this prospectus or the context otherwise indicates, the “guarantors” means Utah Acquisition Sub Inc., Mylan II B.V. and Mylan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4" w:name="page5"/>
    <w:bookmarkEnd w:id="4"/>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110" w:lineRule="exact"/>
        <w:rPr>
          <w:sz w:val="20"/>
          <w:szCs w:val="20"/>
          <w:color w:val="auto"/>
        </w:rPr>
      </w:pPr>
    </w:p>
    <w:p>
      <w:pPr>
        <w:jc w:val="both"/>
        <w:ind w:left="700" w:right="719"/>
        <w:spacing w:after="0" w:line="259" w:lineRule="auto"/>
        <w:rPr>
          <w:sz w:val="20"/>
          <w:szCs w:val="20"/>
          <w:color w:val="auto"/>
        </w:rPr>
      </w:pPr>
      <w:r>
        <w:rPr>
          <w:rFonts w:ascii="Times New Roman" w:cs="Times New Roman" w:eastAsia="Times New Roman" w:hAnsi="Times New Roman"/>
          <w:sz w:val="16"/>
          <w:szCs w:val="16"/>
          <w:color w:val="auto"/>
        </w:rPr>
        <w:t>Viatris files annual, quarterly and current reports, proxy statements and other information with the SEC under the Exchange Act. The SEC maintains an Internet website from which interested parties can electronically access our SEC filings, including the Registration Statement of which this prospectus is a part and the exhibits and schedules thereto. The address of that site is http://www.sec.gov. We also make available free of charge on our Internet website address, www.viatris.com, all materials that we electronically file with the SEC. The contents of the SEC’s website and our website are not incorporated by reference in this prospectus (except for the information expressly incorporated herein by reference as described in “Incorporation of Certain Documents by Reference”) and shall not be deemed “filed” under the Exchange Act.</w:t>
      </w:r>
    </w:p>
    <w:p>
      <w:pPr>
        <w:spacing w:after="0" w:line="68" w:lineRule="exact"/>
        <w:rPr>
          <w:sz w:val="20"/>
          <w:szCs w:val="20"/>
          <w:color w:val="auto"/>
        </w:rPr>
      </w:pPr>
    </w:p>
    <w:p>
      <w:pPr>
        <w:jc w:val="both"/>
        <w:ind w:left="700" w:right="719"/>
        <w:spacing w:after="0" w:line="257" w:lineRule="auto"/>
        <w:rPr>
          <w:sz w:val="20"/>
          <w:szCs w:val="20"/>
          <w:color w:val="auto"/>
        </w:rPr>
      </w:pPr>
      <w:r>
        <w:rPr>
          <w:rFonts w:ascii="Times New Roman" w:cs="Times New Roman" w:eastAsia="Times New Roman" w:hAnsi="Times New Roman"/>
          <w:sz w:val="16"/>
          <w:szCs w:val="16"/>
          <w:color w:val="auto"/>
        </w:rPr>
        <w:t>We have filed with the SEC the Registration Statement, including exhibits and schedules to the Registration Statement, of which this prospectus is a part, under the Securities Act, pursuant to which the securities offered by this prospectus are registered. This prospectus does not contain all of the information set forth in the Registration Statement or the exhibits and schedules thereto, as permitted by the rules and regulations of the SEC. For further information about us and the securities, you should refer to the Registration Statement, of which this prospectus is a part, including the exhibits and schedules to the Registration Statement. This prospectus and any prospectus supplement or free writing prospectus summarize what we consider to be material provisions of certain documents. Statements contained in this prospectus or any prospectus supplement or free writing prospectus as to the contents of any contract or other document referred to in this prospectus or any prospectus supplement or free writing prospectus are not necessarily complete and, where that contract or other document is an exhibit to the Registration Statement or incorporated by reference therein, each statement is qualified in all respects by the exhibit or incorporated document to which the reference relates.</w:t>
      </w:r>
    </w:p>
    <w:p>
      <w:pPr>
        <w:spacing w:after="0" w:line="72" w:lineRule="exact"/>
        <w:rPr>
          <w:sz w:val="20"/>
          <w:szCs w:val="20"/>
          <w:color w:val="auto"/>
        </w:rPr>
      </w:pPr>
    </w:p>
    <w:p>
      <w:pPr>
        <w:jc w:val="both"/>
        <w:ind w:left="700" w:right="719"/>
        <w:spacing w:after="0" w:line="259" w:lineRule="auto"/>
        <w:rPr>
          <w:sz w:val="20"/>
          <w:szCs w:val="20"/>
          <w:color w:val="auto"/>
        </w:rPr>
      </w:pPr>
      <w:r>
        <w:rPr>
          <w:rFonts w:ascii="Times New Roman" w:cs="Times New Roman" w:eastAsia="Times New Roman" w:hAnsi="Times New Roman"/>
          <w:sz w:val="16"/>
          <w:szCs w:val="16"/>
          <w:color w:val="auto"/>
        </w:rPr>
        <w:t>Moreover, the documents included as exhibits to the Registration Statement of which this prospectus forms a part or incorporated by reference into this prospectus or the applicable prospectus supplement or free writing prospectus are intended to provide you with information regarding the terms of such documents and not to provide any other factual or disclosure information about us or the other parties to such documents. Such documents may contain representations, warranties, covenants and other agreements by each of the parties to the applicable document. These representations, warranties, covenants and other agreements have been made solely for the benefit of the other parties to the applicable document and:</w:t>
      </w:r>
    </w:p>
    <w:p>
      <w:pPr>
        <w:spacing w:after="0" w:line="72" w:lineRule="exact"/>
        <w:rPr>
          <w:sz w:val="20"/>
          <w:szCs w:val="20"/>
          <w:color w:val="auto"/>
        </w:rPr>
      </w:pPr>
    </w:p>
    <w:p>
      <w:pPr>
        <w:ind w:left="1340" w:right="719" w:hanging="311"/>
        <w:spacing w:after="0" w:line="288" w:lineRule="auto"/>
        <w:tabs>
          <w:tab w:leader="none" w:pos="13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should not in any instance be treated as categorical statements of fact, but rather as a way of allocating the risk among the parties to such documents if those statements prove to be inaccurate;</w:t>
      </w:r>
    </w:p>
    <w:p>
      <w:pPr>
        <w:spacing w:after="0" w:line="45"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be qualified by disclosures that were made to the other party in connection with the negotiation of the applicable document, which disclosures are not necessarily reflected in the document;</w:t>
      </w:r>
    </w:p>
    <w:p>
      <w:pPr>
        <w:spacing w:after="0" w:line="45"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apply standards of materiality in ways that are different from what may be viewed as material to you or other investors; and</w:t>
      </w:r>
    </w:p>
    <w:p>
      <w:pPr>
        <w:spacing w:after="0" w:line="45"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were made only as of the date of the applicable document or such other date or dates as may be specified in the document and are subject to more recent developments.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5" w:name="page6"/>
    <w:bookmarkEnd w:id="5"/>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INCORPORATION OF CERTAIN DOCUMENTS BY REFERENCE</w:t>
      </w:r>
    </w:p>
    <w:p>
      <w:pPr>
        <w:spacing w:after="0" w:line="110" w:lineRule="exact"/>
        <w:rPr>
          <w:sz w:val="20"/>
          <w:szCs w:val="20"/>
          <w:color w:val="auto"/>
        </w:rPr>
      </w:pPr>
    </w:p>
    <w:p>
      <w:pPr>
        <w:jc w:val="both"/>
        <w:ind w:left="700" w:right="719"/>
        <w:spacing w:after="0" w:line="261" w:lineRule="auto"/>
        <w:rPr>
          <w:sz w:val="20"/>
          <w:szCs w:val="20"/>
          <w:color w:val="auto"/>
        </w:rPr>
      </w:pPr>
      <w:r>
        <w:rPr>
          <w:rFonts w:ascii="Times New Roman" w:cs="Times New Roman" w:eastAsia="Times New Roman" w:hAnsi="Times New Roman"/>
          <w:sz w:val="16"/>
          <w:szCs w:val="16"/>
          <w:color w:val="auto"/>
        </w:rPr>
        <w:t>We “incorporate by reference” certain information into this prospectus from certain documents that Viatris has filed with the SEC. This information is considered to be part of this prospectus, except for any information that is superseded or modified by information included directly in this prospectus. This prospectus incorporates by reference the documents set forth below (other than information furnished pursuant to Item 2.02 or Item 7.01 of a Current Report on Form 8-K) that Viatris has previously filed with the SEC. These documents contain important information about us, including our financial condition, results of operations and descriptions of our businesses.</w:t>
      </w:r>
    </w:p>
    <w:p>
      <w:pPr>
        <w:spacing w:after="0" w:line="66" w:lineRule="exact"/>
        <w:rPr>
          <w:sz w:val="20"/>
          <w:szCs w:val="20"/>
          <w:color w:val="auto"/>
        </w:rPr>
      </w:pPr>
    </w:p>
    <w:p>
      <w:pPr>
        <w:ind w:left="1340" w:right="719" w:hanging="311"/>
        <w:spacing w:after="0" w:line="288" w:lineRule="auto"/>
        <w:tabs>
          <w:tab w:leader="none" w:pos="1340" w:val="left"/>
        </w:tabs>
        <w:numPr>
          <w:ilvl w:val="0"/>
          <w:numId w:val="3"/>
        </w:numPr>
        <w:rPr>
          <w:rFonts w:ascii="Times New Roman" w:cs="Times New Roman" w:eastAsia="Times New Roman" w:hAnsi="Times New Roman"/>
          <w:sz w:val="16"/>
          <w:szCs w:val="16"/>
          <w:color w:val="0000EE"/>
        </w:rPr>
      </w:pPr>
      <w:hyperlink r:id="rId24">
        <w:r>
          <w:rPr>
            <w:rFonts w:ascii="Times New Roman" w:cs="Times New Roman" w:eastAsia="Times New Roman" w:hAnsi="Times New Roman"/>
            <w:sz w:val="16"/>
            <w:szCs w:val="16"/>
            <w:color w:val="auto"/>
          </w:rPr>
          <w:t xml:space="preserve">Annual Report on Form 10-K of Viatris for the year ended December 31, 2024, filed on </w:t>
        </w:r>
        <w:r>
          <w:rPr>
            <w:rFonts w:ascii="Times New Roman" w:cs="Times New Roman" w:eastAsia="Times New Roman" w:hAnsi="Times New Roman"/>
            <w:sz w:val="16"/>
            <w:szCs w:val="16"/>
            <w:u w:val="single" w:color="auto"/>
            <w:color w:val="0000EE"/>
          </w:rPr>
          <w:t>February 27,</w:t>
        </w:r>
      </w:hyperlink>
      <w:r>
        <w:rPr>
          <w:rFonts w:ascii="Times New Roman" w:cs="Times New Roman" w:eastAsia="Times New Roman" w:hAnsi="Times New Roman"/>
          <w:sz w:val="16"/>
          <w:szCs w:val="16"/>
          <w:color w:val="auto"/>
        </w:rPr>
        <w:t xml:space="preserve"> </w:t>
      </w:r>
      <w:hyperlink r:id="rId24">
        <w:r>
          <w:rPr>
            <w:rFonts w:ascii="Times New Roman" w:cs="Times New Roman" w:eastAsia="Times New Roman" w:hAnsi="Times New Roman"/>
            <w:sz w:val="16"/>
            <w:szCs w:val="16"/>
            <w:u w:val="single" w:color="auto"/>
            <w:color w:val="0000EE"/>
          </w:rPr>
          <w:t>2025</w:t>
        </w:r>
        <w:r>
          <w:rPr>
            <w:rFonts w:ascii="Times New Roman" w:cs="Times New Roman" w:eastAsia="Times New Roman" w:hAnsi="Times New Roman"/>
            <w:sz w:val="16"/>
            <w:szCs w:val="16"/>
            <w:color w:val="000000"/>
          </w:rPr>
          <w:t>, as amended by Amendment No. 1 on Form 10-K/A, filed on</w:t>
        </w:r>
        <w:r>
          <w:rPr>
            <w:rFonts w:ascii="Times New Roman" w:cs="Times New Roman" w:eastAsia="Times New Roman" w:hAnsi="Times New Roman"/>
            <w:sz w:val="16"/>
            <w:szCs w:val="16"/>
            <w:color w:val="0000EE"/>
          </w:rPr>
          <w:t xml:space="preserve"> </w:t>
        </w:r>
      </w:hyperlink>
      <w:hyperlink r:id="rId25">
        <w:r>
          <w:rPr>
            <w:rFonts w:ascii="Times New Roman" w:cs="Times New Roman" w:eastAsia="Times New Roman" w:hAnsi="Times New Roman"/>
            <w:sz w:val="16"/>
            <w:szCs w:val="16"/>
            <w:u w:val="single" w:color="auto"/>
            <w:color w:val="0000EE"/>
          </w:rPr>
          <w:t>April 30, 2025</w:t>
        </w:r>
      </w:hyperlink>
      <w:hyperlink r:id="rId24">
        <w:r>
          <w:rPr>
            <w:rFonts w:ascii="Times New Roman" w:cs="Times New Roman" w:eastAsia="Times New Roman" w:hAnsi="Times New Roman"/>
            <w:sz w:val="16"/>
            <w:szCs w:val="16"/>
            <w:color w:val="000000"/>
          </w:rPr>
          <w:t>;</w:t>
        </w:r>
      </w:hyperlink>
    </w:p>
    <w:p>
      <w:pPr>
        <w:spacing w:after="0" w:line="45" w:lineRule="exact"/>
        <w:rPr>
          <w:rFonts w:ascii="Times New Roman" w:cs="Times New Roman" w:eastAsia="Times New Roman" w:hAnsi="Times New Roman"/>
          <w:sz w:val="16"/>
          <w:szCs w:val="16"/>
          <w:color w:val="0000EE"/>
        </w:rPr>
      </w:pPr>
    </w:p>
    <w:p>
      <w:pPr>
        <w:ind w:left="1340" w:hanging="311"/>
        <w:spacing w:after="0"/>
        <w:tabs>
          <w:tab w:leader="none" w:pos="1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Quarterly Report on Form 10-Q of Viatris for the quarter ended March 31, 2025, filed on </w:t>
      </w:r>
      <w:hyperlink r:id="rId26">
        <w:r>
          <w:rPr>
            <w:rFonts w:ascii="Times New Roman" w:cs="Times New Roman" w:eastAsia="Times New Roman" w:hAnsi="Times New Roman"/>
            <w:sz w:val="16"/>
            <w:szCs w:val="16"/>
            <w:u w:val="single" w:color="auto"/>
            <w:color w:val="0000EE"/>
          </w:rPr>
          <w:t>May 8, 2025</w:t>
        </w:r>
      </w:hyperlink>
      <w:r>
        <w:rPr>
          <w:rFonts w:ascii="Times New Roman" w:cs="Times New Roman" w:eastAsia="Times New Roman" w:hAnsi="Times New Roman"/>
          <w:sz w:val="16"/>
          <w:szCs w:val="16"/>
          <w:color w:val="auto"/>
        </w:rPr>
        <w:t>;</w:t>
      </w:r>
    </w:p>
    <w:p>
      <w:pPr>
        <w:spacing w:after="0" w:line="10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Current Reports on Form 8-K of Viatris, filed on </w:t>
      </w:r>
      <w:hyperlink r:id="rId27">
        <w:r>
          <w:rPr>
            <w:rFonts w:ascii="Times New Roman" w:cs="Times New Roman" w:eastAsia="Times New Roman" w:hAnsi="Times New Roman"/>
            <w:sz w:val="16"/>
            <w:szCs w:val="16"/>
            <w:u w:val="single" w:color="auto"/>
            <w:color w:val="0000EE"/>
          </w:rPr>
          <w:t>February 27, 2025</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(Item 8.01 only), </w:t>
      </w:r>
      <w:hyperlink r:id="rId28">
        <w:r>
          <w:rPr>
            <w:rFonts w:ascii="Times New Roman" w:cs="Times New Roman" w:eastAsia="Times New Roman" w:hAnsi="Times New Roman"/>
            <w:sz w:val="16"/>
            <w:szCs w:val="16"/>
            <w:u w:val="single" w:color="auto"/>
            <w:color w:val="0000EE"/>
          </w:rPr>
          <w:t>May 5, 2025</w:t>
        </w:r>
      </w:hyperlink>
      <w:r>
        <w:rPr>
          <w:rFonts w:ascii="Times New Roman" w:cs="Times New Roman" w:eastAsia="Times New Roman" w:hAnsi="Times New Roman"/>
          <w:sz w:val="16"/>
          <w:szCs w:val="16"/>
          <w:color w:val="auto"/>
        </w:rPr>
        <w:t xml:space="preserve"> (Item 5.02 only) and </w:t>
      </w:r>
      <w:hyperlink r:id="rId29">
        <w:r>
          <w:rPr>
            <w:rFonts w:ascii="Times New Roman" w:cs="Times New Roman" w:eastAsia="Times New Roman" w:hAnsi="Times New Roman"/>
            <w:sz w:val="16"/>
            <w:szCs w:val="16"/>
            <w:u w:val="single" w:color="auto"/>
            <w:color w:val="0000EE"/>
          </w:rPr>
          <w:t>May 8, 2025</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(Item 8.01 only); and</w:t>
      </w:r>
    </w:p>
    <w:p>
      <w:pPr>
        <w:spacing w:after="0" w:line="45" w:lineRule="exact"/>
        <w:rPr>
          <w:rFonts w:ascii="Times New Roman" w:cs="Times New Roman" w:eastAsia="Times New Roman" w:hAnsi="Times New Roman"/>
          <w:sz w:val="16"/>
          <w:szCs w:val="16"/>
          <w:color w:val="auto"/>
        </w:rPr>
      </w:pPr>
    </w:p>
    <w:p>
      <w:pPr>
        <w:jc w:val="both"/>
        <w:ind w:left="1340" w:right="719" w:hanging="311"/>
        <w:spacing w:after="0" w:line="271" w:lineRule="auto"/>
        <w:tabs>
          <w:tab w:leader="none" w:pos="1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description of our capital stock contained in </w:t>
      </w:r>
      <w:hyperlink r:id="rId30">
        <w:r>
          <w:rPr>
            <w:rFonts w:ascii="Times New Roman" w:cs="Times New Roman" w:eastAsia="Times New Roman" w:hAnsi="Times New Roman"/>
            <w:sz w:val="16"/>
            <w:szCs w:val="16"/>
            <w:u w:val="single" w:color="auto"/>
            <w:color w:val="0000EE"/>
          </w:rPr>
          <w:t>Exhibit 4.9</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to the Annual Report on Form 10-K of Viatris for the year ended December 31, 2023, filed on </w:t>
      </w:r>
      <w:hyperlink r:id="rId31">
        <w:r>
          <w:rPr>
            <w:rFonts w:ascii="Times New Roman" w:cs="Times New Roman" w:eastAsia="Times New Roman" w:hAnsi="Times New Roman"/>
            <w:sz w:val="16"/>
            <w:szCs w:val="16"/>
            <w:u w:val="single" w:color="auto"/>
            <w:color w:val="0000EE"/>
          </w:rPr>
          <w:t>February 28, 2024</w:t>
        </w:r>
      </w:hyperlink>
      <w:r>
        <w:rPr>
          <w:rFonts w:ascii="Times New Roman" w:cs="Times New Roman" w:eastAsia="Times New Roman" w:hAnsi="Times New Roman"/>
          <w:sz w:val="16"/>
          <w:szCs w:val="16"/>
          <w:color w:val="auto"/>
        </w:rPr>
        <w:t>, as supplemented by any subsequent amendments and reports filed for the purpose of updating such description.</w:t>
      </w:r>
    </w:p>
    <w:p>
      <w:pPr>
        <w:spacing w:after="0" w:line="59" w:lineRule="exact"/>
        <w:rPr>
          <w:rFonts w:ascii="Times New Roman" w:cs="Times New Roman" w:eastAsia="Times New Roman" w:hAnsi="Times New Roman"/>
          <w:sz w:val="16"/>
          <w:szCs w:val="16"/>
          <w:color w:val="auto"/>
        </w:rPr>
      </w:pPr>
    </w:p>
    <w:p>
      <w:pPr>
        <w:jc w:val="both"/>
        <w:ind w:left="700" w:right="719"/>
        <w:spacing w:after="0" w:line="262" w:lineRule="auto"/>
        <w:rPr>
          <w:sz w:val="20"/>
          <w:szCs w:val="20"/>
          <w:color w:val="auto"/>
        </w:rPr>
      </w:pPr>
      <w:r>
        <w:rPr>
          <w:rFonts w:ascii="Times New Roman" w:cs="Times New Roman" w:eastAsia="Times New Roman" w:hAnsi="Times New Roman"/>
          <w:sz w:val="16"/>
          <w:szCs w:val="16"/>
          <w:color w:val="auto"/>
        </w:rPr>
        <w:t>In addition, we hereby further incorporate by reference into this prospectus additional documents that Viatris may file with the SEC pursuant to Sections 13(a), 13(c), 14 or 15(d) of the Exchange Act on and after the date of this prospectus until all of the securities offered pursuant to this prospectus have been sold or the offering of such securities hereunder has been terminated (other than any report or document, or portion of a report or document, that is furnished under applicable SEC rules rather than “filed”).</w:t>
      </w:r>
    </w:p>
    <w:p>
      <w:pPr>
        <w:spacing w:after="0" w:line="67" w:lineRule="exact"/>
        <w:rPr>
          <w:rFonts w:ascii="Times New Roman" w:cs="Times New Roman" w:eastAsia="Times New Roman" w:hAnsi="Times New Roman"/>
          <w:sz w:val="16"/>
          <w:szCs w:val="16"/>
          <w:color w:val="auto"/>
        </w:rPr>
      </w:pPr>
    </w:p>
    <w:p>
      <w:pPr>
        <w:jc w:val="both"/>
        <w:ind w:left="700" w:right="719"/>
        <w:spacing w:after="0" w:line="262" w:lineRule="auto"/>
        <w:rPr>
          <w:sz w:val="20"/>
          <w:szCs w:val="20"/>
          <w:color w:val="auto"/>
        </w:rPr>
      </w:pPr>
      <w:r>
        <w:rPr>
          <w:rFonts w:ascii="Times New Roman" w:cs="Times New Roman" w:eastAsia="Times New Roman" w:hAnsi="Times New Roman"/>
          <w:sz w:val="16"/>
          <w:szCs w:val="16"/>
          <w:color w:val="auto"/>
        </w:rPr>
        <w:t>Any statement contained herein or in any document incorporated by reference herein shall be deemed modified or superseded for purposes of this prospectus to the extent that a statement contained herein or in any subsequently filed document which is also incorporated by reference herein modifies or supersedes such statement. Any such statement so modified or superseded shall not be deemed to constitute a part of this prospectus, except as so modified or superseded.</w:t>
      </w:r>
    </w:p>
    <w:p>
      <w:pPr>
        <w:spacing w:after="0" w:line="67" w:lineRule="exact"/>
        <w:rPr>
          <w:rFonts w:ascii="Times New Roman" w:cs="Times New Roman" w:eastAsia="Times New Roman" w:hAnsi="Times New Roman"/>
          <w:sz w:val="16"/>
          <w:szCs w:val="16"/>
          <w:color w:val="auto"/>
        </w:rPr>
      </w:pPr>
    </w:p>
    <w:p>
      <w:pPr>
        <w:jc w:val="both"/>
        <w:ind w:left="700" w:right="719"/>
        <w:spacing w:after="0" w:line="271" w:lineRule="auto"/>
        <w:rPr>
          <w:sz w:val="20"/>
          <w:szCs w:val="20"/>
          <w:color w:val="auto"/>
        </w:rPr>
      </w:pPr>
      <w:r>
        <w:rPr>
          <w:rFonts w:ascii="Times New Roman" w:cs="Times New Roman" w:eastAsia="Times New Roman" w:hAnsi="Times New Roman"/>
          <w:sz w:val="16"/>
          <w:szCs w:val="16"/>
          <w:color w:val="auto"/>
        </w:rPr>
        <w:t>You can obtain any of the documents incorporated by reference into this prospectus from the SEC, through the SEC’s website at the address described above or from us by requesting them in writing or by telephone at the following address:</w:t>
      </w:r>
    </w:p>
    <w:p>
      <w:pPr>
        <w:spacing w:after="0" w:line="107" w:lineRule="exact"/>
        <w:rPr>
          <w:rFonts w:ascii="Times New Roman" w:cs="Times New Roman" w:eastAsia="Times New Roman" w:hAnsi="Times New Roman"/>
          <w:sz w:val="16"/>
          <w:szCs w:val="16"/>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Viatris Inc.</w:t>
      </w:r>
    </w:p>
    <w:p>
      <w:pPr>
        <w:spacing w:after="0" w:line="27" w:lineRule="exact"/>
        <w:rPr>
          <w:rFonts w:ascii="Times New Roman" w:cs="Times New Roman" w:eastAsia="Times New Roman" w:hAnsi="Times New Roman"/>
          <w:sz w:val="16"/>
          <w:szCs w:val="16"/>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Attention: Investor Relations</w:t>
      </w:r>
    </w:p>
    <w:p>
      <w:pPr>
        <w:spacing w:after="0" w:line="11" w:lineRule="exact"/>
        <w:rPr>
          <w:rFonts w:ascii="Times New Roman" w:cs="Times New Roman" w:eastAsia="Times New Roman" w:hAnsi="Times New Roman"/>
          <w:sz w:val="16"/>
          <w:szCs w:val="16"/>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1000 Mylan Boulevard</w:t>
      </w:r>
    </w:p>
    <w:p>
      <w:pPr>
        <w:spacing w:after="0" w:line="11" w:lineRule="exact"/>
        <w:rPr>
          <w:rFonts w:ascii="Times New Roman" w:cs="Times New Roman" w:eastAsia="Times New Roman" w:hAnsi="Times New Roman"/>
          <w:sz w:val="16"/>
          <w:szCs w:val="16"/>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Canonsburg, Pennsylvania 15317</w:t>
      </w:r>
    </w:p>
    <w:p>
      <w:pPr>
        <w:spacing w:after="0" w:line="11" w:lineRule="exact"/>
        <w:rPr>
          <w:rFonts w:ascii="Times New Roman" w:cs="Times New Roman" w:eastAsia="Times New Roman" w:hAnsi="Times New Roman"/>
          <w:sz w:val="16"/>
          <w:szCs w:val="16"/>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Tel: (724) 514-1800</w:t>
      </w:r>
    </w:p>
    <w:p>
      <w:pPr>
        <w:spacing w:after="0" w:line="93" w:lineRule="exact"/>
        <w:rPr>
          <w:rFonts w:ascii="Times New Roman" w:cs="Times New Roman" w:eastAsia="Times New Roman" w:hAnsi="Times New Roman"/>
          <w:sz w:val="16"/>
          <w:szCs w:val="16"/>
          <w:color w:val="auto"/>
        </w:rPr>
      </w:pPr>
    </w:p>
    <w:p>
      <w:pPr>
        <w:jc w:val="both"/>
        <w:ind w:left="700" w:right="719"/>
        <w:spacing w:after="0" w:line="265" w:lineRule="auto"/>
        <w:rPr>
          <w:sz w:val="20"/>
          <w:szCs w:val="20"/>
          <w:color w:val="auto"/>
        </w:rPr>
      </w:pPr>
      <w:r>
        <w:rPr>
          <w:rFonts w:ascii="Times New Roman" w:cs="Times New Roman" w:eastAsia="Times New Roman" w:hAnsi="Times New Roman"/>
          <w:sz w:val="16"/>
          <w:szCs w:val="16"/>
          <w:color w:val="auto"/>
        </w:rPr>
        <w:t>We will furnish without charge to each person, including any beneficial owner of our securities, to whom a copy of this prospectus is delivered, upon written or oral request, a copy of the information that has been incorporated into this prospectus by reference but not delivered with the prospectus, excluding any exhibits other than those that are specifically incorporated by reference into this prospectus.</w:t>
      </w:r>
    </w:p>
    <w:p>
      <w:pPr>
        <w:spacing w:after="0" w:line="162" w:lineRule="exact"/>
        <w:rPr>
          <w:rFonts w:ascii="Times New Roman" w:cs="Times New Roman" w:eastAsia="Times New Roman" w:hAnsi="Times New Roman"/>
          <w:sz w:val="16"/>
          <w:szCs w:val="16"/>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-294640</wp:posOffset>
            </wp:positionH>
            <wp:positionV relativeFrom="paragraph">
              <wp:posOffset>118110</wp:posOffset>
            </wp:positionV>
            <wp:extent cx="631063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6" w:name="page7"/>
    <w:bookmarkEnd w:id="6"/>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b w:val="1"/>
          <w:bCs w:val="1"/>
          <w:color w:val="auto"/>
        </w:rPr>
        <w:t>CAUTIONARY LANGUAGE REGARDING FORWARD-LOOKING STATEMENTS</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This prospectus, and the documents incorporated herein by reference, contain “forward-looking statements.”</w:t>
      </w:r>
    </w:p>
    <w:p>
      <w:pPr>
        <w:spacing w:after="0" w:line="108" w:lineRule="exact"/>
        <w:rPr>
          <w:sz w:val="20"/>
          <w:szCs w:val="20"/>
          <w:color w:val="auto"/>
        </w:rPr>
      </w:pPr>
    </w:p>
    <w:p>
      <w:pPr>
        <w:jc w:val="both"/>
        <w:ind w:left="700" w:right="719"/>
        <w:spacing w:after="0" w:line="256" w:lineRule="auto"/>
        <w:rPr>
          <w:sz w:val="20"/>
          <w:szCs w:val="20"/>
          <w:color w:val="auto"/>
        </w:rPr>
      </w:pPr>
      <w:r>
        <w:rPr>
          <w:rFonts w:ascii="Times New Roman" w:cs="Times New Roman" w:eastAsia="Times New Roman" w:hAnsi="Times New Roman"/>
          <w:sz w:val="16"/>
          <w:szCs w:val="16"/>
          <w:color w:val="auto"/>
        </w:rPr>
        <w:t>These statements are made pursuant to the safe harbor provisions of the Private Securities Litigation Reform Act of 1995. Such forward-looking statements may include, without limitation, statements about the offering of securities registered hereunder, the goals or outlooks with respect to the Company’s strategic initiatives and priorities, including but not limited to divestitures, acquisitions, strategic alliances, collaborations or other potential transactions; the benefits and synergies of such divestitures, acquisitions, strategic alliances, collaborations or other potential transactions, or restructuring programs; future opportunities for the Company and its products; and any other statements regarding the Company’s future operations, financial or operating results, capital allocation, dividend policy and payments, share repurchases, debt ratio and covenants, anticipated business levels, future earnings, planned activities, anticipated growth, market opportunities, strategies, competitions, commitments, confidence in future results, efforts to create, enhance or otherwise unlock value,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75" w:lineRule="exact"/>
        <w:rPr>
          <w:sz w:val="20"/>
          <w:szCs w:val="20"/>
          <w:color w:val="auto"/>
        </w:rPr>
      </w:pPr>
    </w:p>
    <w:p>
      <w:pPr>
        <w:jc w:val="both"/>
        <w:ind w:left="1340" w:right="719" w:hanging="311"/>
        <w:spacing w:after="0" w:line="265" w:lineRule="auto"/>
        <w:tabs>
          <w:tab w:leader="none" w:pos="1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that the Company may not realize the intended benefits of, or achieve the intended goals or outlooks with respect to its strategic initiatives and priorities (including divestitures, acquisitions, strategic alliances, collaborations or other potential transactions) or accelerate its growth by building on the strength of its base business with an expanding portfolio of innovative, best-in-class, patent-protected assets;</w:t>
      </w:r>
    </w:p>
    <w:p>
      <w:pPr>
        <w:spacing w:after="0" w:line="64" w:lineRule="exact"/>
        <w:rPr>
          <w:rFonts w:ascii="Times New Roman" w:cs="Times New Roman" w:eastAsia="Times New Roman" w:hAnsi="Times New Roman"/>
          <w:sz w:val="16"/>
          <w:szCs w:val="16"/>
          <w:color w:val="auto"/>
        </w:rPr>
      </w:pPr>
    </w:p>
    <w:p>
      <w:pPr>
        <w:jc w:val="both"/>
        <w:ind w:left="1340" w:right="719" w:hanging="311"/>
        <w:spacing w:after="0" w:line="265" w:lineRule="auto"/>
        <w:tabs>
          <w:tab w:leader="none" w:pos="1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that the Company may be unable to achieve intended or expected benefits, goals, outlooks, synergies, growth opportunities and operating efficiencies in connection with divestitures, acquisitions, strategic alliances, collaborations or other transactions or restructuring programs, within the expected timeframes or at all;</w:t>
      </w:r>
    </w:p>
    <w:p>
      <w:pPr>
        <w:spacing w:after="0" w:line="64"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ongoing risks and uncertainties associated with our recent divestitures;</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or impairment charges or other losses;</w:t>
      </w:r>
    </w:p>
    <w:p>
      <w:pPr>
        <w:spacing w:after="0" w:line="10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failure to achieve expected or targeted future financial and operating performance and results;</w:t>
      </w:r>
    </w:p>
    <w:p>
      <w:pPr>
        <w:spacing w:after="0" w:line="45"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impact of natural or man-made disasters, public health outbreaks, epidemics, pandemics or social disruption in regions where we or our partners or suppliers operate;</w:t>
      </w:r>
    </w:p>
    <w:p>
      <w:pPr>
        <w:spacing w:after="0" w:line="45"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and decisions of healthcare and pharmaceutical regulators;</w:t>
      </w:r>
    </w:p>
    <w:p>
      <w:pPr>
        <w:spacing w:after="0" w:line="10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relevant laws, regulations and policies and/or the application or implementation thereof, including but not limited to tax, healthcare and pharmaceutical laws, regulations and policies globally;</w:t>
      </w:r>
    </w:p>
    <w:p>
      <w:pPr>
        <w:spacing w:after="0" w:line="45"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attract, motivate and retain key personnel;</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liquidity, capital resources and ability to obtain financing;</w:t>
      </w:r>
    </w:p>
    <w:p>
      <w:pPr>
        <w:spacing w:after="0" w:line="10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regulatory, legal or other impediments to the Company’s ability to bring new products to market, including but not limited to “at-risk launches”;</w:t>
      </w:r>
    </w:p>
    <w:p>
      <w:pPr>
        <w:spacing w:after="0" w:line="45"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products in development that receive regulatory approval may not achieve expected levels of market acceptance, efficacy or safety;</w:t>
      </w:r>
    </w:p>
    <w:p>
      <w:pPr>
        <w:spacing w:after="0" w:line="45"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longer review, response and approval times as a result of evolving regulatory priorities and reductions in personnel at health agencies;</w:t>
      </w:r>
    </w:p>
    <w:p>
      <w:pPr>
        <w:spacing w:after="0" w:line="45"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 of clinical trials and the Company’s or its partners’ ability to execute on new product opportunities and develop, manufacture and commercialize products;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7" w:name="page8"/>
    <w:bookmarkEnd w:id="7"/>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2" w:lineRule="exact"/>
        <w:rPr>
          <w:sz w:val="20"/>
          <w:szCs w:val="20"/>
          <w:color w:val="auto"/>
        </w:rPr>
      </w:pPr>
    </w:p>
    <w:p>
      <w:pPr>
        <w:jc w:val="both"/>
        <w:ind w:left="1340" w:right="719" w:hanging="311"/>
        <w:spacing w:after="0" w:line="271" w:lineRule="auto"/>
        <w:tabs>
          <w:tab w:leader="none" w:pos="1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changes in or difficulties with the Company’s manufacturing facilities, including with respect to inspections, remediation and restructuring activities, supply chain or inventory or the ability to meet anticipated demand;</w:t>
      </w:r>
    </w:p>
    <w:p>
      <w:pPr>
        <w:spacing w:after="0" w:line="5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timing and outcome of any ongoing legal proceedings, including government inquiries or investigations, and the impact of any such proceedings on the Company;</w:t>
      </w:r>
    </w:p>
    <w:p>
      <w:pPr>
        <w:spacing w:after="0" w:line="45"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significant breach of data security or data privacy or disruptions to our IT systems;</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having significant operations globally;</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protect intellectual property and preserve intellectual property rights;</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third-party relationships;</w:t>
      </w:r>
    </w:p>
    <w:p>
      <w:pPr>
        <w:spacing w:after="0" w:line="108" w:lineRule="exact"/>
        <w:rPr>
          <w:rFonts w:ascii="Times New Roman" w:cs="Times New Roman" w:eastAsia="Times New Roman" w:hAnsi="Times New Roman"/>
          <w:sz w:val="16"/>
          <w:szCs w:val="16"/>
          <w:color w:val="auto"/>
        </w:rPr>
      </w:pPr>
    </w:p>
    <w:p>
      <w:pPr>
        <w:jc w:val="both"/>
        <w:ind w:left="1340" w:right="719" w:hanging="311"/>
        <w:spacing w:after="0" w:line="271" w:lineRule="auto"/>
        <w:tabs>
          <w:tab w:leader="none" w:pos="1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any changes in the Company’s or its partners’ customer and supplier relationships and customer purchasing patterns, including customer loss and business disruption being greater than expected following an adverse regulatory action, acquisition or divestiture;</w:t>
      </w:r>
    </w:p>
    <w:p>
      <w:pPr>
        <w:spacing w:after="0" w:line="5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impacts of competition, including decreases in sales or revenues as a result of the loss of market exclusivity for certain products;</w:t>
      </w:r>
    </w:p>
    <w:p>
      <w:pPr>
        <w:spacing w:after="0" w:line="45"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economic and financial conditions of the Company or its partners;</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regarding future demand, pricing and reimbursement for the Company’s products;</w:t>
      </w:r>
    </w:p>
    <w:p>
      <w:pPr>
        <w:spacing w:after="0" w:line="108" w:lineRule="exact"/>
        <w:rPr>
          <w:rFonts w:ascii="Times New Roman" w:cs="Times New Roman" w:eastAsia="Times New Roman" w:hAnsi="Times New Roman"/>
          <w:sz w:val="16"/>
          <w:szCs w:val="16"/>
          <w:color w:val="auto"/>
        </w:rPr>
      </w:pPr>
    </w:p>
    <w:p>
      <w:pPr>
        <w:jc w:val="both"/>
        <w:ind w:left="1340" w:right="719" w:hanging="311"/>
        <w:spacing w:after="0" w:line="271" w:lineRule="auto"/>
        <w:tabs>
          <w:tab w:leader="none" w:pos="1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and matters beyond the control of management, including but not limited to general political and economic conditions, potential for adverse impacts from future tariffs and trade restrictions, inflation rates and global exchange rates; and</w:t>
      </w:r>
    </w:p>
    <w:p>
      <w:pPr>
        <w:spacing w:after="0" w:line="58" w:lineRule="exact"/>
        <w:rPr>
          <w:rFonts w:ascii="Times New Roman" w:cs="Times New Roman" w:eastAsia="Times New Roman" w:hAnsi="Times New Roman"/>
          <w:sz w:val="16"/>
          <w:szCs w:val="16"/>
          <w:color w:val="auto"/>
        </w:rPr>
      </w:pPr>
    </w:p>
    <w:p>
      <w:pPr>
        <w:jc w:val="both"/>
        <w:ind w:left="1340" w:right="719" w:hanging="311"/>
        <w:spacing w:after="0" w:line="271" w:lineRule="auto"/>
        <w:tabs>
          <w:tab w:leader="none" w:pos="1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59" w:lineRule="exact"/>
        <w:rPr>
          <w:sz w:val="20"/>
          <w:szCs w:val="20"/>
          <w:color w:val="auto"/>
        </w:rPr>
      </w:pPr>
    </w:p>
    <w:p>
      <w:pPr>
        <w:jc w:val="both"/>
        <w:ind w:left="700" w:right="719"/>
        <w:spacing w:after="0" w:line="265" w:lineRule="auto"/>
        <w:rPr>
          <w:sz w:val="20"/>
          <w:szCs w:val="20"/>
          <w:color w:val="auto"/>
        </w:rPr>
      </w:pPr>
      <w:r>
        <w:rPr>
          <w:rFonts w:ascii="Times New Roman" w:cs="Times New Roman" w:eastAsia="Times New Roman" w:hAnsi="Times New Roman"/>
          <w:sz w:val="16"/>
          <w:szCs w:val="16"/>
          <w:color w:val="auto"/>
        </w:rPr>
        <w:t xml:space="preserve">For more detailed information on the risks and uncertainties associated with Viatris, see the risks described in Part I, Item 1A in the Annual Report on Form 10-K of Viatris for the year ended December 31, 2024, as amended, and Viatris’ subsequent filings with the SEC. In addition, risks related to the securities are more fully discussed in the section entitled “Risk Factors” on page </w:t>
      </w:r>
      <w:r>
        <w:rPr>
          <w:rFonts w:ascii="Times New Roman" w:cs="Times New Roman" w:eastAsia="Times New Roman" w:hAnsi="Times New Roman"/>
          <w:sz w:val="16"/>
          <w:szCs w:val="16"/>
          <w:u w:val="single" w:color="auto"/>
          <w:color w:val="0000EE"/>
        </w:rPr>
        <w:t>7</w:t>
      </w:r>
      <w:r>
        <w:rPr>
          <w:rFonts w:ascii="Times New Roman" w:cs="Times New Roman" w:eastAsia="Times New Roman" w:hAnsi="Times New Roman"/>
          <w:sz w:val="16"/>
          <w:szCs w:val="16"/>
          <w:color w:val="auto"/>
        </w:rPr>
        <w:t xml:space="preserve"> of this prospectus.</w:t>
      </w:r>
    </w:p>
    <w:p>
      <w:pPr>
        <w:spacing w:after="0" w:line="64" w:lineRule="exact"/>
        <w:rPr>
          <w:sz w:val="20"/>
          <w:szCs w:val="20"/>
          <w:color w:val="auto"/>
        </w:rPr>
      </w:pPr>
    </w:p>
    <w:p>
      <w:pPr>
        <w:jc w:val="both"/>
        <w:ind w:left="700" w:right="719"/>
        <w:spacing w:after="0" w:line="261" w:lineRule="auto"/>
        <w:rPr>
          <w:sz w:val="20"/>
          <w:szCs w:val="20"/>
          <w:color w:val="auto"/>
        </w:rPr>
      </w:pPr>
      <w:r>
        <w:rPr>
          <w:rFonts w:ascii="Times New Roman" w:cs="Times New Roman" w:eastAsia="Times New Roman" w:hAnsi="Times New Roman"/>
          <w:sz w:val="16"/>
          <w:szCs w:val="16"/>
          <w:color w:val="auto"/>
        </w:rPr>
        <w:t>You can access Viatris’ filings with the SEC through the SEC website at www.sec.gov or through our website, and we strongly encourage you to do so. The contents of the SEC’s website and our website are not incorporated by reference in this prospectus (except for the information expressly incorporated herein by reference as described in “Incorporation of Certain Documents by Reference”) and shall not be deemed “filed” under the Exchange Act. Viatris undertakes no obligation to update any statements herein for revisions or changes after the filing date of this prospectus other than as required by law.</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8" w:name="page9"/>
    <w:bookmarkEnd w:id="8"/>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OUR COMPANY</w:t>
      </w:r>
    </w:p>
    <w:p>
      <w:pPr>
        <w:spacing w:after="0" w:line="110" w:lineRule="exact"/>
        <w:rPr>
          <w:sz w:val="20"/>
          <w:szCs w:val="20"/>
          <w:color w:val="auto"/>
        </w:rPr>
      </w:pPr>
    </w:p>
    <w:p>
      <w:pPr>
        <w:jc w:val="both"/>
        <w:ind w:left="700" w:right="719"/>
        <w:spacing w:after="0" w:line="261" w:lineRule="auto"/>
        <w:rPr>
          <w:sz w:val="20"/>
          <w:szCs w:val="20"/>
          <w:color w:val="auto"/>
        </w:rPr>
      </w:pPr>
      <w:r>
        <w:rPr>
          <w:rFonts w:ascii="Times New Roman" w:cs="Times New Roman" w:eastAsia="Times New Roman" w:hAnsi="Times New Roman"/>
          <w:sz w:val="16"/>
          <w:szCs w:val="16"/>
          <w:color w:val="auto"/>
        </w:rPr>
        <w:t>Viatris is a global healthcare company whose breadth and scale make it uniquely positioned to address healthcare needs globally. With a mission to empower people worldwide to live healthier at every stage of life, Viatris supplies high-quality medicines to approximately 1 billion patients around the world each year. The Company has a global footprint, an extensive portfolio of medicines that is well-diversified across therapeutic areas, a one-of-a-kind global supply chain designed to reach more people when and where they need them, and the scientific expertise to address some of the world's most enduring health challenges.</w:t>
      </w:r>
    </w:p>
    <w:p>
      <w:pPr>
        <w:spacing w:after="0" w:line="66" w:lineRule="exact"/>
        <w:rPr>
          <w:sz w:val="20"/>
          <w:szCs w:val="20"/>
          <w:color w:val="auto"/>
        </w:rPr>
      </w:pPr>
    </w:p>
    <w:p>
      <w:pPr>
        <w:jc w:val="both"/>
        <w:ind w:left="700" w:right="719"/>
        <w:spacing w:after="0" w:line="259" w:lineRule="auto"/>
        <w:rPr>
          <w:sz w:val="20"/>
          <w:szCs w:val="20"/>
          <w:color w:val="auto"/>
        </w:rPr>
      </w:pPr>
      <w:r>
        <w:rPr>
          <w:rFonts w:ascii="Times New Roman" w:cs="Times New Roman" w:eastAsia="Times New Roman" w:hAnsi="Times New Roman"/>
          <w:sz w:val="16"/>
          <w:szCs w:val="16"/>
          <w:color w:val="auto"/>
        </w:rPr>
        <w:t>Viatris’ executive management team is focused on ensuring that the Company is optimally structured and efficiently resourced to deliver sustainable value to patients, shareholders, customers and other key stakeholders. The Company operates in more than 165 countries and territories with approximately 32,000 employees. The Company has 26 manufacturing and packaging sites worldwide, more than 1,400 approved molecules and industry leading commercial, R&amp;D, regulatory, manufacturing, legal and medical expertise. Viatris’ portfolio consists of generics (including complex products), globally recognized iconic brands, and an expanding portfolio of innovative medicines. Viatris is headquartered in the U.S., with global centers in Pittsburgh, Pennsylvania, Shanghai, China and Hyderabad, India.</w:t>
      </w:r>
    </w:p>
    <w:p>
      <w:pPr>
        <w:spacing w:after="0" w:line="266" w:lineRule="exact"/>
        <w:rPr>
          <w:sz w:val="20"/>
          <w:szCs w:val="20"/>
          <w:color w:val="auto"/>
        </w:rPr>
      </w:pPr>
    </w:p>
    <w:p>
      <w:pPr>
        <w:jc w:val="both"/>
        <w:ind w:left="700" w:right="719"/>
        <w:spacing w:after="0" w:line="259" w:lineRule="auto"/>
        <w:rPr>
          <w:sz w:val="20"/>
          <w:szCs w:val="20"/>
          <w:color w:val="auto"/>
        </w:rPr>
      </w:pPr>
      <w:r>
        <w:rPr>
          <w:rFonts w:ascii="Times New Roman" w:cs="Times New Roman" w:eastAsia="Times New Roman" w:hAnsi="Times New Roman"/>
          <w:sz w:val="16"/>
          <w:szCs w:val="16"/>
          <w:color w:val="auto"/>
        </w:rPr>
        <w:t>Viatris has four reportable segments: Developed Markets, Greater China, JANZ, and Emerging Markets. The Company reports segment information on the basis of markets and geography, which reflects its focus on bringing its large and diversified portfolio of branded and generic products, including complex products, to people on markets everywhere. Our Developed Markets segment comprises our operations primarily in North America and Europe. Our Greater China segment includes our operations in mainland China, Taiwan and Hong Kong. Our JANZ segment consists of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68" w:lineRule="exact"/>
        <w:rPr>
          <w:sz w:val="20"/>
          <w:szCs w:val="20"/>
          <w:color w:val="auto"/>
        </w:rPr>
      </w:pPr>
    </w:p>
    <w:p>
      <w:pPr>
        <w:jc w:val="both"/>
        <w:ind w:left="700" w:right="719"/>
        <w:spacing w:after="0" w:line="256" w:lineRule="auto"/>
        <w:rPr>
          <w:sz w:val="20"/>
          <w:szCs w:val="20"/>
          <w:color w:val="auto"/>
        </w:rPr>
      </w:pPr>
      <w:r>
        <w:rPr>
          <w:rFonts w:ascii="Times New Roman" w:cs="Times New Roman" w:eastAsia="Times New Roman" w:hAnsi="Times New Roman"/>
          <w:sz w:val="16"/>
          <w:szCs w:val="16"/>
          <w:color w:val="auto"/>
        </w:rPr>
        <w:t>Viatris Inc. is a Delaware corporation. Viatris Inc.’s address is 1000 Mylan Boulevard, Canonsburg, Pennsylvania 15317, and its telephone number is (724) 514-1800. Utah Acquisition Sub Inc., a Delaware corporation, is a wholly owned indirect subsidiary of Viatris. Utah Acquisition Sub Inc.’s address is 1000 Mylan Boulevard, Canonsburg, Pennsylvania 15317, and its telephone number is (724) 514-1800. Mylan II B.V., a private limited liability company (</w:t>
      </w:r>
      <w:r>
        <w:rPr>
          <w:rFonts w:ascii="Times New Roman" w:cs="Times New Roman" w:eastAsia="Times New Roman" w:hAnsi="Times New Roman"/>
          <w:sz w:val="16"/>
          <w:szCs w:val="16"/>
          <w:i w:val="1"/>
          <w:iCs w:val="1"/>
          <w:color w:val="auto"/>
        </w:rPr>
        <w:t>besloten vennootschap met beperkte aansprakelijkheid</w:t>
      </w:r>
      <w:r>
        <w:rPr>
          <w:rFonts w:ascii="Times New Roman" w:cs="Times New Roman" w:eastAsia="Times New Roman" w:hAnsi="Times New Roman"/>
          <w:sz w:val="16"/>
          <w:szCs w:val="16"/>
          <w:color w:val="auto"/>
        </w:rPr>
        <w:t>) incorporated and existing under the laws of the Netherlands, with its corporate seat (</w:t>
      </w:r>
      <w:r>
        <w:rPr>
          <w:rFonts w:ascii="Times New Roman" w:cs="Times New Roman" w:eastAsia="Times New Roman" w:hAnsi="Times New Roman"/>
          <w:sz w:val="16"/>
          <w:szCs w:val="16"/>
          <w:i w:val="1"/>
          <w:iCs w:val="1"/>
          <w:color w:val="auto"/>
        </w:rPr>
        <w:t>statutaire zetel</w:t>
      </w:r>
      <w:r>
        <w:rPr>
          <w:rFonts w:ascii="Times New Roman" w:cs="Times New Roman" w:eastAsia="Times New Roman" w:hAnsi="Times New Roman"/>
          <w:sz w:val="16"/>
          <w:szCs w:val="16"/>
          <w:color w:val="auto"/>
        </w:rPr>
        <w:t>) in Amsterdam, the Netherlands, is a wholly owned indirect subsidiary of Viatris. Mylan II B.V.’s principal executive offices are located at Krijgsman 20, 1186 DM Amstelveen, the Netherlands. Mylan Inc., a Pennsylvania corporation, is a wholly owned indirect subsidiary of Viatris. Mylan Inc.’s address is 1000 Mylan Boulevard, Canonsburg, Pennsylvania 15317, and its telephone number is (724) 514-1800. Viatris’ common stock is listed on NASDAQ under the symbol “VTRS”. Our Internet website address is www.viatris.com. The contents of our website are not incorporated by reference in this prospectus and shall not be deemed “filed” under the Exchange Act. Additional information about Viatris is included in the documents incorporated by reference into this prospectus. See “Where You Can Find More Information” and “Incorporation of Certain Documents by Reference” in this prospectus.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9" w:name="page10"/>
    <w:bookmarkEnd w:id="9"/>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10" w:lineRule="exact"/>
        <w:rPr>
          <w:sz w:val="20"/>
          <w:szCs w:val="20"/>
          <w:color w:val="auto"/>
        </w:rPr>
      </w:pPr>
    </w:p>
    <w:p>
      <w:pPr>
        <w:jc w:val="both"/>
        <w:ind w:left="700" w:right="719"/>
        <w:spacing w:after="0" w:line="257" w:lineRule="auto"/>
        <w:rPr>
          <w:sz w:val="20"/>
          <w:szCs w:val="20"/>
          <w:color w:val="auto"/>
        </w:rPr>
      </w:pPr>
      <w:r>
        <w:rPr>
          <w:rFonts w:ascii="Times New Roman" w:cs="Times New Roman" w:eastAsia="Times New Roman" w:hAnsi="Times New Roman"/>
          <w:sz w:val="16"/>
          <w:szCs w:val="16"/>
          <w:color w:val="auto"/>
        </w:rPr>
        <w:t>Investing in our securities involves risks. Before making an investment decision, you should consider carefully the information under the heading “Risk Factors” in the Annual Report on Form 10-K of Viatris for the fiscal year ended December 31, 2024, as updated by subsequent annual, quarterly and other reports or documents we file with the SEC that are incorporated by reference herein. You should also carefully consider the other information included in this prospectus or the applicable prospectus supplement or free writing prospectus and other information incorporated by reference herein or therein. Each of the risks included or incorporated by reference herein or therein could result in a decrease in the value of our securities and your investment therein. Although we have tried to discuss what we believe are key risk factors, please be aware that other risks may prove to be important in the future. New risks may emerge at any time, and we cannot predict those risks or estimate the extent to which they may affect our financial performance or the values of the securities. The information contained in, and incorporated by reference into, this prospectus and any prospectus supplement or free writing prospectus includes forward-looking statements that involve risks and uncertainties, and we refer you to the “Cautionary Language Regarding Forward-Looking Statements” section in this prospectus.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10" w:name="page11"/>
    <w:bookmarkEnd w:id="10"/>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SELLING SECURITYHOLDERS</w:t>
      </w:r>
    </w:p>
    <w:p>
      <w:pPr>
        <w:spacing w:after="0" w:line="110" w:lineRule="exact"/>
        <w:rPr>
          <w:sz w:val="20"/>
          <w:szCs w:val="20"/>
          <w:color w:val="auto"/>
        </w:rPr>
      </w:pPr>
    </w:p>
    <w:p>
      <w:pPr>
        <w:jc w:val="both"/>
        <w:ind w:left="700" w:right="719"/>
        <w:spacing w:after="0" w:line="257" w:lineRule="auto"/>
        <w:rPr>
          <w:sz w:val="20"/>
          <w:szCs w:val="20"/>
          <w:color w:val="auto"/>
        </w:rPr>
      </w:pPr>
      <w:r>
        <w:rPr>
          <w:rFonts w:ascii="Times New Roman" w:cs="Times New Roman" w:eastAsia="Times New Roman" w:hAnsi="Times New Roman"/>
          <w:sz w:val="16"/>
          <w:szCs w:val="16"/>
          <w:color w:val="auto"/>
        </w:rPr>
        <w:t>We may register securities covered by this prospectus for re-offers and resales by any selling securityholders to be named in a prospectus supplement. Because we are a WKSI, we may add secondary sales of securities by any selling securityholders by filing a prospectus supplement with the SEC or other permitted methods. We may register these securities to permit securityholders to resell their securities when they deem appropriate. A selling securityholder may resell all, a portion or none of their securities at any time and from time to time. We may register those securities for sale through an underwriter or other plan of distribution as set forth in a prospectus supplement. See “Plan of Distribution.” Selling securityholders may also sell, transfer or otherwise dispose of some or all of their securities in transactions exempt from the registration requirements of the Securities Act. We may pay some or all of the expenses incurred with respect to the registration of the securities owned by the selling securityholders. In connection with any sale of securities by a selling securityholder, we will disclose the amount of securities to be registered and sold and other terms of the securities being sold by such selling securityholder.</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11" w:name="page12"/>
    <w:bookmarkEnd w:id="11"/>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110" w:lineRule="exact"/>
        <w:rPr>
          <w:sz w:val="20"/>
          <w:szCs w:val="20"/>
          <w:color w:val="auto"/>
        </w:rPr>
      </w:pPr>
    </w:p>
    <w:p>
      <w:pPr>
        <w:jc w:val="both"/>
        <w:ind w:left="700" w:right="719"/>
        <w:spacing w:after="0" w:line="271" w:lineRule="auto"/>
        <w:rPr>
          <w:sz w:val="20"/>
          <w:szCs w:val="20"/>
          <w:color w:val="auto"/>
        </w:rPr>
      </w:pPr>
      <w:r>
        <w:rPr>
          <w:rFonts w:ascii="Times New Roman" w:cs="Times New Roman" w:eastAsia="Times New Roman" w:hAnsi="Times New Roman"/>
          <w:sz w:val="16"/>
          <w:szCs w:val="16"/>
          <w:color w:val="auto"/>
        </w:rPr>
        <w:t>Unless otherwise set forth in the applicable prospectus supplement or free writing prospectus, the net proceeds from the sale of the securities offered by this prospectus and any applicable prospectus supplement or free writing prospectus will be used for general corporate purposes, including refinancing existing indebtedness.</w:t>
      </w:r>
    </w:p>
    <w:p>
      <w:pPr>
        <w:spacing w:after="0" w:line="59" w:lineRule="exact"/>
        <w:rPr>
          <w:sz w:val="20"/>
          <w:szCs w:val="20"/>
          <w:color w:val="auto"/>
        </w:rPr>
      </w:pPr>
    </w:p>
    <w:p>
      <w:pPr>
        <w:jc w:val="both"/>
        <w:ind w:left="700" w:right="719"/>
        <w:spacing w:after="0" w:line="288" w:lineRule="auto"/>
        <w:rPr>
          <w:sz w:val="20"/>
          <w:szCs w:val="20"/>
          <w:color w:val="auto"/>
        </w:rPr>
      </w:pPr>
      <w:r>
        <w:rPr>
          <w:rFonts w:ascii="Times New Roman" w:cs="Times New Roman" w:eastAsia="Times New Roman" w:hAnsi="Times New Roman"/>
          <w:sz w:val="16"/>
          <w:szCs w:val="16"/>
          <w:color w:val="auto"/>
        </w:rPr>
        <w:t>Unless otherwise set forth in a prospectus supplement, we will not receive any proceeds from any sale of our securities by any selling securityholder.</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12" w:name="page13"/>
    <w:bookmarkEnd w:id="12"/>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DESCRIPTION OF DEBT SECURITIES AND GUARANTEES</w:t>
      </w:r>
    </w:p>
    <w:p>
      <w:pPr>
        <w:spacing w:after="0" w:line="108" w:lineRule="exact"/>
        <w:rPr>
          <w:sz w:val="20"/>
          <w:szCs w:val="20"/>
          <w:color w:val="auto"/>
        </w:rPr>
      </w:pPr>
    </w:p>
    <w:p>
      <w:pPr>
        <w:jc w:val="both"/>
        <w:ind w:left="700" w:right="719"/>
        <w:spacing w:after="0" w:line="257" w:lineRule="auto"/>
        <w:rPr>
          <w:sz w:val="20"/>
          <w:szCs w:val="20"/>
          <w:color w:val="auto"/>
        </w:rPr>
      </w:pPr>
      <w:r>
        <w:rPr>
          <w:rFonts w:ascii="Times New Roman" w:cs="Times New Roman" w:eastAsia="Times New Roman" w:hAnsi="Times New Roman"/>
          <w:sz w:val="16"/>
          <w:szCs w:val="16"/>
          <w:i w:val="1"/>
          <w:iCs w:val="1"/>
          <w:color w:val="auto"/>
        </w:rPr>
        <w:t>The following description outlines certain general terms and provisions of the debt securities and any applicable guarantees offered pursuant to this prospectus. This information does not purport to be complete and is qualified in its entirety by reference to the applicable indenture and its associated documents, including the form of global note. We have filed a form of senior debt indenture (the “Senior Indenture Form”), a form of subordinated debt indenture (the “Subordinated Indenture Form”) and a form of junior subordinated debt indenture (the “Junior Subordinated Indenture Form”) with the SEC as an exhibit to the Registration Statement of which this prospectus is a part. See “Where You Can Find More Information” for information on how to obtain a copy of each form of indenture. Each indenture pursuant to which any series of debt securities is offered will be qualified under the Trust Indenture Act of 1939, as amended (the “Trust Indenture Act”). The specific terms and provisions of any series of debt securities and any variations from the general terms and provisions set forth below and the respective forms of indenture filed as an exhibit to the Registration Statement of which this prospectus is a part will be described in the applicable prospectus supplement or free writing prospectus.</w:t>
      </w:r>
    </w:p>
    <w:p>
      <w:pPr>
        <w:spacing w:after="0" w:line="72" w:lineRule="exact"/>
        <w:rPr>
          <w:sz w:val="20"/>
          <w:szCs w:val="20"/>
          <w:color w:val="auto"/>
        </w:rPr>
      </w:pPr>
    </w:p>
    <w:p>
      <w:pPr>
        <w:jc w:val="both"/>
        <w:ind w:left="700" w:right="719"/>
        <w:spacing w:after="0" w:line="272" w:lineRule="auto"/>
        <w:rPr>
          <w:sz w:val="20"/>
          <w:szCs w:val="20"/>
          <w:color w:val="auto"/>
        </w:rPr>
      </w:pPr>
      <w:r>
        <w:rPr>
          <w:rFonts w:ascii="Times New Roman" w:cs="Times New Roman" w:eastAsia="Times New Roman" w:hAnsi="Times New Roman"/>
          <w:sz w:val="16"/>
          <w:szCs w:val="16"/>
          <w:i w:val="1"/>
          <w:iCs w:val="1"/>
          <w:color w:val="auto"/>
        </w:rPr>
        <w:t>As used in this section, unless otherwise expressly stated or the context otherwise requires, the terms the “Company,” “we,” “our” and “us” refer to Viatris Inc., as the issuer of the applicable series of debt securities, and not to any of its subsidiaries.</w:t>
      </w:r>
    </w:p>
    <w:p>
      <w:pPr>
        <w:spacing w:after="0" w:line="3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10" w:lineRule="exact"/>
        <w:rPr>
          <w:sz w:val="20"/>
          <w:szCs w:val="20"/>
          <w:color w:val="auto"/>
        </w:rPr>
      </w:pPr>
    </w:p>
    <w:p>
      <w:pPr>
        <w:jc w:val="both"/>
        <w:ind w:left="700" w:right="719"/>
        <w:spacing w:after="0" w:line="265" w:lineRule="auto"/>
        <w:rPr>
          <w:sz w:val="20"/>
          <w:szCs w:val="20"/>
          <w:color w:val="auto"/>
        </w:rPr>
      </w:pPr>
      <w:r>
        <w:rPr>
          <w:rFonts w:ascii="Times New Roman" w:cs="Times New Roman" w:eastAsia="Times New Roman" w:hAnsi="Times New Roman"/>
          <w:sz w:val="16"/>
          <w:szCs w:val="16"/>
          <w:color w:val="auto"/>
        </w:rPr>
        <w:t>As used in this prospectus, “debt securities” means our direct unsecured obligations and may be evidenced by debentures, notes, bonds or other evidences of indebtedness. Material U.S. federal and Dutch income tax consequences and special considerations, if any, applicable to any debt securities will be described in the applicable prospectus supplement or free writing prospectus.</w:t>
      </w:r>
    </w:p>
    <w:p>
      <w:pPr>
        <w:spacing w:after="0" w:line="64" w:lineRule="exact"/>
        <w:rPr>
          <w:sz w:val="20"/>
          <w:szCs w:val="20"/>
          <w:color w:val="auto"/>
        </w:rPr>
      </w:pPr>
    </w:p>
    <w:p>
      <w:pPr>
        <w:jc w:val="both"/>
        <w:ind w:left="700" w:right="719"/>
        <w:spacing w:after="0" w:line="258" w:lineRule="auto"/>
        <w:rPr>
          <w:sz w:val="20"/>
          <w:szCs w:val="20"/>
          <w:color w:val="auto"/>
        </w:rPr>
      </w:pPr>
      <w:r>
        <w:rPr>
          <w:rFonts w:ascii="Times New Roman" w:cs="Times New Roman" w:eastAsia="Times New Roman" w:hAnsi="Times New Roman"/>
          <w:sz w:val="16"/>
          <w:szCs w:val="16"/>
          <w:color w:val="auto"/>
        </w:rPr>
        <w:t>Unless the applicable prospectus supplement states otherwise, (i) senior debt securities will be issued under one or more indentures, substantially in the form of the Senior Indenture Form, from time to time in one or more series and may be established pursuant to a supplemental indenture or a company order, (ii) subordinated debt securities will be issued under one or more indentures, substantially in the form of the Subordinated Indenture Form, from time to time in one or more series and may be established pursuant to a supplemental indenture or a company order and</w:t>
      </w:r>
    </w:p>
    <w:p>
      <w:pPr>
        <w:spacing w:after="0" w:line="1" w:lineRule="exact"/>
        <w:rPr>
          <w:sz w:val="20"/>
          <w:szCs w:val="20"/>
          <w:color w:val="auto"/>
        </w:rPr>
      </w:pPr>
    </w:p>
    <w:p>
      <w:pPr>
        <w:jc w:val="both"/>
        <w:ind w:left="700" w:right="719" w:firstLine="4"/>
        <w:spacing w:after="0" w:line="257" w:lineRule="auto"/>
        <w:tabs>
          <w:tab w:leader="none" w:pos="99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junior subordinated debt securities will be issued under one or more indentures, substantially in the form of the Junior Subordinated Indenture Form, from time to time in one or more series and may be established pursuant to a supplemental indenture or a company order. The indentures will be between us and The Bank of New York Mellon, as trustee. The indentures will not limit the aggregate principal amount of debt securities that may be issued thereunder. The indentures will allow us to “reopen” a previously issued series of debt securities and issue additional debt securities of that series.</w:t>
      </w:r>
    </w:p>
    <w:p>
      <w:pPr>
        <w:spacing w:after="0" w:line="69" w:lineRule="exact"/>
        <w:rPr>
          <w:sz w:val="20"/>
          <w:szCs w:val="20"/>
          <w:color w:val="auto"/>
        </w:rPr>
      </w:pPr>
    </w:p>
    <w:p>
      <w:pPr>
        <w:ind w:left="700" w:right="719"/>
        <w:spacing w:after="0" w:line="288" w:lineRule="auto"/>
        <w:rPr>
          <w:sz w:val="20"/>
          <w:szCs w:val="20"/>
          <w:color w:val="auto"/>
        </w:rPr>
      </w:pPr>
      <w:r>
        <w:rPr>
          <w:rFonts w:ascii="Times New Roman" w:cs="Times New Roman" w:eastAsia="Times New Roman" w:hAnsi="Times New Roman"/>
          <w:sz w:val="16"/>
          <w:szCs w:val="16"/>
          <w:color w:val="auto"/>
        </w:rPr>
        <w:t>We will describe in the applicable prospectus supplement or free writing prospectus any additional or different terms relating to a series of debt securities, including:</w:t>
      </w:r>
    </w:p>
    <w:p>
      <w:pPr>
        <w:spacing w:after="0" w:line="46" w:lineRule="exact"/>
        <w:rPr>
          <w:sz w:val="20"/>
          <w:szCs w:val="20"/>
          <w:color w:val="auto"/>
        </w:rPr>
      </w:pPr>
    </w:p>
    <w:p>
      <w:pPr>
        <w:ind w:left="1340" w:right="719" w:hanging="311"/>
        <w:spacing w:after="0" w:line="288" w:lineRule="auto"/>
        <w:tabs>
          <w:tab w:leader="none" w:pos="1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aggregate principal amount and, if a series, the total principal amount authorized and the total principal amount outstanding;</w:t>
      </w:r>
    </w:p>
    <w:p>
      <w:pPr>
        <w:spacing w:after="0" w:line="45"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securities are senior, subordinated or junior subordinated debt securities;</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relating to conversion or exchange of debt securities into any securities or property;</w:t>
      </w:r>
    </w:p>
    <w:p>
      <w:pPr>
        <w:spacing w:after="0" w:line="10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percentage(s) of principal amount at which such securities will be issued, including any original issue discount;</w:t>
      </w:r>
    </w:p>
    <w:p>
      <w:pPr>
        <w:spacing w:after="0" w:line="45"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issuance date;</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maturity date(s);</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rate(s), which may be fixed rate or variable rate, or the method for determining the interest rate(s);</w:t>
      </w:r>
    </w:p>
    <w:p>
      <w:pPr>
        <w:spacing w:after="0" w:line="108" w:lineRule="exact"/>
        <w:rPr>
          <w:rFonts w:ascii="Times New Roman" w:cs="Times New Roman" w:eastAsia="Times New Roman" w:hAnsi="Times New Roman"/>
          <w:sz w:val="16"/>
          <w:szCs w:val="16"/>
          <w:color w:val="auto"/>
        </w:rPr>
      </w:pPr>
    </w:p>
    <w:p>
      <w:pPr>
        <w:jc w:val="both"/>
        <w:ind w:left="1340" w:right="719" w:hanging="311"/>
        <w:spacing w:after="0" w:line="271" w:lineRule="auto"/>
        <w:tabs>
          <w:tab w:leader="none" w:pos="1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date(s) on which interest will accrue or the method for determining dates on which interest will accrue, the date(s) on which interest will be payable, the record date(s) for such interest payment date(s) and the basis on which interest will be calculated;</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118110</wp:posOffset>
            </wp:positionV>
            <wp:extent cx="631063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13" w:name="page14"/>
    <w:bookmarkEnd w:id="13"/>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2" w:lineRule="exact"/>
        <w:rPr>
          <w:sz w:val="20"/>
          <w:szCs w:val="20"/>
          <w:color w:val="auto"/>
        </w:rPr>
      </w:pPr>
    </w:p>
    <w:p>
      <w:pPr>
        <w:jc w:val="both"/>
        <w:ind w:left="1340" w:right="719" w:hanging="311"/>
        <w:spacing w:after="0" w:line="271" w:lineRule="auto"/>
        <w:tabs>
          <w:tab w:leader="none" w:pos="1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interest will be payable in cash or in additional debt securities of the same series, or shall accrue and increase the aggregate principal amount outstanding of such series (including if the debt securities were originally issued at a discount);</w:t>
      </w:r>
    </w:p>
    <w:p>
      <w:pPr>
        <w:spacing w:after="0" w:line="58" w:lineRule="exact"/>
        <w:rPr>
          <w:rFonts w:ascii="Times New Roman" w:cs="Times New Roman" w:eastAsia="Times New Roman" w:hAnsi="Times New Roman"/>
          <w:sz w:val="16"/>
          <w:szCs w:val="16"/>
          <w:color w:val="auto"/>
        </w:rPr>
      </w:pPr>
    </w:p>
    <w:p>
      <w:pPr>
        <w:ind w:left="1340" w:right="739" w:hanging="311"/>
        <w:spacing w:after="0" w:line="288" w:lineRule="auto"/>
        <w:tabs>
          <w:tab w:leader="none" w:pos="1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identities of guarantors, if any, and the terms on which the payment of interest, premium (if any) and principal on the debt securities will be guaranteed by such guarantors;</w:t>
      </w:r>
    </w:p>
    <w:p>
      <w:pPr>
        <w:spacing w:after="0" w:line="45" w:lineRule="exact"/>
        <w:rPr>
          <w:rFonts w:ascii="Times New Roman" w:cs="Times New Roman" w:eastAsia="Times New Roman" w:hAnsi="Times New Roman"/>
          <w:sz w:val="16"/>
          <w:szCs w:val="16"/>
          <w:color w:val="auto"/>
        </w:rPr>
      </w:pPr>
    </w:p>
    <w:p>
      <w:pPr>
        <w:jc w:val="both"/>
        <w:ind w:left="1340" w:right="719" w:hanging="311"/>
        <w:spacing w:after="0" w:line="271" w:lineRule="auto"/>
        <w:tabs>
          <w:tab w:leader="none" w:pos="1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and under which circumstances, if any, additional amounts on the debt securities will be payable and whether, and the terms on which, debt securities will be redeemable if such additional amounts are payable;</w:t>
      </w:r>
    </w:p>
    <w:p>
      <w:pPr>
        <w:spacing w:after="0" w:line="5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mandatory or optional redemption or early repayment provisions;</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authorized dollar amounts of denominations;</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of discount or premium, if any, with which such securities will be issued;</w:t>
      </w:r>
    </w:p>
    <w:p>
      <w:pPr>
        <w:spacing w:after="0" w:line="10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such securities will be issued in whole or in part in the form of one or more global securities and, if so, the identity of the depositary or depositaries for global securities;</w:t>
      </w:r>
    </w:p>
    <w:p>
      <w:pPr>
        <w:spacing w:after="0" w:line="45" w:lineRule="exact"/>
        <w:rPr>
          <w:rFonts w:ascii="Times New Roman" w:cs="Times New Roman" w:eastAsia="Times New Roman" w:hAnsi="Times New Roman"/>
          <w:sz w:val="16"/>
          <w:szCs w:val="16"/>
          <w:color w:val="auto"/>
        </w:rPr>
      </w:pPr>
    </w:p>
    <w:p>
      <w:pPr>
        <w:jc w:val="both"/>
        <w:ind w:left="1340" w:right="719" w:hanging="311"/>
        <w:spacing w:after="0" w:line="271" w:lineRule="auto"/>
        <w:tabs>
          <w:tab w:leader="none" w:pos="1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 temporary security is to be issued with respect to such series and whether any interest payable prior to the issuance of definitive securities of the series will be credited to the account of the persons entitled thereto;</w:t>
      </w:r>
    </w:p>
    <w:p>
      <w:pPr>
        <w:spacing w:after="0" w:line="58" w:lineRule="exact"/>
        <w:rPr>
          <w:rFonts w:ascii="Times New Roman" w:cs="Times New Roman" w:eastAsia="Times New Roman" w:hAnsi="Times New Roman"/>
          <w:sz w:val="16"/>
          <w:szCs w:val="16"/>
          <w:color w:val="auto"/>
        </w:rPr>
      </w:pPr>
    </w:p>
    <w:p>
      <w:pPr>
        <w:ind w:left="1340" w:right="739" w:hanging="311"/>
        <w:spacing w:after="0" w:line="288" w:lineRule="auto"/>
        <w:tabs>
          <w:tab w:leader="none" w:pos="1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upon which beneficial interests in a temporary global security may be exchanged in whole or in part for beneficial interests in a definitive global security or for individual definitive securities;</w:t>
      </w:r>
    </w:p>
    <w:p>
      <w:pPr>
        <w:spacing w:after="0" w:line="45"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covenants applicable to the particular debt securities being issued;</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defaults and events of default applicable to the particular debt securities being issued;</w:t>
      </w:r>
    </w:p>
    <w:p>
      <w:pPr>
        <w:spacing w:after="0" w:line="10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currency, currencies or currency units in which the debt securities are denominated and in which the purchase price for, the principal of and any premium and any interest on such securities will be payable;</w:t>
      </w:r>
    </w:p>
    <w:p>
      <w:pPr>
        <w:spacing w:after="0" w:line="45"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exchange(s) on which the securities will be listed, if any;</w:t>
      </w:r>
    </w:p>
    <w:p>
      <w:pPr>
        <w:spacing w:after="0" w:line="108" w:lineRule="exact"/>
        <w:rPr>
          <w:rFonts w:ascii="Times New Roman" w:cs="Times New Roman" w:eastAsia="Times New Roman" w:hAnsi="Times New Roman"/>
          <w:sz w:val="16"/>
          <w:szCs w:val="16"/>
          <w:color w:val="auto"/>
        </w:rPr>
      </w:pPr>
    </w:p>
    <w:p>
      <w:pPr>
        <w:ind w:left="1340" w:right="739" w:hanging="311"/>
        <w:spacing w:after="0" w:line="288" w:lineRule="auto"/>
        <w:tabs>
          <w:tab w:leader="none" w:pos="1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obligation or right to redeem, purchase or repay securities under a sinking fund, amortization or analogous provision;</w:t>
      </w:r>
    </w:p>
    <w:p>
      <w:pPr>
        <w:spacing w:after="0" w:line="45"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relating to covenant defeasance and legal defeasance;</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relating to satisfaction and discharge of the applicable indenture;</w:t>
      </w:r>
    </w:p>
    <w:p>
      <w:pPr>
        <w:spacing w:after="0" w:line="10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relating to the modification of the applicable indenture both with and without the consent of holders of debt securities issued under such indenture;</w:t>
      </w:r>
    </w:p>
    <w:p>
      <w:pPr>
        <w:spacing w:after="0" w:line="45"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if any, granting special rights upon the occurrence of specified events;</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restriction of transferability, sale or assignment of the series;</w:t>
      </w:r>
    </w:p>
    <w:p>
      <w:pPr>
        <w:spacing w:after="0" w:line="108" w:lineRule="exact"/>
        <w:rPr>
          <w:rFonts w:ascii="Times New Roman" w:cs="Times New Roman" w:eastAsia="Times New Roman" w:hAnsi="Times New Roman"/>
          <w:sz w:val="16"/>
          <w:szCs w:val="16"/>
          <w:color w:val="auto"/>
        </w:rPr>
      </w:pPr>
    </w:p>
    <w:p>
      <w:pPr>
        <w:jc w:val="both"/>
        <w:ind w:left="1340" w:right="719" w:hanging="311"/>
        <w:spacing w:after="0" w:line="271" w:lineRule="auto"/>
        <w:tabs>
          <w:tab w:leader="none" w:pos="1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debt securities of a series will be secured by any collateral and, if so, the terms and conditions upon which such debt securities shall be secured and, if applicable, upon which such liens may be subordinated to other liens securing other indebtedness; and</w:t>
      </w:r>
    </w:p>
    <w:p>
      <w:pPr>
        <w:spacing w:after="0" w:line="5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terms subject to the applicable provisions of the applicable indenture.</w:t>
      </w:r>
    </w:p>
    <w:p>
      <w:pPr>
        <w:spacing w:after="0" w:line="108" w:lineRule="exact"/>
        <w:rPr>
          <w:sz w:val="20"/>
          <w:szCs w:val="20"/>
          <w:color w:val="auto"/>
        </w:rPr>
      </w:pPr>
    </w:p>
    <w:p>
      <w:pPr>
        <w:jc w:val="both"/>
        <w:ind w:left="700" w:right="719"/>
        <w:spacing w:after="0" w:line="259" w:lineRule="auto"/>
        <w:rPr>
          <w:sz w:val="20"/>
          <w:szCs w:val="20"/>
          <w:color w:val="auto"/>
        </w:rPr>
      </w:pPr>
      <w:r>
        <w:rPr>
          <w:rFonts w:ascii="Times New Roman" w:cs="Times New Roman" w:eastAsia="Times New Roman" w:hAnsi="Times New Roman"/>
          <w:sz w:val="16"/>
          <w:szCs w:val="16"/>
          <w:color w:val="auto"/>
        </w:rPr>
        <w:t xml:space="preserve">Our debt securities may be issued at an original issue discount meaning that such securities’ stated redemption price at maturity exceeds their issue price by more than a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amount. Any of our debt securities issued at a substantial discount to their stated principal amount, bearing no interest or bearing interest at a rate that at the time of issuance is below the prevailing market rate are deemed issued at an original issue discount. The applicable prospectus supplement or free writing prospectus pursuant to which such debt securities are offered will describe the material U.S. federal and, if applicable, Dutch income tax, accounting and other considerations applicable to securities issued at an original issue discount.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14" w:name="page15"/>
    <w:bookmarkEnd w:id="14"/>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2" w:lineRule="exact"/>
        <w:rPr>
          <w:sz w:val="20"/>
          <w:szCs w:val="20"/>
          <w:color w:val="auto"/>
        </w:rPr>
      </w:pPr>
    </w:p>
    <w:p>
      <w:pPr>
        <w:jc w:val="both"/>
        <w:ind w:left="700" w:right="719"/>
        <w:spacing w:after="0" w:line="259" w:lineRule="auto"/>
        <w:rPr>
          <w:sz w:val="20"/>
          <w:szCs w:val="20"/>
          <w:color w:val="auto"/>
        </w:rPr>
      </w:pPr>
      <w:r>
        <w:rPr>
          <w:rFonts w:ascii="Times New Roman" w:cs="Times New Roman" w:eastAsia="Times New Roman" w:hAnsi="Times New Roman"/>
          <w:sz w:val="16"/>
          <w:szCs w:val="16"/>
          <w:color w:val="auto"/>
        </w:rPr>
        <w:t>Debt securities may be issued where the amount of principal and/or interest payable is determined by reference to one or more currency or other indices or other formulas. Holders of such securities may receive a principal amount or a payment of interest that is greater than or less than the amount of principal or interest otherwise payable on such dates, depending upon the value of the applicable currency or other reference factor. Information as to the methods for determining the amount of principal or interest, if any, payable on any date, the currency or other reference factor to which the amount payable on such date is linked and certain additional material U.S. federal and, if applicable, Dutch income tax considerations will be set forth in the applicable prospectus supplement or free writing prospectus.</w:t>
      </w:r>
    </w:p>
    <w:p>
      <w:pPr>
        <w:spacing w:after="0" w:line="72" w:lineRule="exact"/>
        <w:rPr>
          <w:sz w:val="20"/>
          <w:szCs w:val="20"/>
          <w:color w:val="auto"/>
        </w:rPr>
      </w:pPr>
    </w:p>
    <w:p>
      <w:pPr>
        <w:jc w:val="both"/>
        <w:ind w:left="700" w:right="719"/>
        <w:spacing w:after="0" w:line="271" w:lineRule="auto"/>
        <w:rPr>
          <w:sz w:val="20"/>
          <w:szCs w:val="20"/>
          <w:color w:val="auto"/>
        </w:rPr>
      </w:pPr>
      <w:r>
        <w:rPr>
          <w:rFonts w:ascii="Times New Roman" w:cs="Times New Roman" w:eastAsia="Times New Roman" w:hAnsi="Times New Roman"/>
          <w:sz w:val="16"/>
          <w:szCs w:val="16"/>
          <w:color w:val="auto"/>
        </w:rPr>
        <w:t>In addition, the applicable prospectus supplement or free writing prospectus will describe whether any underwriter, dealer or agent will act as a market maker for the debt securities offered thereby and the extent to which a secondary market for such securities is or is not expected to develop.</w:t>
      </w:r>
    </w:p>
    <w:p>
      <w:pPr>
        <w:spacing w:after="0" w:line="2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Conversion or Exchange Rights</w:t>
      </w:r>
    </w:p>
    <w:p>
      <w:pPr>
        <w:spacing w:after="0" w:line="110" w:lineRule="exact"/>
        <w:rPr>
          <w:sz w:val="20"/>
          <w:szCs w:val="20"/>
          <w:color w:val="auto"/>
        </w:rPr>
      </w:pPr>
    </w:p>
    <w:p>
      <w:pPr>
        <w:jc w:val="both"/>
        <w:ind w:left="700" w:right="719"/>
        <w:spacing w:after="0" w:line="258" w:lineRule="auto"/>
        <w:rPr>
          <w:sz w:val="20"/>
          <w:szCs w:val="20"/>
          <w:color w:val="auto"/>
        </w:rPr>
      </w:pPr>
      <w:r>
        <w:rPr>
          <w:rFonts w:ascii="Times New Roman" w:cs="Times New Roman" w:eastAsia="Times New Roman" w:hAnsi="Times New Roman"/>
          <w:sz w:val="16"/>
          <w:szCs w:val="16"/>
          <w:color w:val="auto"/>
        </w:rPr>
        <w:t>We will set forth in the applicable prospectus supplement or free writing prospectus the terms on which a series of debt securities may be convertible into or exchangeable for shares of our common stock or other securities,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w:t>
      </w:r>
    </w:p>
    <w:p>
      <w:pPr>
        <w:spacing w:after="0" w:line="200" w:lineRule="exact"/>
        <w:rPr>
          <w:sz w:val="20"/>
          <w:szCs w:val="20"/>
          <w:color w:val="auto"/>
        </w:rPr>
      </w:pP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Global Securities</w:t>
      </w:r>
    </w:p>
    <w:p>
      <w:pPr>
        <w:spacing w:after="0" w:line="110" w:lineRule="exact"/>
        <w:rPr>
          <w:sz w:val="20"/>
          <w:szCs w:val="20"/>
          <w:color w:val="auto"/>
        </w:rPr>
      </w:pPr>
    </w:p>
    <w:p>
      <w:pPr>
        <w:jc w:val="both"/>
        <w:ind w:left="700" w:right="719"/>
        <w:spacing w:after="0" w:line="288" w:lineRule="auto"/>
        <w:rPr>
          <w:sz w:val="20"/>
          <w:szCs w:val="20"/>
          <w:color w:val="auto"/>
        </w:rPr>
      </w:pPr>
      <w:r>
        <w:rPr>
          <w:rFonts w:ascii="Times New Roman" w:cs="Times New Roman" w:eastAsia="Times New Roman" w:hAnsi="Times New Roman"/>
          <w:sz w:val="16"/>
          <w:szCs w:val="16"/>
          <w:color w:val="auto"/>
        </w:rPr>
        <w:t>Unless otherwise provided in the applicable prospectus supplement or free writing prospectus with respect to a series of debt securities, the following provisions will apply for each series of our debt securities.</w:t>
      </w:r>
    </w:p>
    <w:p>
      <w:pPr>
        <w:spacing w:after="0" w:line="46" w:lineRule="exact"/>
        <w:rPr>
          <w:sz w:val="20"/>
          <w:szCs w:val="20"/>
          <w:color w:val="auto"/>
        </w:rPr>
      </w:pPr>
    </w:p>
    <w:p>
      <w:pPr>
        <w:jc w:val="both"/>
        <w:ind w:left="700" w:right="719"/>
        <w:spacing w:after="0" w:line="259" w:lineRule="auto"/>
        <w:rPr>
          <w:sz w:val="20"/>
          <w:szCs w:val="20"/>
          <w:color w:val="auto"/>
        </w:rPr>
      </w:pPr>
      <w:r>
        <w:rPr>
          <w:rFonts w:ascii="Times New Roman" w:cs="Times New Roman" w:eastAsia="Times New Roman" w:hAnsi="Times New Roman"/>
          <w:sz w:val="16"/>
          <w:szCs w:val="16"/>
          <w:color w:val="auto"/>
        </w:rPr>
        <w:t>The debt securities of a series may be issued in whole or in part in the form of one or more global securities that will be deposited with, or on behalf of, a depositary identified in the applicable prospectus supplement or free writing prospectus.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72" w:lineRule="exact"/>
        <w:rPr>
          <w:sz w:val="20"/>
          <w:szCs w:val="20"/>
          <w:color w:val="auto"/>
        </w:rPr>
      </w:pPr>
    </w:p>
    <w:p>
      <w:pPr>
        <w:jc w:val="both"/>
        <w:ind w:left="700" w:right="719"/>
        <w:spacing w:after="0" w:line="265" w:lineRule="auto"/>
        <w:rPr>
          <w:sz w:val="20"/>
          <w:szCs w:val="20"/>
          <w:color w:val="auto"/>
        </w:rPr>
      </w:pPr>
      <w:r>
        <w:rPr>
          <w:rFonts w:ascii="Times New Roman" w:cs="Times New Roman" w:eastAsia="Times New Roman" w:hAnsi="Times New Roman"/>
          <w:sz w:val="16"/>
          <w:szCs w:val="16"/>
          <w:color w:val="auto"/>
        </w:rPr>
        <w:t>We expect the debt securities to be issued in fully registered form without coupons and in denominations of $2,000 and any integral multiples of $1,000 in excess thereof. Subject to the limitations provided in the applicable indenture and in the applicable prospectus supplement or free writing prospectus, debt securities may be transferred or exchanged at the principal corporate trust office of the trustee.</w:t>
      </w:r>
    </w:p>
    <w:p>
      <w:pPr>
        <w:spacing w:after="0" w:line="64" w:lineRule="exact"/>
        <w:rPr>
          <w:sz w:val="20"/>
          <w:szCs w:val="20"/>
          <w:color w:val="auto"/>
        </w:rPr>
      </w:pPr>
    </w:p>
    <w:p>
      <w:pPr>
        <w:jc w:val="both"/>
        <w:ind w:left="700" w:right="719"/>
        <w:spacing w:after="0" w:line="265" w:lineRule="auto"/>
        <w:rPr>
          <w:sz w:val="20"/>
          <w:szCs w:val="20"/>
          <w:color w:val="auto"/>
        </w:rPr>
      </w:pPr>
      <w:r>
        <w:rPr>
          <w:rFonts w:ascii="Times New Roman" w:cs="Times New Roman" w:eastAsia="Times New Roman" w:hAnsi="Times New Roman"/>
          <w:sz w:val="16"/>
          <w:szCs w:val="16"/>
          <w:color w:val="auto"/>
        </w:rPr>
        <w:t>The terms of the depositary arrangement with respect to a series of debt securities will be described in the prospectus supplement or free writing prospectus relating to such debt securities. We anticipate that the following provisions will generally apply to depositary arrangements, in all cases subject to any restrictions or limitations described in the applicable prospectus supplement or free writing prospectus relating to such debt securities.</w:t>
      </w:r>
    </w:p>
    <w:p>
      <w:pPr>
        <w:spacing w:after="0" w:line="64" w:lineRule="exact"/>
        <w:rPr>
          <w:sz w:val="20"/>
          <w:szCs w:val="20"/>
          <w:color w:val="auto"/>
        </w:rPr>
      </w:pPr>
    </w:p>
    <w:p>
      <w:pPr>
        <w:jc w:val="both"/>
        <w:ind w:left="700" w:right="719"/>
        <w:spacing w:after="0" w:line="257" w:lineRule="auto"/>
        <w:rPr>
          <w:sz w:val="20"/>
          <w:szCs w:val="20"/>
          <w:color w:val="auto"/>
        </w:rPr>
      </w:pPr>
      <w:r>
        <w:rPr>
          <w:rFonts w:ascii="Times New Roman" w:cs="Times New Roman" w:eastAsia="Times New Roman" w:hAnsi="Times New Roman"/>
          <w:sz w:val="16"/>
          <w:szCs w:val="16"/>
          <w:color w:val="auto"/>
        </w:rPr>
        <w:t>Upon the issuance of a global security, the depositary for such global security will credit, on its book entry registration and transfer system, the respective principal amounts of the individual debt securities represented by such global security to the accounts of persons that have accounts with the depositary (“participants”). Such accounts will be designated by the dealers or underwriters with respect to such debt securities or, if such debt securities are offered and sold directly by us or through one or more agents, by us or such agents. Ownership of beneficial interests in a global security will be limited to participants or persons that hold beneficial interests through participants. Ownership of beneficial interests in such global security will be shown on, and the transfer of that ownership will be effected only through, records maintained by the depositary (with respect to interests of participants) or records maintained by participants (with respect to interests of persons other than participants). The laws of some states require that certain purchasers of securities take physical delivery of such securities in definitive form. Such limitations and laws may impair the ability to transfer beneficial interests in a global security.</w:t>
      </w:r>
    </w:p>
    <w:p>
      <w:pPr>
        <w:spacing w:after="0" w:line="74" w:lineRule="exact"/>
        <w:rPr>
          <w:sz w:val="20"/>
          <w:szCs w:val="20"/>
          <w:color w:val="auto"/>
        </w:rPr>
      </w:pPr>
    </w:p>
    <w:p>
      <w:pPr>
        <w:jc w:val="both"/>
        <w:ind w:left="700" w:right="719"/>
        <w:spacing w:after="0" w:line="282" w:lineRule="auto"/>
        <w:rPr>
          <w:sz w:val="20"/>
          <w:szCs w:val="20"/>
          <w:color w:val="auto"/>
        </w:rPr>
      </w:pPr>
      <w:r>
        <w:rPr>
          <w:rFonts w:ascii="Times New Roman" w:cs="Times New Roman" w:eastAsia="Times New Roman" w:hAnsi="Times New Roman"/>
          <w:sz w:val="16"/>
          <w:szCs w:val="16"/>
          <w:color w:val="auto"/>
        </w:rPr>
        <w:t>So long as the depositary for a global security, or its nominee, is the registered owner or holder of such global security, such depositary or nominee, as the case may be, will be considered the sole owner or holder of the individual</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118110</wp:posOffset>
            </wp:positionV>
            <wp:extent cx="631063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15" w:name="page16"/>
    <w:bookmarkEnd w:id="15"/>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2" w:lineRule="exact"/>
        <w:rPr>
          <w:sz w:val="20"/>
          <w:szCs w:val="20"/>
          <w:color w:val="auto"/>
        </w:rPr>
      </w:pPr>
    </w:p>
    <w:p>
      <w:pPr>
        <w:jc w:val="both"/>
        <w:ind w:left="700" w:right="719"/>
        <w:spacing w:after="0" w:line="262" w:lineRule="auto"/>
        <w:rPr>
          <w:sz w:val="20"/>
          <w:szCs w:val="20"/>
          <w:color w:val="auto"/>
        </w:rPr>
      </w:pPr>
      <w:r>
        <w:rPr>
          <w:rFonts w:ascii="Times New Roman" w:cs="Times New Roman" w:eastAsia="Times New Roman" w:hAnsi="Times New Roman"/>
          <w:sz w:val="16"/>
          <w:szCs w:val="16"/>
          <w:color w:val="auto"/>
        </w:rPr>
        <w:t>debt securities represented by such global security for all purposes under the applicable indenture. Except as provided below, owners of beneficial interests in a global security will not be entitled to have any of the individual debt securities represented by such global security registered in their names, will not receive or be entitled to receive physical delivery of any of such debt securities in definitive form and will not be considered the owners or holders thereof under the applicable indenture.</w:t>
      </w:r>
    </w:p>
    <w:p>
      <w:pPr>
        <w:spacing w:after="0" w:line="67" w:lineRule="exact"/>
        <w:rPr>
          <w:sz w:val="20"/>
          <w:szCs w:val="20"/>
          <w:color w:val="auto"/>
        </w:rPr>
      </w:pPr>
    </w:p>
    <w:p>
      <w:pPr>
        <w:jc w:val="both"/>
        <w:ind w:left="700" w:right="719"/>
        <w:spacing w:after="0" w:line="265" w:lineRule="auto"/>
        <w:rPr>
          <w:sz w:val="20"/>
          <w:szCs w:val="20"/>
          <w:color w:val="auto"/>
        </w:rPr>
      </w:pPr>
      <w:r>
        <w:rPr>
          <w:rFonts w:ascii="Times New Roman" w:cs="Times New Roman" w:eastAsia="Times New Roman" w:hAnsi="Times New Roman"/>
          <w:sz w:val="16"/>
          <w:szCs w:val="16"/>
          <w:color w:val="auto"/>
        </w:rPr>
        <w:t>Payments of principal, premium and interest with respect to individual debt securities represented by a global security will be made to the depositary or its nominee, as the case may be, as the registered owner or holder of such global security. Neither we, the trustee, any paying agent or registrar for such debt securities nor any agent of ours or the trustee will have any responsibility or liability for:</w:t>
      </w:r>
    </w:p>
    <w:p>
      <w:pPr>
        <w:spacing w:after="0" w:line="64" w:lineRule="exact"/>
        <w:rPr>
          <w:sz w:val="20"/>
          <w:szCs w:val="20"/>
          <w:color w:val="auto"/>
        </w:rPr>
      </w:pPr>
    </w:p>
    <w:p>
      <w:pPr>
        <w:jc w:val="both"/>
        <w:ind w:left="1340" w:right="719" w:hanging="311"/>
        <w:spacing w:after="0" w:line="271" w:lineRule="auto"/>
        <w:tabs>
          <w:tab w:leader="none" w:pos="1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aspect of the records relating to or payments made by the depositary, its nominee or any participants on account of beneficial interests in the global security or for maintaining, supervising or reviewing any records relating to such beneficial interests;</w:t>
      </w:r>
    </w:p>
    <w:p>
      <w:pPr>
        <w:spacing w:after="0" w:line="5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payment to the owners of beneficial interests in the global security of amounts paid to the depositary or its nominee; or</w:t>
      </w:r>
    </w:p>
    <w:p>
      <w:pPr>
        <w:spacing w:after="0" w:line="45"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matter relating to the actions and practices of the depositary, its nominee or its participants.</w:t>
      </w:r>
    </w:p>
    <w:p>
      <w:pPr>
        <w:spacing w:after="0" w:line="108" w:lineRule="exact"/>
        <w:rPr>
          <w:sz w:val="20"/>
          <w:szCs w:val="20"/>
          <w:color w:val="auto"/>
        </w:rPr>
      </w:pPr>
    </w:p>
    <w:p>
      <w:pPr>
        <w:jc w:val="both"/>
        <w:ind w:left="700" w:right="719"/>
        <w:spacing w:after="0" w:line="265" w:lineRule="auto"/>
        <w:rPr>
          <w:sz w:val="20"/>
          <w:szCs w:val="20"/>
          <w:color w:val="auto"/>
        </w:rPr>
      </w:pPr>
      <w:r>
        <w:rPr>
          <w:rFonts w:ascii="Times New Roman" w:cs="Times New Roman" w:eastAsia="Times New Roman" w:hAnsi="Times New Roman"/>
          <w:sz w:val="16"/>
          <w:szCs w:val="16"/>
          <w:color w:val="auto"/>
        </w:rPr>
        <w:t>Neither we, the trustee, any paying agent or registrar for such debt securities or any agent of ours or the trustee will be liable for any delay by the depositary, its nominee or any of its participants in identifying the owners of beneficial interests in the global security, and we and the trustee may conclusively rely on, and will be protected in relying on, instructions from the depositary or its nominee for all purposes.</w:t>
      </w:r>
    </w:p>
    <w:p>
      <w:pPr>
        <w:spacing w:after="0" w:line="64" w:lineRule="exact"/>
        <w:rPr>
          <w:sz w:val="20"/>
          <w:szCs w:val="20"/>
          <w:color w:val="auto"/>
        </w:rPr>
      </w:pPr>
    </w:p>
    <w:p>
      <w:pPr>
        <w:jc w:val="both"/>
        <w:ind w:left="700" w:right="719"/>
        <w:spacing w:after="0" w:line="258" w:lineRule="auto"/>
        <w:rPr>
          <w:sz w:val="20"/>
          <w:szCs w:val="20"/>
          <w:color w:val="auto"/>
        </w:rPr>
      </w:pPr>
      <w:r>
        <w:rPr>
          <w:rFonts w:ascii="Times New Roman" w:cs="Times New Roman" w:eastAsia="Times New Roman" w:hAnsi="Times New Roman"/>
          <w:sz w:val="16"/>
          <w:szCs w:val="16"/>
          <w:color w:val="auto"/>
        </w:rPr>
        <w:t>We expect that the depositary for a series of debt securities or its nominee, upon receipt of any payment of principal, premium or interest with respect to a definitive global security representing any of such debt securities, will immediately credit participants’ accounts with payments in amounts proportionate to their respective beneficial interests in the principal amount of such global security, as shown on the records of the depositary or its nominee. We also expect that payments by participants to owners of beneficial interests in such global security held through such participants will be governed by standing instructions and customary practices, as is now the case with securities held for the accounts of customers and registered in “street name.” Such payments will be the responsibility of such participants. Receipt by owners of beneficial interests in a temporary global security of payments of principal, premium or interest with respect thereto will be subject to the restrictions described in an applicable prospectus supplement or free writing prospectus.</w:t>
      </w:r>
    </w:p>
    <w:p>
      <w:pPr>
        <w:spacing w:after="0" w:line="68" w:lineRule="exact"/>
        <w:rPr>
          <w:sz w:val="20"/>
          <w:szCs w:val="20"/>
          <w:color w:val="auto"/>
        </w:rPr>
      </w:pPr>
    </w:p>
    <w:p>
      <w:pPr>
        <w:jc w:val="both"/>
        <w:ind w:left="700" w:right="719"/>
        <w:spacing w:after="0" w:line="256" w:lineRule="auto"/>
        <w:rPr>
          <w:sz w:val="20"/>
          <w:szCs w:val="20"/>
          <w:color w:val="auto"/>
        </w:rPr>
      </w:pPr>
      <w:r>
        <w:rPr>
          <w:rFonts w:ascii="Times New Roman" w:cs="Times New Roman" w:eastAsia="Times New Roman" w:hAnsi="Times New Roman"/>
          <w:sz w:val="16"/>
          <w:szCs w:val="16"/>
          <w:color w:val="auto"/>
        </w:rPr>
        <w:t>If the depositary for a series of debt securities is at any time unwilling, unable or ineligible to continue as depositary, we will appoint a successor depositary. If a successor depositary is not appointed by us within 90 days, we will issue individual debt securities of such series in exchange for the global security representing such series of debt securities. The global security of a series shall also be exchangeable for individual debt securities of such series if an event of default with respect to such series of debt securities shall have happened and be continuing. In addition, we may at any time and in our sole discretion determine to no longer have debt securities of a series represented by a global security and, in such event, we will issue individual debt securities of such series in exchange for the global security representing such series of debt securities. Furthermore, if we so specify with respect to the debt securities of a series, an owner of a beneficial interest in a global security representing debt securities of such series may, on terms acceptable to us, the trustee and the depositary for such global security, receive individual debt securities of such series in exchange for such beneficial interests. In any such instance, an owner of a beneficial interest in a global security will be entitled to physical delivery of individual debt securities of the series represented by such global security equal in principal amount to such beneficial interest and to have such debt securities registered in its name (if the debt securities are issuable as securities in registered form). Individual debt securities of such series so issued will generally be issued as securities in registered form in denominations, unless otherwise specified by us, of $2,000 and integral multiples of $1,000 thereof.</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Guarantees</w:t>
      </w:r>
    </w:p>
    <w:p>
      <w:pPr>
        <w:spacing w:after="0" w:line="110" w:lineRule="exact"/>
        <w:rPr>
          <w:sz w:val="20"/>
          <w:szCs w:val="20"/>
          <w:color w:val="auto"/>
        </w:rPr>
      </w:pPr>
    </w:p>
    <w:p>
      <w:pPr>
        <w:jc w:val="both"/>
        <w:ind w:left="700" w:right="719"/>
        <w:spacing w:after="0" w:line="262" w:lineRule="auto"/>
        <w:rPr>
          <w:sz w:val="20"/>
          <w:szCs w:val="20"/>
          <w:color w:val="auto"/>
        </w:rPr>
      </w:pPr>
      <w:r>
        <w:rPr>
          <w:rFonts w:ascii="Times New Roman" w:cs="Times New Roman" w:eastAsia="Times New Roman" w:hAnsi="Times New Roman"/>
          <w:sz w:val="16"/>
          <w:szCs w:val="16"/>
          <w:color w:val="auto"/>
        </w:rPr>
        <w:t>The debt securities issued by Viatris Inc. may be fully and unconditionally guaranteed by any of Utah Acquisition Sub Inc., Mylan II B.V., Mylan Inc. and certain of Viatris Inc.’s other subsidiaries. Any such guarantees will be joint and several obligations of Utah Acquisition Sub Inc., Mylan II B.V., Mylan Inc. and any other guarantors, as applicable. If a series of debt securities is so guaranteed, an indenture, or a supplemental indenture thereto, will be executed by Utah Acquisition Sub Inc., Mylan II B.V., Mylan Inc. and any other guarantors, as applicable. If a series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118110</wp:posOffset>
            </wp:positionV>
            <wp:extent cx="631063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16" w:name="page17"/>
    <w:bookmarkEnd w:id="16"/>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2" w:lineRule="exact"/>
        <w:rPr>
          <w:sz w:val="20"/>
          <w:szCs w:val="20"/>
          <w:color w:val="auto"/>
        </w:rPr>
      </w:pPr>
    </w:p>
    <w:p>
      <w:pPr>
        <w:jc w:val="both"/>
        <w:ind w:left="700" w:right="719"/>
        <w:spacing w:after="0" w:line="288" w:lineRule="auto"/>
        <w:rPr>
          <w:sz w:val="20"/>
          <w:szCs w:val="20"/>
          <w:color w:val="auto"/>
        </w:rPr>
      </w:pPr>
      <w:r>
        <w:rPr>
          <w:rFonts w:ascii="Times New Roman" w:cs="Times New Roman" w:eastAsia="Times New Roman" w:hAnsi="Times New Roman"/>
          <w:sz w:val="16"/>
          <w:szCs w:val="16"/>
          <w:color w:val="auto"/>
        </w:rPr>
        <w:t>of debt securities is to be guaranteed by any of Viatris Inc.’s other subsidiaries, we will file a post-effective amendment to the Registration Statement of which this prospectus is a part to register such guarantees.</w:t>
      </w:r>
    </w:p>
    <w:p>
      <w:pPr>
        <w:spacing w:after="0" w:line="46" w:lineRule="exact"/>
        <w:rPr>
          <w:sz w:val="20"/>
          <w:szCs w:val="20"/>
          <w:color w:val="auto"/>
        </w:rPr>
      </w:pPr>
    </w:p>
    <w:p>
      <w:pPr>
        <w:jc w:val="both"/>
        <w:ind w:left="700" w:right="719"/>
        <w:spacing w:after="0" w:line="262" w:lineRule="auto"/>
        <w:rPr>
          <w:sz w:val="20"/>
          <w:szCs w:val="20"/>
          <w:color w:val="auto"/>
        </w:rPr>
      </w:pPr>
      <w:r>
        <w:rPr>
          <w:rFonts w:ascii="Times New Roman" w:cs="Times New Roman" w:eastAsia="Times New Roman" w:hAnsi="Times New Roman"/>
          <w:sz w:val="16"/>
          <w:szCs w:val="16"/>
          <w:color w:val="auto"/>
        </w:rPr>
        <w:t>The obligations of Utah Acquisition Sub Inc., Mylan II B.V., Mylan Inc. and any other guarantors under any such guarantees may be limited in amount to an amount not to exceed the maximum amount that can be guaranteed by the applicable guarantor without rendering the guarantee, as it relates to such guarantor, voidable under applicable law relating to fraudulent conveyance or fraudulent transfer or similar laws affecting the rights of creditors generally. The terms of any guarantees will be set forth in the applicable prospectus supplement or free writing prospectus.</w:t>
      </w:r>
    </w:p>
    <w:p>
      <w:pPr>
        <w:spacing w:after="0" w:line="30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Certain Covenants</w:t>
      </w:r>
    </w:p>
    <w:p>
      <w:pPr>
        <w:spacing w:after="0" w:line="110" w:lineRule="exact"/>
        <w:rPr>
          <w:sz w:val="20"/>
          <w:szCs w:val="20"/>
          <w:color w:val="auto"/>
        </w:rPr>
      </w:pPr>
    </w:p>
    <w:p>
      <w:pPr>
        <w:jc w:val="both"/>
        <w:ind w:left="700" w:right="719"/>
        <w:spacing w:after="0" w:line="261" w:lineRule="auto"/>
        <w:rPr>
          <w:sz w:val="20"/>
          <w:szCs w:val="20"/>
          <w:color w:val="auto"/>
        </w:rPr>
      </w:pPr>
      <w:r>
        <w:rPr>
          <w:rFonts w:ascii="Times New Roman" w:cs="Times New Roman" w:eastAsia="Times New Roman" w:hAnsi="Times New Roman"/>
          <w:sz w:val="16"/>
          <w:szCs w:val="16"/>
          <w:color w:val="auto"/>
        </w:rPr>
        <w:t>If debt securities are issued, the applicable indenture, as supplemented for a particular series of debt securities, may contain certain covenants for the benefit of the holders of such series of debt securities, which will be applicable to such series of debt securities (unless waived or amended) so long as any of the debt securities of such series are outstanding, unless stated otherwise in the applicable prospectus supplement or free writing prospectus. The specific terms of the covenants, and summaries thereof, will be set forth in the prospectus supplement or free writing prospectus relating to such series of debt securities.</w:t>
      </w:r>
    </w:p>
    <w:p>
      <w:pPr>
        <w:spacing w:after="0" w:line="2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Consolidation, Merger and Sale of Assets</w:t>
      </w:r>
    </w:p>
    <w:p>
      <w:pPr>
        <w:spacing w:after="0" w:line="110" w:lineRule="exact"/>
        <w:rPr>
          <w:sz w:val="20"/>
          <w:szCs w:val="20"/>
          <w:color w:val="auto"/>
        </w:rPr>
      </w:pPr>
    </w:p>
    <w:p>
      <w:pPr>
        <w:jc w:val="both"/>
        <w:ind w:left="700" w:right="719"/>
        <w:spacing w:after="0" w:line="265" w:lineRule="auto"/>
        <w:rPr>
          <w:sz w:val="20"/>
          <w:szCs w:val="20"/>
          <w:color w:val="auto"/>
        </w:rPr>
      </w:pPr>
      <w:r>
        <w:rPr>
          <w:rFonts w:ascii="Times New Roman" w:cs="Times New Roman" w:eastAsia="Times New Roman" w:hAnsi="Times New Roman"/>
          <w:sz w:val="16"/>
          <w:szCs w:val="16"/>
          <w:color w:val="auto"/>
        </w:rPr>
        <w:t>Under each of the indentures in the respective forms initially filed as exhibits to the Registration Statement of which this prospectus is a part, the Company may not consolidate with any other entity or accept a merger of any other entity into the Company or permit the Company to be merged into another entity, or sell or lease all or substantially all its assets to another entity, unless:</w:t>
      </w:r>
    </w:p>
    <w:p>
      <w:pPr>
        <w:spacing w:after="0" w:line="64" w:lineRule="exact"/>
        <w:rPr>
          <w:sz w:val="20"/>
          <w:szCs w:val="20"/>
          <w:color w:val="auto"/>
        </w:rPr>
      </w:pPr>
    </w:p>
    <w:p>
      <w:pPr>
        <w:jc w:val="both"/>
        <w:ind w:left="1340" w:right="719" w:hanging="311"/>
        <w:spacing w:after="0" w:line="271" w:lineRule="auto"/>
        <w:tabs>
          <w:tab w:leader="none" w:pos="1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 the Company shall be the continuing entity or the successor, transferee or lessee entity, if other than the Company (the “Successor Company”), shall expressly assume, by a supplemental indenture, executed and delivered to the trustee, all the obligations of the Company under the debt securities and the indenture;</w:t>
      </w:r>
    </w:p>
    <w:p>
      <w:pPr>
        <w:spacing w:after="0" w:line="5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after such transaction, no default shall have occurred and be continuing; and</w:t>
      </w:r>
    </w:p>
    <w:p>
      <w:pPr>
        <w:spacing w:after="0" w:line="108" w:lineRule="exact"/>
        <w:rPr>
          <w:rFonts w:ascii="Times New Roman" w:cs="Times New Roman" w:eastAsia="Times New Roman" w:hAnsi="Times New Roman"/>
          <w:sz w:val="16"/>
          <w:szCs w:val="16"/>
          <w:color w:val="auto"/>
        </w:rPr>
      </w:pPr>
    </w:p>
    <w:p>
      <w:pPr>
        <w:jc w:val="both"/>
        <w:ind w:left="1340" w:right="719" w:hanging="311"/>
        <w:spacing w:after="0" w:line="271" w:lineRule="auto"/>
        <w:tabs>
          <w:tab w:leader="none" w:pos="1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the trustee an officer’s certificate and an opinion of counsel, each stating that such consolidation, merger, sale or lease and such supplemental indenture comply with the indenture.</w:t>
      </w:r>
    </w:p>
    <w:p>
      <w:pPr>
        <w:spacing w:after="0" w:line="59" w:lineRule="exact"/>
        <w:rPr>
          <w:sz w:val="20"/>
          <w:szCs w:val="20"/>
          <w:color w:val="auto"/>
        </w:rPr>
      </w:pPr>
    </w:p>
    <w:p>
      <w:pPr>
        <w:jc w:val="both"/>
        <w:ind w:left="700" w:right="719"/>
        <w:spacing w:after="0" w:line="262" w:lineRule="auto"/>
        <w:rPr>
          <w:sz w:val="20"/>
          <w:szCs w:val="20"/>
          <w:color w:val="auto"/>
        </w:rPr>
      </w:pPr>
      <w:r>
        <w:rPr>
          <w:rFonts w:ascii="Times New Roman" w:cs="Times New Roman" w:eastAsia="Times New Roman" w:hAnsi="Times New Roman"/>
          <w:sz w:val="16"/>
          <w:szCs w:val="16"/>
          <w:color w:val="auto"/>
        </w:rPr>
        <w:t>For purposes of this covenant, the sale, lease, conveyance, assignment, transfer or other disposition of all or substantially all of the properties and assets or one or more subsidiaries of the Company, which properties and assets, if held by the Company instead of such subsidiaries, would constitute all or substantially all of the properties and assets of the Company on a consolidated basis, shall be deemed to be the transfer of all or substantially all of the properties and assets of the Company.</w:t>
      </w:r>
    </w:p>
    <w:p>
      <w:pPr>
        <w:spacing w:after="0" w:line="2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Reports</w:t>
      </w:r>
    </w:p>
    <w:p>
      <w:pPr>
        <w:spacing w:after="0" w:line="110" w:lineRule="exact"/>
        <w:rPr>
          <w:sz w:val="20"/>
          <w:szCs w:val="20"/>
          <w:color w:val="auto"/>
        </w:rPr>
      </w:pPr>
    </w:p>
    <w:p>
      <w:pPr>
        <w:jc w:val="both"/>
        <w:ind w:left="700" w:right="719"/>
        <w:spacing w:after="0" w:line="257" w:lineRule="auto"/>
        <w:rPr>
          <w:sz w:val="20"/>
          <w:szCs w:val="20"/>
          <w:color w:val="auto"/>
        </w:rPr>
      </w:pPr>
      <w:r>
        <w:rPr>
          <w:rFonts w:ascii="Times New Roman" w:cs="Times New Roman" w:eastAsia="Times New Roman" w:hAnsi="Times New Roman"/>
          <w:sz w:val="16"/>
          <w:szCs w:val="16"/>
          <w:color w:val="auto"/>
        </w:rPr>
        <w:t xml:space="preserve">Under each of the indentures in the respective forms initially filed as exhibits to the Registration Statement of which this prospectus is a part, notwithstanding that the Company may not be subject to the reporting requirements of Section 13 or 15(d) of the Exchange Act, the Company is required to file with the SEC and provide the trustee with such annual and quarterly reports and such information, documents and other reports as are specified in Sections 13 and 15(d) of the Exchange Act and applicable to a U.S. corporation subject to such Sections, such information, documents and reports to be so filed and provided at the times specified for the filing of such information, documents and reports under such Sections;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 the Company will not be required to provide the trustee with any such information, documents and reports that are filed with the SEC and (b) the Company will not be so obligated to file such information, documents and reports with the SEC if the SEC does not permit such filings; </w:t>
      </w:r>
      <w:r>
        <w:rPr>
          <w:rFonts w:ascii="Times New Roman" w:cs="Times New Roman" w:eastAsia="Times New Roman" w:hAnsi="Times New Roman"/>
          <w:sz w:val="16"/>
          <w:szCs w:val="16"/>
          <w:i w:val="1"/>
          <w:iCs w:val="1"/>
          <w:color w:val="auto"/>
        </w:rPr>
        <w:t>provided further, however</w:t>
      </w:r>
      <w:r>
        <w:rPr>
          <w:rFonts w:ascii="Times New Roman" w:cs="Times New Roman" w:eastAsia="Times New Roman" w:hAnsi="Times New Roman"/>
          <w:sz w:val="16"/>
          <w:szCs w:val="16"/>
          <w:color w:val="auto"/>
        </w:rPr>
        <w:t>, that if the SEC does not permit such filings, the Company will be required to provide to holders of any debt securities issued under the indenture any such information, documents or reports that are not so filed.</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17" w:name="page18"/>
    <w:bookmarkEnd w:id="17"/>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Events of Default</w:t>
      </w:r>
    </w:p>
    <w:p>
      <w:pPr>
        <w:spacing w:after="0" w:line="110" w:lineRule="exact"/>
        <w:rPr>
          <w:sz w:val="20"/>
          <w:szCs w:val="20"/>
          <w:color w:val="auto"/>
        </w:rPr>
      </w:pPr>
    </w:p>
    <w:p>
      <w:pPr>
        <w:jc w:val="both"/>
        <w:ind w:left="700" w:right="719"/>
        <w:spacing w:after="0" w:line="271" w:lineRule="auto"/>
        <w:rPr>
          <w:sz w:val="20"/>
          <w:szCs w:val="20"/>
          <w:color w:val="auto"/>
        </w:rPr>
      </w:pPr>
      <w:r>
        <w:rPr>
          <w:rFonts w:ascii="Times New Roman" w:cs="Times New Roman" w:eastAsia="Times New Roman" w:hAnsi="Times New Roman"/>
          <w:sz w:val="16"/>
          <w:szCs w:val="16"/>
          <w:color w:val="auto"/>
        </w:rPr>
        <w:t>Under each of the indentures in the respective forms initially filed as exhibits to the Registration Statement of which this prospectus is a part, each of the following constitutes an “event of default” with respect to any series of debt securities:</w:t>
      </w:r>
    </w:p>
    <w:p>
      <w:pPr>
        <w:spacing w:after="0" w:line="59" w:lineRule="exact"/>
        <w:rPr>
          <w:sz w:val="20"/>
          <w:szCs w:val="20"/>
          <w:color w:val="auto"/>
        </w:rPr>
      </w:pPr>
    </w:p>
    <w:p>
      <w:pPr>
        <w:jc w:val="both"/>
        <w:ind w:left="1340" w:right="719" w:hanging="311"/>
        <w:spacing w:after="0" w:line="262" w:lineRule="auto"/>
        <w:tabs>
          <w:tab w:leader="none" w:pos="1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to pay interest on the debt securities of such series that continues for a period of 30 days after payment is due; provided that if we are permitted by the terms of the debt securities to defer the payment in question, the date on which such payment is due and payable shall be the date on which we must make payment following such deferral, if the deferral has been made pursuant to the terms of the debt securities of that series;</w:t>
      </w:r>
    </w:p>
    <w:p>
      <w:pPr>
        <w:spacing w:after="0" w:line="67" w:lineRule="exact"/>
        <w:rPr>
          <w:rFonts w:ascii="Times New Roman" w:cs="Times New Roman" w:eastAsia="Times New Roman" w:hAnsi="Times New Roman"/>
          <w:sz w:val="16"/>
          <w:szCs w:val="16"/>
          <w:color w:val="auto"/>
        </w:rPr>
      </w:pPr>
    </w:p>
    <w:p>
      <w:pPr>
        <w:jc w:val="both"/>
        <w:ind w:left="1340" w:right="719" w:hanging="311"/>
        <w:spacing w:after="0" w:line="262" w:lineRule="auto"/>
        <w:tabs>
          <w:tab w:leader="none" w:pos="1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to pay the principal or premium, if any, on the debt securities of such series when due upon maturity, redemption (otherwise than pursuant to a sinking fund), acceleration or otherwise; provided that if we are permitted by the terms of the debt securities to defer the payment in question, the date on which such payment is due and payable shall be the date on which we must make payment following such deferral, if the deferral has been made pursuant to the terms of the debt securities of that series;</w:t>
      </w:r>
    </w:p>
    <w:p>
      <w:pPr>
        <w:spacing w:after="0" w:line="67" w:lineRule="exact"/>
        <w:rPr>
          <w:rFonts w:ascii="Times New Roman" w:cs="Times New Roman" w:eastAsia="Times New Roman" w:hAnsi="Times New Roman"/>
          <w:sz w:val="16"/>
          <w:szCs w:val="16"/>
          <w:color w:val="auto"/>
        </w:rPr>
      </w:pPr>
    </w:p>
    <w:p>
      <w:pPr>
        <w:ind w:left="1340" w:right="739" w:hanging="311"/>
        <w:spacing w:after="0" w:line="288" w:lineRule="auto"/>
        <w:tabs>
          <w:tab w:leader="none" w:pos="1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to comply with the covenant described above under the caption “—Consolidation, Merger and Sale of Assets”;</w:t>
      </w:r>
    </w:p>
    <w:p>
      <w:pPr>
        <w:spacing w:after="0" w:line="33" w:lineRule="exact"/>
        <w:rPr>
          <w:rFonts w:ascii="Times New Roman" w:cs="Times New Roman" w:eastAsia="Times New Roman" w:hAnsi="Times New Roman"/>
          <w:sz w:val="16"/>
          <w:szCs w:val="16"/>
          <w:color w:val="auto"/>
        </w:rPr>
      </w:pPr>
    </w:p>
    <w:p>
      <w:pPr>
        <w:jc w:val="both"/>
        <w:ind w:left="1340" w:right="719" w:hanging="311"/>
        <w:spacing w:after="0" w:line="237" w:lineRule="auto"/>
        <w:tabs>
          <w:tab w:leader="none" w:pos="1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to comply with (x) any of the Company’s and the guarantors’ other applicable agreements contained in the applicable indenture and applicable to the debt securities of such series (other than (i) a failure that is subject to the foregoing clause (1), (2) or (3) or (ii) a failure to comply with the covenant described above under the caption “—Reports”) for a period of 60 days after receipt by the Company of written notice of such failure from the trustee for the debt securities of such series (or receipt by the Company and the trustee of written notice of such failure from the holders of at least 25% of the principal amount of the applicable series of debt securities) or (y) the requirements set forth in the covenant described above under the caption “—Reports” for a period of 120 days after receipt by the Company of written notice of such failure from the trustee for the debt securities of such series (or receipt by the Company and the trustee of written notice of such failure from the holders of at least 25% of the principal amount of the applicable series of debt securities);</w:t>
      </w:r>
    </w:p>
    <w:p>
      <w:pPr>
        <w:spacing w:after="0" w:line="71" w:lineRule="exact"/>
        <w:rPr>
          <w:rFonts w:ascii="Times New Roman" w:cs="Times New Roman" w:eastAsia="Times New Roman" w:hAnsi="Times New Roman"/>
          <w:sz w:val="16"/>
          <w:szCs w:val="16"/>
          <w:color w:val="auto"/>
        </w:rPr>
      </w:pPr>
    </w:p>
    <w:p>
      <w:pPr>
        <w:jc w:val="both"/>
        <w:ind w:left="1340" w:right="719" w:hanging="311"/>
        <w:spacing w:after="0" w:line="259" w:lineRule="auto"/>
        <w:tabs>
          <w:tab w:leader="none" w:pos="1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senior debt securities, one or more defaults shall have occurred under any of the agreements, indentures or instruments under which the Company or any significant subsidiary of the Company has outstanding indebtedness in excess of $250.0 million, individually or in the aggregate, and either (a) such default results from the failure to pay such indebtedness at its stated final maturity and such default has not been cured or the indebtedness repaid in full within 20 days of the default or (b) such default or defaults have resulted in the acceleration of the maturity of such indebtedness and such acceleration has not been rescinded or such indebtedness repaid in full within 20 days of the acceleration;</w:t>
      </w:r>
    </w:p>
    <w:p>
      <w:pPr>
        <w:spacing w:after="0" w:line="71" w:lineRule="exact"/>
        <w:rPr>
          <w:rFonts w:ascii="Times New Roman" w:cs="Times New Roman" w:eastAsia="Times New Roman" w:hAnsi="Times New Roman"/>
          <w:sz w:val="16"/>
          <w:szCs w:val="16"/>
          <w:color w:val="auto"/>
        </w:rPr>
      </w:pPr>
    </w:p>
    <w:p>
      <w:pPr>
        <w:jc w:val="both"/>
        <w:ind w:left="1340" w:right="719" w:hanging="311"/>
        <w:spacing w:after="0" w:line="262" w:lineRule="auto"/>
        <w:tabs>
          <w:tab w:leader="none" w:pos="1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senior debt securities, one or more judgments or orders that exceed $250.0 million in the aggregate (net of amounts covered by insurance or bonded) for the payment of money have been entered by a court or courts of competent jurisdiction against the Company or any significant subsidiary of the Company and such judgment or judgments have not been satisfied, stayed, annulled or rescinded within 60 days after such judgment or judgments become final and nonappealable;</w:t>
      </w:r>
    </w:p>
    <w:p>
      <w:pPr>
        <w:spacing w:after="0" w:line="67" w:lineRule="exact"/>
        <w:rPr>
          <w:rFonts w:ascii="Times New Roman" w:cs="Times New Roman" w:eastAsia="Times New Roman" w:hAnsi="Times New Roman"/>
          <w:sz w:val="16"/>
          <w:szCs w:val="16"/>
          <w:color w:val="auto"/>
        </w:rPr>
      </w:pPr>
    </w:p>
    <w:p>
      <w:pPr>
        <w:jc w:val="both"/>
        <w:ind w:left="1340" w:right="719" w:hanging="311"/>
        <w:spacing w:after="0" w:line="259" w:lineRule="auto"/>
        <w:tabs>
          <w:tab w:leader="none" w:pos="1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guarantee by a significant subsidiary of the Company of the Company’s Indenture Obligations (as defined in the applicable indenture) under such series of debt securities shall for any reason cease to be, or shall for any reason be held in any judicial proceeding not to be, or asserted in writing by any significant subsidiary of the Company or the Company not to be, in full force and effect and enforceable in accordance with its terms, except to the extent contemplated by the applicable indenture and any such guarantee by such significant subsidiary of the Company’s Indenture Obligations under such series of debt securities, and any such default continues for 10 days;</w:t>
      </w:r>
    </w:p>
    <w:p>
      <w:pPr>
        <w:spacing w:after="0" w:line="71"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events of bankruptcy, insolvency or reorganization relating to the Company or any of its significant subsidiaries;</w:t>
      </w:r>
    </w:p>
    <w:p>
      <w:pPr>
        <w:spacing w:after="0" w:line="45" w:lineRule="exact"/>
        <w:rPr>
          <w:rFonts w:ascii="Times New Roman" w:cs="Times New Roman" w:eastAsia="Times New Roman" w:hAnsi="Times New Roman"/>
          <w:sz w:val="16"/>
          <w:szCs w:val="16"/>
          <w:color w:val="auto"/>
        </w:rPr>
      </w:pPr>
    </w:p>
    <w:p>
      <w:pPr>
        <w:jc w:val="both"/>
        <w:ind w:left="1340" w:right="719" w:hanging="311"/>
        <w:spacing w:after="0" w:line="271" w:lineRule="auto"/>
        <w:tabs>
          <w:tab w:leader="none" w:pos="1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of the Company to pay a sinking fund installment, if any, when and as the same shall become payable by the terms of a debt security of such series, which failure shall have continued unremedied for a period of 30 days; and</w:t>
      </w:r>
    </w:p>
    <w:p>
      <w:pPr>
        <w:spacing w:after="0" w:line="5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other event of default with respect to debt securities of such series as described in the applicable prospectus supplement or free writing prospectus.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18" w:name="page19"/>
    <w:bookmarkEnd w:id="18"/>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2" w:lineRule="exact"/>
        <w:rPr>
          <w:sz w:val="20"/>
          <w:szCs w:val="20"/>
          <w:color w:val="auto"/>
        </w:rPr>
      </w:pPr>
    </w:p>
    <w:p>
      <w:pPr>
        <w:ind w:left="700" w:right="719"/>
        <w:spacing w:after="0" w:line="264" w:lineRule="auto"/>
        <w:rPr>
          <w:sz w:val="20"/>
          <w:szCs w:val="20"/>
          <w:color w:val="auto"/>
        </w:rPr>
      </w:pPr>
      <w:r>
        <w:rPr>
          <w:rFonts w:ascii="Times New Roman" w:cs="Times New Roman" w:eastAsia="Times New Roman" w:hAnsi="Times New Roman"/>
          <w:sz w:val="16"/>
          <w:szCs w:val="16"/>
          <w:color w:val="auto"/>
        </w:rPr>
        <w:t>Each of the indentures in the respective forms initially filed as exhibits to the Registration Statement of which this prospectus is a part provides that if there is a continuing event of default (other than an event of default under clause</w:t>
      </w:r>
    </w:p>
    <w:p>
      <w:pPr>
        <w:spacing w:after="0" w:line="1" w:lineRule="exact"/>
        <w:rPr>
          <w:sz w:val="20"/>
          <w:szCs w:val="20"/>
          <w:color w:val="auto"/>
        </w:rPr>
      </w:pPr>
    </w:p>
    <w:p>
      <w:pPr>
        <w:jc w:val="both"/>
        <w:ind w:left="700" w:right="719" w:firstLine="4"/>
        <w:spacing w:after="0" w:line="255" w:lineRule="auto"/>
        <w:tabs>
          <w:tab w:leader="none" w:pos="96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above with respect to the Company) with respect to any series of debt securities outstanding under such indenture, either the trustee for the debt securities of such series or the holders of at least 25% of the outstanding principal amount of the debt securities of such series may declare the principal amount of all of the debt securities of such series to be due and payable immediately. In addition, at any time after the trustee or the holders, as the case may be, declare an acceleration with respect to the debt securities of such series, but before the applicable person has obtained a judgment or decree based on such acceleration, the holders of a majority in principal amount of the outstanding debt securities of such series may, under certain conditions, cancel such acceleration if the Company has cured all events of default (other than the nonpayment of accelerated principal) with respect to the debt securities of such series or all such events of default have been waived as provided in such indenture. For information as to waiver of defaults, see “—Modification and Waiver.” If an event of default specified in clause (8) above with respect to the Company occurs, all outstanding debt securities shall become due and payable without any further action or notice.</w:t>
      </w:r>
    </w:p>
    <w:p>
      <w:pPr>
        <w:spacing w:after="0" w:line="270" w:lineRule="exact"/>
        <w:rPr>
          <w:sz w:val="20"/>
          <w:szCs w:val="20"/>
          <w:color w:val="auto"/>
        </w:rPr>
      </w:pPr>
    </w:p>
    <w:p>
      <w:pPr>
        <w:jc w:val="both"/>
        <w:ind w:left="700" w:right="719"/>
        <w:spacing w:after="0" w:line="258" w:lineRule="auto"/>
        <w:rPr>
          <w:sz w:val="20"/>
          <w:szCs w:val="20"/>
          <w:color w:val="auto"/>
        </w:rPr>
      </w:pPr>
      <w:r>
        <w:rPr>
          <w:rFonts w:ascii="Times New Roman" w:cs="Times New Roman" w:eastAsia="Times New Roman" w:hAnsi="Times New Roman"/>
          <w:sz w:val="16"/>
          <w:szCs w:val="16"/>
          <w:color w:val="auto"/>
        </w:rPr>
        <w:t>Each of the indentures in the respective forms initially filed as exhibits to the Registration Statement of which this prospectus is a part provides that, subject to the duties of the trustee to act with the required standard of care if it has received written notice of a continuing event of default, the trustee need not exercise any of its rights or powers under such indenture at the request or direction of any of the holders of debt securities of any series, unless such holders have offered to the trustee security and/or indemnity to its satisfaction. Subject to such provisions for security and/or indemnification of the trustee and certain other conditions and except as otherwise provided in the applicable indenture, the holders of a majority in principal amount of the outstanding debt securities of any series issued under such indenture will have the right to direct the time, method and place of conducting any proceeding for any remedy available to the trustee or exercising any trust or power the trustee holds with respect to the debt securities of such series.</w:t>
      </w:r>
    </w:p>
    <w:p>
      <w:pPr>
        <w:spacing w:after="0" w:line="68" w:lineRule="exact"/>
        <w:rPr>
          <w:sz w:val="20"/>
          <w:szCs w:val="20"/>
          <w:color w:val="auto"/>
        </w:rPr>
      </w:pPr>
    </w:p>
    <w:p>
      <w:pPr>
        <w:jc w:val="both"/>
        <w:ind w:left="700" w:right="719"/>
        <w:spacing w:after="0" w:line="288" w:lineRule="auto"/>
        <w:rPr>
          <w:sz w:val="20"/>
          <w:szCs w:val="20"/>
          <w:color w:val="auto"/>
        </w:rPr>
      </w:pPr>
      <w:r>
        <w:rPr>
          <w:rFonts w:ascii="Times New Roman" w:cs="Times New Roman" w:eastAsia="Times New Roman" w:hAnsi="Times New Roman"/>
          <w:sz w:val="16"/>
          <w:szCs w:val="16"/>
          <w:color w:val="auto"/>
        </w:rPr>
        <w:t>No holder of any debt security of a series will have any right to institute any proceeding with respect to the applicable indenture or for any remedy unless:</w:t>
      </w:r>
    </w:p>
    <w:p>
      <w:pPr>
        <w:spacing w:after="0" w:line="46" w:lineRule="exact"/>
        <w:rPr>
          <w:sz w:val="20"/>
          <w:szCs w:val="20"/>
          <w:color w:val="auto"/>
        </w:rPr>
      </w:pPr>
    </w:p>
    <w:p>
      <w:pPr>
        <w:ind w:left="1340" w:right="739" w:hanging="311"/>
        <w:spacing w:after="0" w:line="288" w:lineRule="auto"/>
        <w:tabs>
          <w:tab w:leader="none" w:pos="1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has failed to institute such proceeding for 60 days after the holder has previously given to the trustee written notice of a continuing event of default with respect to the debt securities of such series;</w:t>
      </w:r>
    </w:p>
    <w:p>
      <w:pPr>
        <w:spacing w:after="0" w:line="45" w:lineRule="exact"/>
        <w:rPr>
          <w:rFonts w:ascii="Times New Roman" w:cs="Times New Roman" w:eastAsia="Times New Roman" w:hAnsi="Times New Roman"/>
          <w:sz w:val="16"/>
          <w:szCs w:val="16"/>
          <w:color w:val="auto"/>
        </w:rPr>
      </w:pPr>
    </w:p>
    <w:p>
      <w:pPr>
        <w:jc w:val="both"/>
        <w:ind w:left="1340" w:right="719" w:hanging="311"/>
        <w:spacing w:after="0" w:line="271" w:lineRule="auto"/>
        <w:tabs>
          <w:tab w:leader="none" w:pos="1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at least 25% in aggregate principal amount of the outstanding debt securities of such series have made a written request, and offered to the trustee reasonable security and/or indemnity satisfactory to it to institute such proceeding as trustee; and</w:t>
      </w:r>
    </w:p>
    <w:p>
      <w:pPr>
        <w:spacing w:after="0" w:line="5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has not received from the holders of a majority in aggregate principal amount of the outstanding debt securities of such series a direction that is inconsistent with such request.</w:t>
      </w:r>
    </w:p>
    <w:p>
      <w:pPr>
        <w:spacing w:after="0" w:line="46" w:lineRule="exact"/>
        <w:rPr>
          <w:sz w:val="20"/>
          <w:szCs w:val="20"/>
          <w:color w:val="auto"/>
        </w:rPr>
      </w:pPr>
    </w:p>
    <w:p>
      <w:pPr>
        <w:jc w:val="both"/>
        <w:ind w:left="700" w:right="719"/>
        <w:spacing w:after="0" w:line="271" w:lineRule="auto"/>
        <w:rPr>
          <w:sz w:val="20"/>
          <w:szCs w:val="20"/>
          <w:color w:val="auto"/>
        </w:rPr>
      </w:pPr>
      <w:r>
        <w:rPr>
          <w:rFonts w:ascii="Times New Roman" w:cs="Times New Roman" w:eastAsia="Times New Roman" w:hAnsi="Times New Roman"/>
          <w:sz w:val="16"/>
          <w:szCs w:val="16"/>
          <w:color w:val="auto"/>
        </w:rPr>
        <w:t>However, the holder of any debt security will have an absolute and unconditional right to receive payment of the principal of, and any premium or interest on, such debt security on or after the date or dates they are to be paid as expressed in such debt security and to institute suit for the enforcement of any such payment.</w:t>
      </w:r>
    </w:p>
    <w:p>
      <w:pPr>
        <w:spacing w:after="0" w:line="59" w:lineRule="exact"/>
        <w:rPr>
          <w:sz w:val="20"/>
          <w:szCs w:val="20"/>
          <w:color w:val="auto"/>
        </w:rPr>
      </w:pPr>
    </w:p>
    <w:p>
      <w:pPr>
        <w:jc w:val="both"/>
        <w:ind w:left="700" w:right="719"/>
        <w:spacing w:after="0" w:line="259" w:lineRule="auto"/>
        <w:rPr>
          <w:sz w:val="20"/>
          <w:szCs w:val="20"/>
          <w:color w:val="auto"/>
        </w:rPr>
      </w:pPr>
      <w:r>
        <w:rPr>
          <w:rFonts w:ascii="Times New Roman" w:cs="Times New Roman" w:eastAsia="Times New Roman" w:hAnsi="Times New Roman"/>
          <w:sz w:val="16"/>
          <w:szCs w:val="16"/>
          <w:color w:val="auto"/>
        </w:rPr>
        <w:t>The Company will be required to furnish to the trustee annually a statement as to the absence of certain defaults under each indenture under which debt securities have been issued and remain outstanding. Each indenture will provide that the trustee need not provide holders of the debt securities notice of any default (other than the nonpayment of principal or any premium or interest) if it considers it in the interest of the holders of the debt securities not to provide such notice. Upon becoming aware of any default or event of default with respect to a series of debt securities, the Company will deliver forthwith to the trustee for such series of debt securities an officer’s certificate specifying such default or event of default and the action the Company is taking, or proposes to take, with respect thereto.</w:t>
      </w:r>
    </w:p>
    <w:p>
      <w:pPr>
        <w:spacing w:after="0" w:line="3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Modification and Waiver</w:t>
      </w:r>
    </w:p>
    <w:p>
      <w:pPr>
        <w:spacing w:after="0" w:line="110" w:lineRule="exact"/>
        <w:rPr>
          <w:sz w:val="20"/>
          <w:szCs w:val="20"/>
          <w:color w:val="auto"/>
        </w:rPr>
      </w:pPr>
    </w:p>
    <w:p>
      <w:pPr>
        <w:jc w:val="both"/>
        <w:ind w:left="700" w:right="719"/>
        <w:spacing w:after="0" w:line="271" w:lineRule="auto"/>
        <w:rPr>
          <w:sz w:val="20"/>
          <w:szCs w:val="20"/>
          <w:color w:val="auto"/>
        </w:rPr>
      </w:pPr>
      <w:r>
        <w:rPr>
          <w:rFonts w:ascii="Times New Roman" w:cs="Times New Roman" w:eastAsia="Times New Roman" w:hAnsi="Times New Roman"/>
          <w:sz w:val="16"/>
          <w:szCs w:val="16"/>
          <w:color w:val="auto"/>
        </w:rPr>
        <w:t>Each of the indentures in the respective forms initially filed as exhibits to the Registration Statement of which this prospectus is a part contemplates that we, any guarantors and the trustee may modify or amend the indenture without the consent of any holder of a debt security of any series to:</w:t>
      </w:r>
    </w:p>
    <w:p>
      <w:pPr>
        <w:spacing w:after="0" w:line="59" w:lineRule="exact"/>
        <w:rPr>
          <w:sz w:val="20"/>
          <w:szCs w:val="20"/>
          <w:color w:val="auto"/>
        </w:rPr>
      </w:pPr>
    </w:p>
    <w:p>
      <w:pPr>
        <w:ind w:left="1340" w:hanging="311"/>
        <w:spacing w:after="0"/>
        <w:tabs>
          <w:tab w:leader="none" w:pos="1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cure any ambiguity, defect, mistake or inconsistency in the applicable indenture;</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for uncertificated debt securities in addition to or in place of certificated debt securities;</w:t>
      </w:r>
    </w:p>
    <w:p>
      <w:pPr>
        <w:spacing w:after="0" w:line="108" w:lineRule="exact"/>
        <w:rPr>
          <w:rFonts w:ascii="Times New Roman" w:cs="Times New Roman" w:eastAsia="Times New Roman" w:hAnsi="Times New Roman"/>
          <w:sz w:val="16"/>
          <w:szCs w:val="16"/>
          <w:color w:val="auto"/>
        </w:rPr>
      </w:pPr>
    </w:p>
    <w:p>
      <w:pPr>
        <w:jc w:val="both"/>
        <w:ind w:left="1340" w:right="739" w:hanging="311"/>
        <w:spacing w:after="0" w:line="271" w:lineRule="auto"/>
        <w:tabs>
          <w:tab w:leader="none" w:pos="1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the provisions described above under the caption “—Consolidation, Merger and Sale of Assets” or the covenant in the applicable indenture governing guarantees, including to provide for or evidence the release of any guarantor in accordance with the terms thereof;</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19" w:name="page20"/>
    <w:bookmarkEnd w:id="19"/>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2" w:lineRule="exact"/>
        <w:rPr>
          <w:sz w:val="20"/>
          <w:szCs w:val="20"/>
          <w:color w:val="auto"/>
        </w:rPr>
      </w:pPr>
    </w:p>
    <w:p>
      <w:pPr>
        <w:jc w:val="both"/>
        <w:ind w:left="1340" w:right="719" w:hanging="311"/>
        <w:spacing w:after="0" w:line="271" w:lineRule="auto"/>
        <w:tabs>
          <w:tab w:leader="none" w:pos="1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evidence and provide for the acceptance of appointment by a successor trustee and add to or change any provisions of the indenture as shall be necessary for or facilitate the administration of the trusts thereunder by more than one trustee, pursuant to the requirements of the applicable indenture;</w:t>
      </w:r>
    </w:p>
    <w:p>
      <w:pPr>
        <w:spacing w:after="0" w:line="5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requirements of the SEC in order to effect or maintain the qualification of the applicable indenture or any supplemental indenture thereto under the Trust Indenture Act;</w:t>
      </w:r>
    </w:p>
    <w:p>
      <w:pPr>
        <w:spacing w:after="0" w:line="45" w:lineRule="exact"/>
        <w:rPr>
          <w:rFonts w:ascii="Times New Roman" w:cs="Times New Roman" w:eastAsia="Times New Roman" w:hAnsi="Times New Roman"/>
          <w:sz w:val="16"/>
          <w:szCs w:val="16"/>
          <w:color w:val="auto"/>
        </w:rPr>
      </w:pPr>
    </w:p>
    <w:p>
      <w:pPr>
        <w:jc w:val="both"/>
        <w:ind w:left="1340" w:right="719" w:hanging="311"/>
        <w:spacing w:after="0" w:line="271" w:lineRule="auto"/>
        <w:tabs>
          <w:tab w:leader="none" w:pos="1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that would provide any additional rights or benefits to the holders of the debt securities of such series or that does not adversely affect in any material respect the legal rights under the applicable indenture of the holders of the debt securities of such series;</w:t>
      </w:r>
    </w:p>
    <w:p>
      <w:pPr>
        <w:spacing w:after="0" w:line="5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secure any series of debt securities;</w:t>
      </w:r>
    </w:p>
    <w:p>
      <w:pPr>
        <w:spacing w:after="0" w:line="10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the form and terms of securities of any series pursuant to the applicable indenture, or authorize the issuance of additional debt securities of a series previously authorized;</w:t>
      </w:r>
    </w:p>
    <w:p>
      <w:pPr>
        <w:spacing w:after="0" w:line="45"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covenants for the benefit of the holders of such series of debt securities or to surrender any right or power conferred upon the Company or any guarantor;</w:t>
      </w:r>
    </w:p>
    <w:p>
      <w:pPr>
        <w:spacing w:after="0" w:line="45" w:lineRule="exact"/>
        <w:rPr>
          <w:rFonts w:ascii="Times New Roman" w:cs="Times New Roman" w:eastAsia="Times New Roman" w:hAnsi="Times New Roman"/>
          <w:sz w:val="16"/>
          <w:szCs w:val="16"/>
          <w:color w:val="auto"/>
        </w:rPr>
      </w:pPr>
    </w:p>
    <w:p>
      <w:pPr>
        <w:jc w:val="both"/>
        <w:ind w:left="1340" w:right="719" w:hanging="311"/>
        <w:spacing w:after="0" w:line="262" w:lineRule="auto"/>
        <w:tabs>
          <w:tab w:leader="none" w:pos="1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conform the text of the applicable indenture, any supplemental indenture thereto, the debt securities or any guarantees thereof to the extent a provision thereof was intended to be a substantially verbatim recitation of the applicable provision of the “Description of Debt Securities and Guarantees” or the “Description of Notes and Guarantees” (or comparable section) contained in the applicable registration statement, prospectus, prospectus supplement, free-writing prospectus or offering memorandum;</w:t>
      </w:r>
    </w:p>
    <w:p>
      <w:pPr>
        <w:spacing w:after="0" w:line="67"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allow any guarantor to execute a supplemental indenture and/or guarantee with respect to the debt securities of any series;</w:t>
      </w:r>
    </w:p>
    <w:p>
      <w:pPr>
        <w:spacing w:after="0" w:line="45" w:lineRule="exact"/>
        <w:rPr>
          <w:rFonts w:ascii="Times New Roman" w:cs="Times New Roman" w:eastAsia="Times New Roman" w:hAnsi="Times New Roman"/>
          <w:sz w:val="16"/>
          <w:szCs w:val="16"/>
          <w:color w:val="auto"/>
        </w:rPr>
      </w:pPr>
    </w:p>
    <w:p>
      <w:pPr>
        <w:jc w:val="both"/>
        <w:ind w:left="1340" w:right="719" w:hanging="311"/>
        <w:spacing w:after="0" w:line="258" w:lineRule="auto"/>
        <w:tabs>
          <w:tab w:leader="none" w:pos="1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to, change or eliminate any of the provisions of the applicable indenture with respect to one or more series of debt securities, so long as any such addition, change or elimination not otherwise permitted under the indenture shall (A) neither apply to any debt security of any series created under such indenture prior to the execution of such supplemental indenture and entitled to the benefit of such provision nor modify the rights of the holders of any such debt security with respect to the benefit of such provision or</w:t>
      </w:r>
    </w:p>
    <w:p>
      <w:pPr>
        <w:spacing w:after="0" w:line="1" w:lineRule="exact"/>
        <w:rPr>
          <w:rFonts w:ascii="Times New Roman" w:cs="Times New Roman" w:eastAsia="Times New Roman" w:hAnsi="Times New Roman"/>
          <w:sz w:val="16"/>
          <w:szCs w:val="16"/>
          <w:color w:val="auto"/>
        </w:rPr>
      </w:pPr>
    </w:p>
    <w:p>
      <w:pPr>
        <w:ind w:left="1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 become effective only when there is no such debt security outstanding;</w:t>
      </w:r>
    </w:p>
    <w:p>
      <w:pPr>
        <w:spacing w:after="0" w:line="92" w:lineRule="exact"/>
        <w:rPr>
          <w:rFonts w:ascii="Times New Roman" w:cs="Times New Roman" w:eastAsia="Times New Roman" w:hAnsi="Times New Roman"/>
          <w:sz w:val="16"/>
          <w:szCs w:val="16"/>
          <w:color w:val="auto"/>
        </w:rPr>
      </w:pPr>
    </w:p>
    <w:p>
      <w:pPr>
        <w:jc w:val="both"/>
        <w:ind w:left="1340" w:right="719" w:hanging="311"/>
        <w:spacing w:after="0" w:line="265" w:lineRule="auto"/>
        <w:tabs>
          <w:tab w:leader="none" w:pos="1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supplement any of the provisions of the applicable indenture to such extent as shall be necessary to permit or facilitate the defeasance and discharge of any series of debt securities;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such action shall not adversely affect the interests of the holders of debt securities of such series or any other series of debt securities;</w:t>
      </w:r>
    </w:p>
    <w:p>
      <w:pPr>
        <w:spacing w:after="0" w:line="64"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 the authentication and delivery of additional series of debt securities;</w:t>
      </w:r>
    </w:p>
    <w:p>
      <w:pPr>
        <w:spacing w:after="0" w:line="10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solely with respect to the subordinated debt indenture, to make any change to the applicable provisions of such indenture that limit or terminate the benefits applicable to any holder of senior debt securities; and</w:t>
      </w:r>
    </w:p>
    <w:p>
      <w:pPr>
        <w:spacing w:after="0" w:line="45" w:lineRule="exact"/>
        <w:rPr>
          <w:rFonts w:ascii="Times New Roman" w:cs="Times New Roman" w:eastAsia="Times New Roman" w:hAnsi="Times New Roman"/>
          <w:sz w:val="16"/>
          <w:szCs w:val="16"/>
          <w:color w:val="auto"/>
        </w:rPr>
      </w:pPr>
    </w:p>
    <w:p>
      <w:pPr>
        <w:jc w:val="both"/>
        <w:ind w:left="1340" w:right="719" w:hanging="311"/>
        <w:spacing w:after="0" w:line="271" w:lineRule="auto"/>
        <w:tabs>
          <w:tab w:leader="none" w:pos="1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solely with respect to the junior subordinated debt indenture, to make any changes to the applicable provisions of such indenture that limit or terminate the benefits applicable to any holder of senior debt securities or subordinated debt securities.</w:t>
      </w:r>
    </w:p>
    <w:p>
      <w:pPr>
        <w:spacing w:after="0" w:line="59" w:lineRule="exact"/>
        <w:rPr>
          <w:sz w:val="20"/>
          <w:szCs w:val="20"/>
          <w:color w:val="auto"/>
        </w:rPr>
      </w:pPr>
    </w:p>
    <w:p>
      <w:pPr>
        <w:jc w:val="both"/>
        <w:ind w:left="700" w:right="719"/>
        <w:spacing w:after="0" w:line="261" w:lineRule="auto"/>
        <w:rPr>
          <w:sz w:val="20"/>
          <w:szCs w:val="20"/>
          <w:color w:val="auto"/>
        </w:rPr>
      </w:pPr>
      <w:r>
        <w:rPr>
          <w:rFonts w:ascii="Times New Roman" w:cs="Times New Roman" w:eastAsia="Times New Roman" w:hAnsi="Times New Roman"/>
          <w:sz w:val="16"/>
          <w:szCs w:val="16"/>
          <w:color w:val="auto"/>
        </w:rPr>
        <w:t>Each of the indentures in the respective forms initially filed as exhibits to the Registration Statement of which this prospectus is a part contemplates that we, any guarantors and the trustee may modify or amend the indenture as it applies to a series of the debt securities outstanding under such indenture with the consent of the holders of a majority of the aggregate principal amount of the then outstanding debt securities of such series affected by the modification or amendment. However, no such modification or amendment may, without the consent of each holder of debt securities of a series affected thereby outstanding under such indenture:</w:t>
      </w:r>
    </w:p>
    <w:p>
      <w:pPr>
        <w:spacing w:after="0" w:line="66" w:lineRule="exact"/>
        <w:rPr>
          <w:sz w:val="20"/>
          <w:szCs w:val="20"/>
          <w:color w:val="auto"/>
        </w:rPr>
      </w:pPr>
    </w:p>
    <w:p>
      <w:pPr>
        <w:ind w:left="1340" w:right="719" w:hanging="311"/>
        <w:spacing w:after="0" w:line="288" w:lineRule="auto"/>
        <w:tabs>
          <w:tab w:leader="none" w:pos="1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extend the due date of the principal of, or any installment of principal of or interest on, the debt securities of such series, or reduce the amount of the principal of an original issue discount security;</w:t>
      </w:r>
    </w:p>
    <w:p>
      <w:pPr>
        <w:spacing w:after="0" w:line="45"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materially adversely affect the economic terms of a right to convert or exchange any debt security of such series, if any;</w:t>
      </w:r>
    </w:p>
    <w:p>
      <w:pPr>
        <w:spacing w:after="0" w:line="45"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principal amount of, or any premium or interest rate on, the debt securities of such series;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20" w:name="page21"/>
    <w:bookmarkEnd w:id="20"/>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2" w:lineRule="exact"/>
        <w:rPr>
          <w:sz w:val="20"/>
          <w:szCs w:val="20"/>
          <w:color w:val="auto"/>
        </w:rPr>
      </w:pPr>
    </w:p>
    <w:p>
      <w:pPr>
        <w:ind w:left="1340" w:right="719" w:hanging="311"/>
        <w:spacing w:after="0" w:line="288" w:lineRule="auto"/>
        <w:tabs>
          <w:tab w:leader="none" w:pos="1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the place or currency of payment of principal of, or any premium or interest on, the debt securities of such series;</w:t>
      </w:r>
    </w:p>
    <w:p>
      <w:pPr>
        <w:spacing w:after="0" w:line="45"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amount payable upon the redemption of any debt security of such series;</w:t>
      </w:r>
    </w:p>
    <w:p>
      <w:pPr>
        <w:spacing w:after="0" w:line="10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 the right to institute suit for the enforcement of any payment on or with respect to the debt securities of such series after the due date thereof; or</w:t>
      </w:r>
    </w:p>
    <w:p>
      <w:pPr>
        <w:spacing w:after="0" w:line="45" w:lineRule="exact"/>
        <w:rPr>
          <w:rFonts w:ascii="Times New Roman" w:cs="Times New Roman" w:eastAsia="Times New Roman" w:hAnsi="Times New Roman"/>
          <w:sz w:val="16"/>
          <w:szCs w:val="16"/>
          <w:color w:val="auto"/>
        </w:rPr>
      </w:pPr>
    </w:p>
    <w:p>
      <w:pPr>
        <w:jc w:val="both"/>
        <w:ind w:left="1340" w:right="719" w:hanging="311"/>
        <w:spacing w:after="0" w:line="271" w:lineRule="auto"/>
        <w:tabs>
          <w:tab w:leader="none" w:pos="1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percentage in principal amount of the debt securities of such series then outstanding, the consent of whose holders is required for modification or amendment of the indenture, for waiver of compliance with certain provisions of the indenture or for waiver of certain defaults.</w:t>
      </w:r>
    </w:p>
    <w:p>
      <w:pPr>
        <w:spacing w:after="0" w:line="59" w:lineRule="exact"/>
        <w:rPr>
          <w:sz w:val="20"/>
          <w:szCs w:val="20"/>
          <w:color w:val="auto"/>
        </w:rPr>
      </w:pPr>
    </w:p>
    <w:p>
      <w:pPr>
        <w:jc w:val="both"/>
        <w:ind w:left="700" w:right="719"/>
        <w:spacing w:after="0" w:line="262" w:lineRule="auto"/>
        <w:rPr>
          <w:sz w:val="20"/>
          <w:szCs w:val="20"/>
          <w:color w:val="auto"/>
        </w:rPr>
      </w:pPr>
      <w:r>
        <w:rPr>
          <w:rFonts w:ascii="Times New Roman" w:cs="Times New Roman" w:eastAsia="Times New Roman" w:hAnsi="Times New Roman"/>
          <w:sz w:val="16"/>
          <w:szCs w:val="16"/>
          <w:color w:val="auto"/>
        </w:rPr>
        <w:t>In addition, the subordinated debt indenture may not be amended to alter the subordination of any outstanding subordinated debt securities without the consent of each holder of then outstanding senior indebtedness that would be adversely affected by such amendment, and the junior subordinated debt indenture may not be amended to alter the subordination of any outstanding junior subordinated debt securities without the consent of each holder of then outstanding senior indebtedness and subordinated indebtedness that would be adversely affected by such amendment.</w:t>
      </w:r>
    </w:p>
    <w:p>
      <w:pPr>
        <w:spacing w:after="0" w:line="262" w:lineRule="exact"/>
        <w:rPr>
          <w:sz w:val="20"/>
          <w:szCs w:val="20"/>
          <w:color w:val="auto"/>
        </w:rPr>
      </w:pPr>
    </w:p>
    <w:p>
      <w:pPr>
        <w:jc w:val="both"/>
        <w:ind w:left="700" w:right="719"/>
        <w:spacing w:after="0" w:line="261" w:lineRule="auto"/>
        <w:rPr>
          <w:sz w:val="20"/>
          <w:szCs w:val="20"/>
          <w:color w:val="auto"/>
        </w:rPr>
      </w:pPr>
      <w:r>
        <w:rPr>
          <w:rFonts w:ascii="Times New Roman" w:cs="Times New Roman" w:eastAsia="Times New Roman" w:hAnsi="Times New Roman"/>
          <w:sz w:val="16"/>
          <w:szCs w:val="16"/>
          <w:color w:val="auto"/>
        </w:rPr>
        <w:t>The holders of a majority of the principal amount of then outstanding debt securities of a series may waive future compliance with certain restrictive covenants of the indenture applicable to such series of debt securities. The holders of at least a majority in principal amount of then outstanding debt securities of any series may waive any past default with respect to such series under the indenture applicable to such series, except a failure by the Company to pay the principal of, or any premium or interest on, any debt securities of such series or a provision that cannot be modified or amended without the consent of the holders of all outstanding debt securities of such series.</w:t>
      </w:r>
    </w:p>
    <w:p>
      <w:pPr>
        <w:spacing w:after="0" w:line="66" w:lineRule="exact"/>
        <w:rPr>
          <w:sz w:val="20"/>
          <w:szCs w:val="20"/>
          <w:color w:val="auto"/>
        </w:rPr>
      </w:pPr>
    </w:p>
    <w:p>
      <w:pPr>
        <w:jc w:val="both"/>
        <w:ind w:left="700" w:right="719"/>
        <w:spacing w:after="0" w:line="261" w:lineRule="auto"/>
        <w:rPr>
          <w:sz w:val="20"/>
          <w:szCs w:val="20"/>
          <w:color w:val="auto"/>
        </w:rPr>
      </w:pPr>
      <w:r>
        <w:rPr>
          <w:rFonts w:ascii="Times New Roman" w:cs="Times New Roman" w:eastAsia="Times New Roman" w:hAnsi="Times New Roman"/>
          <w:sz w:val="16"/>
          <w:szCs w:val="16"/>
          <w:color w:val="auto"/>
        </w:rPr>
        <w:t>In determining whether the holders of the required principal amount of a series of debt securities have concurred in any direction, notice, waiver or consent, debt securities owned by the Company, any subsidiary of the Company, or by any affiliate of the Company, will be considered as though not outstanding, except that for the purposes of determining whether the trustee will be protected in conclusively relying on any such direction, notice, waiver or consent, only debt securities that a responsible officer of the trustee actually knows are so owned will be so disregarded.</w:t>
      </w:r>
    </w:p>
    <w:p>
      <w:pPr>
        <w:spacing w:after="0" w:line="3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Satisfaction and Discharge and Defeasance</w:t>
      </w:r>
    </w:p>
    <w:p>
      <w:pPr>
        <w:spacing w:after="0" w:line="110" w:lineRule="exact"/>
        <w:rPr>
          <w:sz w:val="20"/>
          <w:szCs w:val="20"/>
          <w:color w:val="auto"/>
        </w:rPr>
      </w:pPr>
    </w:p>
    <w:p>
      <w:pPr>
        <w:jc w:val="both"/>
        <w:ind w:left="700" w:right="719"/>
        <w:spacing w:after="0" w:line="271" w:lineRule="auto"/>
        <w:rPr>
          <w:sz w:val="20"/>
          <w:szCs w:val="20"/>
          <w:color w:val="auto"/>
        </w:rPr>
      </w:pPr>
      <w:r>
        <w:rPr>
          <w:rFonts w:ascii="Times New Roman" w:cs="Times New Roman" w:eastAsia="Times New Roman" w:hAnsi="Times New Roman"/>
          <w:sz w:val="16"/>
          <w:szCs w:val="16"/>
          <w:color w:val="auto"/>
        </w:rPr>
        <w:t>Each of the indentures in the respective forms initially filed as exhibits to the Registration Statement of which this prospectus is a part will be discharged and will cease to be of further effect with respect to any series of debt securities issued thereunder upon:</w:t>
      </w:r>
    </w:p>
    <w:p>
      <w:pPr>
        <w:spacing w:after="0" w:line="59" w:lineRule="exact"/>
        <w:rPr>
          <w:sz w:val="20"/>
          <w:szCs w:val="20"/>
          <w:color w:val="auto"/>
        </w:rPr>
      </w:pPr>
    </w:p>
    <w:p>
      <w:pPr>
        <w:jc w:val="both"/>
        <w:ind w:left="1340" w:right="719" w:hanging="311"/>
        <w:spacing w:after="0" w:line="264" w:lineRule="auto"/>
        <w:tabs>
          <w:tab w:leader="none" w:pos="1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 the delivery to the trustee for cancellation all debt securities of such series or, in the case of a series of debt securities that have become due and payable, will become due and payable within one year or have been called for redemption, the irrevocable deposit with the trustee in trust of cash, government obligations or a combination thereof sufficient to pay off the entire indebtedness on the debt securities of such series;</w:t>
      </w:r>
    </w:p>
    <w:p>
      <w:pPr>
        <w:spacing w:after="0" w:line="262"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any guarantor has paid all sums payable by it with respect to such series of debt securities under the applicable indenture; and</w:t>
      </w:r>
    </w:p>
    <w:p>
      <w:pPr>
        <w:spacing w:after="0" w:line="45" w:lineRule="exact"/>
        <w:rPr>
          <w:rFonts w:ascii="Times New Roman" w:cs="Times New Roman" w:eastAsia="Times New Roman" w:hAnsi="Times New Roman"/>
          <w:sz w:val="16"/>
          <w:szCs w:val="16"/>
          <w:color w:val="auto"/>
        </w:rPr>
      </w:pPr>
    </w:p>
    <w:p>
      <w:pPr>
        <w:jc w:val="both"/>
        <w:ind w:left="1340" w:right="719" w:hanging="311"/>
        <w:spacing w:after="0" w:line="271" w:lineRule="auto"/>
        <w:tabs>
          <w:tab w:leader="none" w:pos="1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delivered irrevocable instructions to the trustee for such series of debt securities under the applicable indenture to apply the deposited money toward the payment of the debt securities at maturity or on the redemption date, as the case may be.</w:t>
      </w:r>
    </w:p>
    <w:p>
      <w:pPr>
        <w:spacing w:after="0" w:line="59" w:lineRule="exact"/>
        <w:rPr>
          <w:sz w:val="20"/>
          <w:szCs w:val="20"/>
          <w:color w:val="auto"/>
        </w:rPr>
      </w:pPr>
    </w:p>
    <w:p>
      <w:pPr>
        <w:jc w:val="both"/>
        <w:ind w:left="700" w:right="719"/>
        <w:spacing w:after="0" w:line="271" w:lineRule="auto"/>
        <w:rPr>
          <w:sz w:val="20"/>
          <w:szCs w:val="20"/>
          <w:color w:val="auto"/>
        </w:rPr>
      </w:pPr>
      <w:r>
        <w:rPr>
          <w:rFonts w:ascii="Times New Roman" w:cs="Times New Roman" w:eastAsia="Times New Roman" w:hAnsi="Times New Roman"/>
          <w:sz w:val="16"/>
          <w:szCs w:val="16"/>
          <w:color w:val="auto"/>
        </w:rPr>
        <w:t>In addition, each of the indentures in the respective forms initially filed as exhibits to the Registration Statement of which this prospectus is a part allows us, at our option and subject to the satisfaction of certain conditions, to elect that we and any guarantors, as applicable, with respect to any series of debt securities issued thereunder, be:</w:t>
      </w:r>
    </w:p>
    <w:p>
      <w:pPr>
        <w:spacing w:after="0" w:line="59" w:lineRule="exact"/>
        <w:rPr>
          <w:sz w:val="20"/>
          <w:szCs w:val="20"/>
          <w:color w:val="auto"/>
        </w:rPr>
      </w:pPr>
    </w:p>
    <w:p>
      <w:pPr>
        <w:ind w:left="1340" w:right="719" w:hanging="311"/>
        <w:spacing w:after="0" w:line="288" w:lineRule="auto"/>
        <w:tabs>
          <w:tab w:leader="none" w:pos="1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deemed to have paid and discharged the entire indebtedness of the debt securities of such series and any guarantees thereof (a “legal defeasance option”); or</w:t>
      </w:r>
    </w:p>
    <w:p>
      <w:pPr>
        <w:spacing w:after="0" w:line="45" w:lineRule="exact"/>
        <w:rPr>
          <w:rFonts w:ascii="Times New Roman" w:cs="Times New Roman" w:eastAsia="Times New Roman" w:hAnsi="Times New Roman"/>
          <w:sz w:val="16"/>
          <w:szCs w:val="16"/>
          <w:color w:val="auto"/>
        </w:rPr>
      </w:pPr>
    </w:p>
    <w:p>
      <w:pPr>
        <w:jc w:val="both"/>
        <w:ind w:left="1340" w:right="719" w:hanging="311"/>
        <w:spacing w:after="0" w:line="271" w:lineRule="auto"/>
        <w:tabs>
          <w:tab w:leader="none" w:pos="1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released from our obligations and any of our guarantor’s obligations under certain restrictive covenants in the indenture and, following such release, noncompliance with such covenants shall not constitute a default or an event of default (a “covenant defeasance option”).</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118110</wp:posOffset>
            </wp:positionV>
            <wp:extent cx="631063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21" w:name="page22"/>
    <w:bookmarkEnd w:id="21"/>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2" w:lineRule="exact"/>
        <w:rPr>
          <w:sz w:val="20"/>
          <w:szCs w:val="20"/>
          <w:color w:val="auto"/>
        </w:rPr>
      </w:pPr>
    </w:p>
    <w:p>
      <w:pPr>
        <w:jc w:val="both"/>
        <w:ind w:left="700" w:right="719"/>
        <w:spacing w:after="0" w:line="262" w:lineRule="auto"/>
        <w:rPr>
          <w:sz w:val="20"/>
          <w:szCs w:val="20"/>
          <w:color w:val="auto"/>
        </w:rPr>
      </w:pPr>
      <w:r>
        <w:rPr>
          <w:rFonts w:ascii="Times New Roman" w:cs="Times New Roman" w:eastAsia="Times New Roman" w:hAnsi="Times New Roman"/>
          <w:sz w:val="16"/>
          <w:szCs w:val="16"/>
          <w:color w:val="auto"/>
        </w:rPr>
        <w:t>If we exercise our legal defeasance option with respect to a series of debt securities, payment of such debt securities may not be accelerated because of an event of default. If we exercise our covenant defeasance option with respect to a series of debt securities, payment of such debt securities may not be accelerated because of an event of default related to the specified covenants. The applicable prospectus supplement or free writing prospectus will describe the procedures we must follow in order to exercise our defeasance options.</w:t>
      </w:r>
    </w:p>
    <w:p>
      <w:pPr>
        <w:spacing w:after="0" w:line="30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Subordination Under the Subordinated Debt Indenture and Junior Subordinated Debt Indenture</w:t>
      </w:r>
    </w:p>
    <w:p>
      <w:pPr>
        <w:spacing w:after="0" w:line="110" w:lineRule="exact"/>
        <w:rPr>
          <w:sz w:val="20"/>
          <w:szCs w:val="20"/>
          <w:color w:val="auto"/>
        </w:rPr>
      </w:pPr>
    </w:p>
    <w:p>
      <w:pPr>
        <w:jc w:val="both"/>
        <w:ind w:left="700" w:right="719"/>
        <w:spacing w:after="0" w:line="259" w:lineRule="auto"/>
        <w:rPr>
          <w:sz w:val="20"/>
          <w:szCs w:val="20"/>
          <w:color w:val="auto"/>
        </w:rPr>
      </w:pPr>
      <w:r>
        <w:rPr>
          <w:rFonts w:ascii="Times New Roman" w:cs="Times New Roman" w:eastAsia="Times New Roman" w:hAnsi="Times New Roman"/>
          <w:sz w:val="16"/>
          <w:szCs w:val="16"/>
          <w:color w:val="auto"/>
        </w:rPr>
        <w:t>Each of the subordinated debt indenture and junior subordinated debt indenture in the respective forms initially filed as exhibits to the Registration Statement of which this prospectus is a part provides that payment of the interest, premium (if any) and principal on and additional amounts (if any) with respect to debt securities issued under the subordinated debt indenture or junior subordinated debt indenture will be subordinate and junior in right of payment, to the extent and in the manner set forth in such indenture, (i) to all of our senior indebtedness, in the case of subordinated indebtedness, and (ii) to all of our senior indebtedness and subordinated indebtedness, in the case of junior subordinated indebtedness.</w:t>
      </w:r>
    </w:p>
    <w:p>
      <w:pPr>
        <w:spacing w:after="0" w:line="72" w:lineRule="exact"/>
        <w:rPr>
          <w:sz w:val="20"/>
          <w:szCs w:val="20"/>
          <w:color w:val="auto"/>
        </w:rPr>
      </w:pPr>
    </w:p>
    <w:p>
      <w:pPr>
        <w:jc w:val="both"/>
        <w:ind w:left="700" w:right="719"/>
        <w:spacing w:after="0" w:line="257" w:lineRule="auto"/>
        <w:rPr>
          <w:sz w:val="20"/>
          <w:szCs w:val="20"/>
          <w:color w:val="auto"/>
        </w:rPr>
      </w:pPr>
      <w:r>
        <w:rPr>
          <w:rFonts w:ascii="Times New Roman" w:cs="Times New Roman" w:eastAsia="Times New Roman" w:hAnsi="Times New Roman"/>
          <w:sz w:val="16"/>
          <w:szCs w:val="16"/>
          <w:color w:val="auto"/>
        </w:rPr>
        <w:t>The subordinated debt indenture in the form initially filed as an exhibit to the Registration Statement of which this prospectus is a part defines senior indebtedness as the interest, premium (if any) and principal on and additional amounts (if any) on all of our indebtedness, whether incurred prior to, on or after the date of the subordinated debt indenture; provided that such senior indebtedness does not include any of our indebtedness which, by the terms of the instrument creating or evidencing it, has a subordinate or equivalent right to payment with the subordinated debt securities. The junior subordinated debt indenture in the form initially filed as an exhibit to the Registration Statement of which this prospectus is a part defines senior indebtedness as the interest, premium (if any) and principal on and additional amounts (if any) on all of our indebtedness, whether incurred prior to, on or after the date of the junior subordinated indenture; provided that such senior indebtedness does not include any of our indebtedness which, by its terms or the terms of the instrument creating or evidencing it, either has a subordinate or equivalent right to payment with the subordinated debt securities or has a subordinate or equivalent right to payment with the junior subordinated debt securities. For the avoidance of doubt, senior indebtedness also includes any senior debt securities.</w:t>
      </w:r>
    </w:p>
    <w:p>
      <w:pPr>
        <w:spacing w:after="0" w:line="266" w:lineRule="exact"/>
        <w:rPr>
          <w:sz w:val="20"/>
          <w:szCs w:val="20"/>
          <w:color w:val="auto"/>
        </w:rPr>
      </w:pPr>
    </w:p>
    <w:p>
      <w:pPr>
        <w:jc w:val="both"/>
        <w:ind w:left="700" w:right="719"/>
        <w:spacing w:after="0" w:line="258" w:lineRule="auto"/>
        <w:rPr>
          <w:sz w:val="20"/>
          <w:szCs w:val="20"/>
          <w:color w:val="auto"/>
        </w:rPr>
      </w:pPr>
      <w:r>
        <w:rPr>
          <w:rFonts w:ascii="Times New Roman" w:cs="Times New Roman" w:eastAsia="Times New Roman" w:hAnsi="Times New Roman"/>
          <w:sz w:val="16"/>
          <w:szCs w:val="16"/>
          <w:color w:val="auto"/>
        </w:rPr>
        <w:t>Each of the subordinated debt indenture and junior subordinated debt indenture in the respective forms initially filed as exhibits to the Registration Statement of which this prospectus is a part define “indebtedness” in the same manner. The junior subordinated debt indenture in the form initially filed as an exhibit to the Registration Statement of which this prospectus is a part defines subordinated indebtedness as interest, premium (if any) and principal on and additional amounts (if any) on all of our indebtedness that is subordinated to any of our senior indebtedness, whether created, incurred or assumed prior to, on or after the date of the junior subordinated debt indenture; provided that subordinated indebtedness does not include any of our indebtedness which by the terms of the instrument creating or evidencing such indebtedness is specifically designated as being subordinated to or pari passu with the junior subordinated debt securities.</w:t>
      </w:r>
    </w:p>
    <w:p>
      <w:pPr>
        <w:spacing w:after="0" w:line="71" w:lineRule="exact"/>
        <w:rPr>
          <w:sz w:val="20"/>
          <w:szCs w:val="20"/>
          <w:color w:val="auto"/>
        </w:rPr>
      </w:pPr>
    </w:p>
    <w:p>
      <w:pPr>
        <w:jc w:val="both"/>
        <w:ind w:left="700" w:right="719"/>
        <w:spacing w:after="0" w:line="259" w:lineRule="auto"/>
        <w:rPr>
          <w:sz w:val="20"/>
          <w:szCs w:val="20"/>
          <w:color w:val="auto"/>
        </w:rPr>
      </w:pPr>
      <w:r>
        <w:rPr>
          <w:rFonts w:ascii="Times New Roman" w:cs="Times New Roman" w:eastAsia="Times New Roman" w:hAnsi="Times New Roman"/>
          <w:sz w:val="16"/>
          <w:szCs w:val="16"/>
          <w:color w:val="auto"/>
        </w:rPr>
        <w:t>The subordinated debt indenture and junior subordinated debt indenture in the respective forms initially filed as exhibits to the Registration Statement of which this prospectus is a part do not limit the amount of senior indebtedness that we can incur. The junior subordinated debt indenture in the form initially filed as an exhibit to the Registration Statement of which this prospectus is a part does not limit the amount of subordinated indebtedness that we can incur. The holders of all senior indebtedness will be entitled to receive payment of the full amount due on that indebtedness before the holders of any subordinated debt securities or junior subordinated debt securities receive any payment on account of such subordinated debt securities or junior subordinated debt securities, in the event:</w:t>
      </w:r>
    </w:p>
    <w:p>
      <w:pPr>
        <w:spacing w:after="0" w:line="266" w:lineRule="exact"/>
        <w:rPr>
          <w:sz w:val="20"/>
          <w:szCs w:val="20"/>
          <w:color w:val="auto"/>
        </w:rPr>
      </w:pPr>
    </w:p>
    <w:p>
      <w:pPr>
        <w:ind w:left="1340" w:right="739" w:hanging="311"/>
        <w:spacing w:after="0" w:line="288" w:lineRule="auto"/>
        <w:tabs>
          <w:tab w:leader="none" w:pos="1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any insolvency, bankruptcy, receivership, liquidation, reorganization or other similar proceedings in respect of us or our property; or</w:t>
      </w:r>
    </w:p>
    <w:p>
      <w:pPr>
        <w:spacing w:after="0" w:line="45" w:lineRule="exact"/>
        <w:rPr>
          <w:rFonts w:ascii="Times New Roman" w:cs="Times New Roman" w:eastAsia="Times New Roman" w:hAnsi="Times New Roman"/>
          <w:sz w:val="16"/>
          <w:szCs w:val="16"/>
          <w:color w:val="auto"/>
        </w:rPr>
      </w:pPr>
    </w:p>
    <w:p>
      <w:pPr>
        <w:jc w:val="both"/>
        <w:ind w:left="1340" w:right="739" w:hanging="311"/>
        <w:spacing w:after="0" w:line="271" w:lineRule="auto"/>
        <w:tabs>
          <w:tab w:leader="none" w:pos="1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debt securities of any series are declared due and payable before their expressed maturity because of an event of default other than an insolvency, bankruptcy, receivership, liquidation, reorganization or other similar proceeding in respect of us or our property.</w:t>
      </w:r>
    </w:p>
    <w:p>
      <w:pPr>
        <w:spacing w:after="0" w:line="59" w:lineRule="exact"/>
        <w:rPr>
          <w:sz w:val="20"/>
          <w:szCs w:val="20"/>
          <w:color w:val="auto"/>
        </w:rPr>
      </w:pPr>
    </w:p>
    <w:p>
      <w:pPr>
        <w:jc w:val="both"/>
        <w:ind w:left="700" w:right="719"/>
        <w:spacing w:after="0" w:line="271" w:lineRule="auto"/>
        <w:rPr>
          <w:sz w:val="20"/>
          <w:szCs w:val="20"/>
          <w:color w:val="auto"/>
        </w:rPr>
      </w:pPr>
      <w:r>
        <w:rPr>
          <w:rFonts w:ascii="Times New Roman" w:cs="Times New Roman" w:eastAsia="Times New Roman" w:hAnsi="Times New Roman"/>
          <w:sz w:val="16"/>
          <w:szCs w:val="16"/>
          <w:color w:val="auto"/>
        </w:rPr>
        <w:t>We may not make any payment of the interest, premium (if any) and principal on and additional amounts (if any) on the subordinated debt securities or junior subordinated debt securities during a continued default in payment of any senior indebtedness or if any event of default exists under the terms of any senior indebtedness.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118110</wp:posOffset>
            </wp:positionV>
            <wp:extent cx="631063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22" w:name="page23"/>
    <w:bookmarkEnd w:id="22"/>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2" w:lineRule="exact"/>
        <w:rPr>
          <w:sz w:val="20"/>
          <w:szCs w:val="20"/>
          <w:color w:val="auto"/>
        </w:rPr>
      </w:pPr>
    </w:p>
    <w:p>
      <w:pPr>
        <w:jc w:val="both"/>
        <w:ind w:left="700" w:right="719"/>
        <w:spacing w:after="0" w:line="271" w:lineRule="auto"/>
        <w:rPr>
          <w:sz w:val="20"/>
          <w:szCs w:val="20"/>
          <w:color w:val="auto"/>
        </w:rPr>
      </w:pPr>
      <w:r>
        <w:rPr>
          <w:rFonts w:ascii="Times New Roman" w:cs="Times New Roman" w:eastAsia="Times New Roman" w:hAnsi="Times New Roman"/>
          <w:sz w:val="16"/>
          <w:szCs w:val="16"/>
          <w:color w:val="auto"/>
        </w:rPr>
        <w:t>Similarly, the holders of all subordinated indebtedness will be entitled to receive payment of the full amount due on that indebtedness before the holders of any junior subordinated debt securities receive any payment on account of such junior subordinated debt securities, in the event:</w:t>
      </w:r>
    </w:p>
    <w:p>
      <w:pPr>
        <w:spacing w:after="0" w:line="59" w:lineRule="exact"/>
        <w:rPr>
          <w:sz w:val="20"/>
          <w:szCs w:val="20"/>
          <w:color w:val="auto"/>
        </w:rPr>
      </w:pPr>
    </w:p>
    <w:p>
      <w:pPr>
        <w:ind w:left="1340" w:right="739" w:hanging="311"/>
        <w:spacing w:after="0" w:line="288" w:lineRule="auto"/>
        <w:tabs>
          <w:tab w:leader="none" w:pos="1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any insolvency, bankruptcy, receivership, liquidation, reorganization or other similar proceedings in respect of us or our property; or</w:t>
      </w:r>
    </w:p>
    <w:p>
      <w:pPr>
        <w:spacing w:after="0" w:line="45" w:lineRule="exact"/>
        <w:rPr>
          <w:rFonts w:ascii="Times New Roman" w:cs="Times New Roman" w:eastAsia="Times New Roman" w:hAnsi="Times New Roman"/>
          <w:sz w:val="16"/>
          <w:szCs w:val="16"/>
          <w:color w:val="auto"/>
        </w:rPr>
      </w:pPr>
    </w:p>
    <w:p>
      <w:pPr>
        <w:jc w:val="both"/>
        <w:ind w:left="1340" w:right="739" w:hanging="311"/>
        <w:spacing w:after="0" w:line="271" w:lineRule="auto"/>
        <w:tabs>
          <w:tab w:leader="none" w:pos="1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debt securities of any series are declared due and payable before their expressed maturity because of an event of default other than an insolvency, bankruptcy, receivership, liquidation, reorganization or other similar proceeding in respect of us or our property.</w:t>
      </w:r>
    </w:p>
    <w:p>
      <w:pPr>
        <w:spacing w:after="0" w:line="59" w:lineRule="exact"/>
        <w:rPr>
          <w:sz w:val="20"/>
          <w:szCs w:val="20"/>
          <w:color w:val="auto"/>
        </w:rPr>
      </w:pPr>
    </w:p>
    <w:p>
      <w:pPr>
        <w:jc w:val="both"/>
        <w:ind w:left="700" w:right="719"/>
        <w:spacing w:after="0" w:line="269" w:lineRule="auto"/>
        <w:rPr>
          <w:sz w:val="20"/>
          <w:szCs w:val="20"/>
          <w:color w:val="auto"/>
        </w:rPr>
      </w:pPr>
      <w:r>
        <w:rPr>
          <w:rFonts w:ascii="Times New Roman" w:cs="Times New Roman" w:eastAsia="Times New Roman" w:hAnsi="Times New Roman"/>
          <w:sz w:val="16"/>
          <w:szCs w:val="16"/>
          <w:color w:val="auto"/>
        </w:rPr>
        <w:t>We may not make any payment of interest, premium (if any) and principal on and additional amounts (if any) on the junior subordinated debt securities during a continued default in payment of any senior indebtedness or subordinated indebtedness or if any event of default exists under the terms of any senior indebtedness or subordinated indebtedness.</w:t>
      </w:r>
    </w:p>
    <w:p>
      <w:pPr>
        <w:spacing w:after="0" w:line="258" w:lineRule="exact"/>
        <w:rPr>
          <w:sz w:val="20"/>
          <w:szCs w:val="20"/>
          <w:color w:val="auto"/>
        </w:rPr>
      </w:pPr>
    </w:p>
    <w:p>
      <w:pPr>
        <w:jc w:val="both"/>
        <w:ind w:left="700" w:right="719"/>
        <w:spacing w:after="0" w:line="258" w:lineRule="auto"/>
        <w:rPr>
          <w:sz w:val="20"/>
          <w:szCs w:val="20"/>
          <w:color w:val="auto"/>
        </w:rPr>
      </w:pPr>
      <w:r>
        <w:rPr>
          <w:rFonts w:ascii="Times New Roman" w:cs="Times New Roman" w:eastAsia="Times New Roman" w:hAnsi="Times New Roman"/>
          <w:sz w:val="16"/>
          <w:szCs w:val="16"/>
          <w:color w:val="auto"/>
        </w:rPr>
        <w:t>The trustee for each series of debt securities under the subordinated debt indenture and junior subordinated debt indenture will not be deemed to owe any fiduciary duty to the holders of senior indebtedness and will not be liable to any such holders if the trustee shall in good faith mistakenly pay over or distribute to holders of subordinated indebtedness or to us or to any other person cash, property or securities to which any holders of senior indebtedness are entitled by virtue of the subordination provisions of the subordinated debt indenture and junior subordinated debt indenture or otherwise. With respect to the holders of senior indebtedness, the trustee for each series of debt securities under the subordinated debt indenture and junior subordinated debt indenture will undertake to perform only such of its covenants or obligations as are specifically set forth in such indentures and no implied covenants or obligations with respect to holders of senior indebtedness will be read into the subordinated debt indenture and junior subordinated debt indenture against such trustee.</w:t>
      </w:r>
    </w:p>
    <w:p>
      <w:pPr>
        <w:spacing w:after="0" w:line="68" w:lineRule="exact"/>
        <w:rPr>
          <w:sz w:val="20"/>
          <w:szCs w:val="20"/>
          <w:color w:val="auto"/>
        </w:rPr>
      </w:pPr>
    </w:p>
    <w:p>
      <w:pPr>
        <w:jc w:val="both"/>
        <w:ind w:left="700" w:right="719"/>
        <w:spacing w:after="0" w:line="288" w:lineRule="auto"/>
        <w:rPr>
          <w:sz w:val="20"/>
          <w:szCs w:val="20"/>
          <w:color w:val="auto"/>
        </w:rPr>
      </w:pPr>
      <w:r>
        <w:rPr>
          <w:rFonts w:ascii="Times New Roman" w:cs="Times New Roman" w:eastAsia="Times New Roman" w:hAnsi="Times New Roman"/>
          <w:sz w:val="16"/>
          <w:szCs w:val="16"/>
          <w:color w:val="auto"/>
        </w:rPr>
        <w:t>Nothing in the subordinated debt indenture or junior subordinated debt indenture will apply to claims of, or payments to, the applicable trustee under such indentures.</w:t>
      </w:r>
    </w:p>
    <w:p>
      <w:pPr>
        <w:spacing w:after="0" w:line="2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Information Concerning the Trustee</w:t>
      </w:r>
    </w:p>
    <w:p>
      <w:pPr>
        <w:spacing w:after="0" w:line="110" w:lineRule="exact"/>
        <w:rPr>
          <w:sz w:val="20"/>
          <w:szCs w:val="20"/>
          <w:color w:val="auto"/>
        </w:rPr>
      </w:pPr>
    </w:p>
    <w:p>
      <w:pPr>
        <w:jc w:val="both"/>
        <w:ind w:left="700" w:right="719"/>
        <w:spacing w:after="0" w:line="262" w:lineRule="auto"/>
        <w:rPr>
          <w:sz w:val="20"/>
          <w:szCs w:val="20"/>
          <w:color w:val="auto"/>
        </w:rPr>
      </w:pPr>
      <w:r>
        <w:rPr>
          <w:rFonts w:ascii="Times New Roman" w:cs="Times New Roman" w:eastAsia="Times New Roman" w:hAnsi="Times New Roman"/>
          <w:sz w:val="16"/>
          <w:szCs w:val="16"/>
          <w:color w:val="auto"/>
        </w:rPr>
        <w:t>The trustee, other than during the continuance of an event of default under any applicable indenture, undertakes to perform only those duties specifically set forth in the applicable indenture. Upon the occurrence of a continuing event of default under any applicable indenture, the trustee must exercise the rights and powers vested in it by the indenture and use the same degree of care and skill as a prudent person would exercise or use in the conduct of such person’s own affairs in those circumstances.</w:t>
      </w:r>
    </w:p>
    <w:p>
      <w:pPr>
        <w:spacing w:after="0" w:line="67" w:lineRule="exact"/>
        <w:rPr>
          <w:sz w:val="20"/>
          <w:szCs w:val="20"/>
          <w:color w:val="auto"/>
        </w:rPr>
      </w:pPr>
    </w:p>
    <w:p>
      <w:pPr>
        <w:jc w:val="both"/>
        <w:ind w:left="700" w:right="719"/>
        <w:spacing w:after="0" w:line="259" w:lineRule="auto"/>
        <w:rPr>
          <w:sz w:val="20"/>
          <w:szCs w:val="20"/>
          <w:color w:val="auto"/>
        </w:rPr>
      </w:pPr>
      <w:r>
        <w:rPr>
          <w:rFonts w:ascii="Times New Roman" w:cs="Times New Roman" w:eastAsia="Times New Roman" w:hAnsi="Times New Roman"/>
          <w:sz w:val="16"/>
          <w:szCs w:val="16"/>
          <w:color w:val="auto"/>
        </w:rPr>
        <w:t xml:space="preserve">Each of the indentures in the respective forms initially filed as exhibits to the Registration Statement of which this prospectus is a part contains certain limitations on the rights of the trustee, should it become a creditor of us or any guarantor, to obtain payment of claims in certain cases or to realize on certain property received by it in respect of any such claims, as security or otherwise. The trustee is permitted to engage in other transactions;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it acquires any conflicting interest, it must eliminate such conflict within 90 days or resign. We may, from time to time, borrow from or maintain deposit accounts and conduct other banking transactions with the trustee or its affiliates in the ordinary course of business.</w:t>
      </w:r>
    </w:p>
    <w:p>
      <w:pPr>
        <w:spacing w:after="0" w:line="72" w:lineRule="exact"/>
        <w:rPr>
          <w:sz w:val="20"/>
          <w:szCs w:val="20"/>
          <w:color w:val="auto"/>
        </w:rPr>
      </w:pPr>
    </w:p>
    <w:p>
      <w:pPr>
        <w:jc w:val="both"/>
        <w:ind w:left="700" w:right="719"/>
        <w:spacing w:after="0" w:line="265" w:lineRule="auto"/>
        <w:rPr>
          <w:sz w:val="20"/>
          <w:szCs w:val="20"/>
          <w:color w:val="auto"/>
        </w:rPr>
      </w:pPr>
      <w:r>
        <w:rPr>
          <w:rFonts w:ascii="Times New Roman" w:cs="Times New Roman" w:eastAsia="Times New Roman" w:hAnsi="Times New Roman"/>
          <w:sz w:val="16"/>
          <w:szCs w:val="16"/>
          <w:color w:val="auto"/>
        </w:rPr>
        <w:t>Each series of debt securities will be issued pursuant to (i) a company order or (ii) an indenture or a supplemental indenture thereto entered into by us, any guarantors and the trustee. The name, address and any material relationship between us and our affiliates, on the one hand, and the trustee, on the other hand, will be described in the applicable prospectus supplement or free writing prospectus pursuant to which the series of debt securities are offered.</w:t>
      </w:r>
    </w:p>
    <w:p>
      <w:pPr>
        <w:spacing w:after="0" w:line="2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Governing Law</w:t>
      </w:r>
    </w:p>
    <w:p>
      <w:pPr>
        <w:spacing w:after="0" w:line="110" w:lineRule="exact"/>
        <w:rPr>
          <w:sz w:val="20"/>
          <w:szCs w:val="20"/>
          <w:color w:val="auto"/>
        </w:rPr>
      </w:pPr>
    </w:p>
    <w:p>
      <w:pPr>
        <w:jc w:val="both"/>
        <w:ind w:left="700" w:right="719"/>
        <w:spacing w:after="0" w:line="288" w:lineRule="auto"/>
        <w:rPr>
          <w:sz w:val="20"/>
          <w:szCs w:val="20"/>
          <w:color w:val="auto"/>
        </w:rPr>
      </w:pPr>
      <w:r>
        <w:rPr>
          <w:rFonts w:ascii="Times New Roman" w:cs="Times New Roman" w:eastAsia="Times New Roman" w:hAnsi="Times New Roman"/>
          <w:sz w:val="16"/>
          <w:szCs w:val="16"/>
          <w:color w:val="auto"/>
        </w:rPr>
        <w:t>Each of the indentures, the debt securities and any guarantees thereof will be construed in accordance with and governed by the laws of the State of New York.</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118110</wp:posOffset>
            </wp:positionV>
            <wp:extent cx="631063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23" w:name="page24"/>
    <w:bookmarkEnd w:id="23"/>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DESCRIPTION OF CAPITAL STOCK</w:t>
      </w:r>
    </w:p>
    <w:p>
      <w:pPr>
        <w:spacing w:after="0" w:line="108" w:lineRule="exact"/>
        <w:rPr>
          <w:sz w:val="20"/>
          <w:szCs w:val="20"/>
          <w:color w:val="auto"/>
        </w:rPr>
      </w:pPr>
    </w:p>
    <w:p>
      <w:pPr>
        <w:jc w:val="both"/>
        <w:ind w:left="700" w:right="719"/>
        <w:spacing w:after="0" w:line="256" w:lineRule="auto"/>
        <w:rPr>
          <w:sz w:val="20"/>
          <w:szCs w:val="20"/>
          <w:color w:val="auto"/>
        </w:rPr>
      </w:pPr>
      <w:r>
        <w:rPr>
          <w:rFonts w:ascii="Times New Roman" w:cs="Times New Roman" w:eastAsia="Times New Roman" w:hAnsi="Times New Roman"/>
          <w:sz w:val="16"/>
          <w:szCs w:val="16"/>
          <w:i w:val="1"/>
          <w:iCs w:val="1"/>
          <w:color w:val="auto"/>
        </w:rPr>
        <w:t>The following description sets forth certain general terms of our common stock and our authorized but unissued preferred stock. While we believe that the following description covers the material terms of our capital stock, the description may not contain all of the information that is important to you. The following description does not purport to be complete and is subject to and qualified in its entirety by reference to our Amended and Restated Certificate of Incorporation effective as of November 13, 2020, (the “Viatris Charter”), as amended, our Amended and Restated Bylaws, effective as of December 15, 2023 (the “Viatris Bylaws”), and the Delaware General Corporation Law (the “DGCL”) and, for any series of preferred stock, the certificate of designations relating to such particular series of preferred stock. See “Where You Can Find More Information.” The particular terms of any series of preferred stock offered by any prospectus supplement or free writing prospectus and the extent, if any, to which these general provisions may apply to that series of preferred stock will be described in the prospectus supplement or free writing prospectus relating to that series of preferred stock. Copies of the Viatris Charter and the Viatris Bylaws have been filed as exhibits to the Registration Statement of which this prospectus is a part. You are urged to read the Viatris Charter and the Viatris Bylaws in their entirety. As used in this section, unless otherwise expressly stated or the context otherwise requires, the terms “Viatris,” “we” and “our” refer to Viatris Inc. and not to any of its subsidiaries.</w:t>
      </w:r>
    </w:p>
    <w:p>
      <w:pPr>
        <w:spacing w:after="0" w:line="79" w:lineRule="exact"/>
        <w:rPr>
          <w:sz w:val="20"/>
          <w:szCs w:val="20"/>
          <w:color w:val="auto"/>
        </w:rPr>
      </w:pPr>
    </w:p>
    <w:p>
      <w:pPr>
        <w:jc w:val="both"/>
        <w:ind w:left="700" w:right="719"/>
        <w:spacing w:after="0" w:line="288" w:lineRule="auto"/>
        <w:rPr>
          <w:sz w:val="20"/>
          <w:szCs w:val="20"/>
          <w:color w:val="auto"/>
        </w:rPr>
      </w:pPr>
      <w:r>
        <w:rPr>
          <w:rFonts w:ascii="Times New Roman" w:cs="Times New Roman" w:eastAsia="Times New Roman" w:hAnsi="Times New Roman"/>
          <w:sz w:val="16"/>
          <w:szCs w:val="16"/>
          <w:color w:val="auto"/>
        </w:rPr>
        <w:t>The Viatris Charter authorizes 3,000,000,000 shares of common stock, par value $0.01 per share, and 300,000,000 shares of preferred stock, par value $0.01 per share for a total authorized share capital of $3,300,000,000.</w:t>
      </w:r>
    </w:p>
    <w:p>
      <w:pPr>
        <w:spacing w:after="0" w:line="46" w:lineRule="exact"/>
        <w:rPr>
          <w:sz w:val="20"/>
          <w:szCs w:val="20"/>
          <w:color w:val="auto"/>
        </w:rPr>
      </w:pPr>
    </w:p>
    <w:p>
      <w:pPr>
        <w:jc w:val="both"/>
        <w:ind w:left="700" w:right="719"/>
        <w:spacing w:after="0" w:line="288" w:lineRule="auto"/>
        <w:rPr>
          <w:sz w:val="20"/>
          <w:szCs w:val="20"/>
          <w:color w:val="auto"/>
        </w:rPr>
      </w:pPr>
      <w:r>
        <w:rPr>
          <w:rFonts w:ascii="Times New Roman" w:cs="Times New Roman" w:eastAsia="Times New Roman" w:hAnsi="Times New Roman"/>
          <w:sz w:val="16"/>
          <w:szCs w:val="16"/>
          <w:color w:val="auto"/>
        </w:rPr>
        <w:t>As of May 5, 2025, there were 1,173,681,964 shares of Viatris common stock issued and outstanding, par value $0.01. All issued shares of Viatris common stock are fully paid and non-assessable.</w:t>
      </w:r>
    </w:p>
    <w:p>
      <w:pPr>
        <w:spacing w:after="0" w:line="46" w:lineRule="exact"/>
        <w:rPr>
          <w:sz w:val="20"/>
          <w:szCs w:val="20"/>
          <w:color w:val="auto"/>
        </w:rPr>
      </w:pPr>
    </w:p>
    <w:p>
      <w:pPr>
        <w:jc w:val="both"/>
        <w:ind w:left="700" w:right="719"/>
        <w:spacing w:after="0" w:line="271" w:lineRule="auto"/>
        <w:rPr>
          <w:sz w:val="20"/>
          <w:szCs w:val="20"/>
          <w:color w:val="auto"/>
        </w:rPr>
      </w:pPr>
      <w:r>
        <w:rPr>
          <w:rFonts w:ascii="Times New Roman" w:cs="Times New Roman" w:eastAsia="Times New Roman" w:hAnsi="Times New Roman"/>
          <w:sz w:val="16"/>
          <w:szCs w:val="16"/>
          <w:color w:val="auto"/>
        </w:rPr>
        <w:t>As of May 5, 2025, there were no shares of Viatris preferred stock outstanding. The Viatris board of directors (the “Viatris Board”) may establish the rights and preferences of the preferred stock from time to time as set forth in the Viatris Charter. The Viatris Charter does not authorize any other classes of capital stock.</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Common Stock</w:t>
      </w:r>
    </w:p>
    <w:p>
      <w:pPr>
        <w:spacing w:after="0" w:line="112" w:lineRule="exact"/>
        <w:rPr>
          <w:sz w:val="20"/>
          <w:szCs w:val="20"/>
          <w:color w:val="auto"/>
        </w:rPr>
      </w:pPr>
    </w:p>
    <w:p>
      <w:pPr>
        <w:jc w:val="both"/>
        <w:ind w:left="700" w:right="719"/>
        <w:spacing w:after="0" w:line="257" w:lineRule="auto"/>
        <w:rPr>
          <w:sz w:val="20"/>
          <w:szCs w:val="20"/>
          <w:color w:val="auto"/>
        </w:rPr>
      </w:pPr>
      <w:r>
        <w:rPr>
          <w:rFonts w:ascii="Times New Roman" w:cs="Times New Roman" w:eastAsia="Times New Roman" w:hAnsi="Times New Roman"/>
          <w:sz w:val="16"/>
          <w:szCs w:val="16"/>
          <w:color w:val="auto"/>
        </w:rPr>
        <w:t>Holders of Viatris common stock are entitled to one vote per share on all matters to be voted upon by Viatris stockholders. Unless a different vote is required by law or specifically required by the Viatris Charter or the Viatris Bylaws, if a quorum exists at any meeting of stockholders, stockholders shall have approved any matter (other than the election of directors, which is described below) if a majority of votes cast on such matter by stockholders present in person or represented by proxy at the meeting and entitled to vote on such matter are in favor of such matter. Subject to the rights of the holders of any series of Viatris preferred stock to elect directors under specified circumstances, if a quorum exists at any meeting of stockholders, stockholders have approved the election of a director if a majority of the votes cast at any meeting for the election of such director are in favor of such election. Notwithstanding the foregoing, in the event of a “contested election” of directors, directors will be elected by the vote of a plurality of the votes cast at any meeting for the election of directors at which a quorum is present. A “contested election” means any election of directors in which the number of candidates for election as directors exceeds the number of directors to be elected, with the determination thereof being made by the secretary of Viatris.</w:t>
      </w:r>
    </w:p>
    <w:p>
      <w:pPr>
        <w:spacing w:after="0" w:line="72" w:lineRule="exact"/>
        <w:rPr>
          <w:sz w:val="20"/>
          <w:szCs w:val="20"/>
          <w:color w:val="auto"/>
        </w:rPr>
      </w:pPr>
    </w:p>
    <w:p>
      <w:pPr>
        <w:jc w:val="both"/>
        <w:ind w:left="700" w:right="719"/>
        <w:spacing w:after="0" w:line="258" w:lineRule="auto"/>
        <w:rPr>
          <w:sz w:val="20"/>
          <w:szCs w:val="20"/>
          <w:color w:val="auto"/>
        </w:rPr>
      </w:pPr>
      <w:r>
        <w:rPr>
          <w:rFonts w:ascii="Times New Roman" w:cs="Times New Roman" w:eastAsia="Times New Roman" w:hAnsi="Times New Roman"/>
          <w:sz w:val="16"/>
          <w:szCs w:val="16"/>
          <w:color w:val="auto"/>
        </w:rPr>
        <w:t>Subject to the rights of any holders of Viatris preferred stock, the holders of Viatris common stock are entitled to receive ratably dividends, if any, as may be declared from time to time by the Viatris Board out of funds legally available for the payment of dividends. If Viatris liquidates, dissolves or winds up, after all liabilities and, if applicable, the holders of each series of preferred stock have been paid in full, the holders of Viatris common stock will be entitled to share ratably in all remaining assets. Viatris common stock does not have preemptive or conversion rights or other subscription rights. No redemption or sinking fund provisions are applicable to Viatris common stock. The rights, preferences and privileges of the holders of Viatris common stock are subject to, and may be adversely affected by, the rights of the holders of shares of any series of preferred stock that Viatris may designate and issue in the future.</w:t>
      </w:r>
    </w:p>
    <w:p>
      <w:pPr>
        <w:spacing w:after="0" w:line="1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Preferred Stock</w:t>
      </w:r>
    </w:p>
    <w:p>
      <w:pPr>
        <w:spacing w:after="0" w:line="112" w:lineRule="exact"/>
        <w:rPr>
          <w:sz w:val="20"/>
          <w:szCs w:val="20"/>
          <w:color w:val="auto"/>
        </w:rPr>
      </w:pPr>
    </w:p>
    <w:p>
      <w:pPr>
        <w:jc w:val="both"/>
        <w:ind w:left="700" w:right="719"/>
        <w:spacing w:after="0" w:line="261" w:lineRule="auto"/>
        <w:rPr>
          <w:sz w:val="20"/>
          <w:szCs w:val="20"/>
          <w:color w:val="auto"/>
        </w:rPr>
      </w:pPr>
      <w:r>
        <w:rPr>
          <w:rFonts w:ascii="Times New Roman" w:cs="Times New Roman" w:eastAsia="Times New Roman" w:hAnsi="Times New Roman"/>
          <w:sz w:val="16"/>
          <w:szCs w:val="16"/>
          <w:color w:val="auto"/>
        </w:rPr>
        <w:t>The Viatris Board may issue shares of preferred stock in one or more series and, subject to the applicable law of the State of Delaware, the Viatris Board may set the powers, rights, preferences, qualifications, limitations and restrictions of such preferred stock. The Viatris Board has the power to issue Viatris preferred stock with voting, conversion and exchange rights that could negatively affect the voting power or other rights of Viatris common stockholders, and the Viatris Board could take such action without stockholder approval. The issuance of Viatris preferred stock could delay or prevent a change in control of Viatris.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118110</wp:posOffset>
            </wp:positionV>
            <wp:extent cx="631063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24" w:name="page25"/>
    <w:bookmarkEnd w:id="24"/>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2" w:lineRule="exact"/>
        <w:rPr>
          <w:sz w:val="20"/>
          <w:szCs w:val="20"/>
          <w:color w:val="auto"/>
        </w:rPr>
      </w:pPr>
    </w:p>
    <w:p>
      <w:pPr>
        <w:jc w:val="both"/>
        <w:ind w:left="700" w:right="719"/>
        <w:spacing w:after="0" w:line="271" w:lineRule="auto"/>
        <w:rPr>
          <w:sz w:val="20"/>
          <w:szCs w:val="20"/>
          <w:color w:val="auto"/>
        </w:rPr>
      </w:pPr>
      <w:r>
        <w:rPr>
          <w:rFonts w:ascii="Times New Roman" w:cs="Times New Roman" w:eastAsia="Times New Roman" w:hAnsi="Times New Roman"/>
          <w:sz w:val="16"/>
          <w:szCs w:val="16"/>
          <w:color w:val="auto"/>
        </w:rPr>
        <w:t>The terms of each series of preferred stock will be described in any prospectus supplement or free writing prospectus related to such series of preferred stock and will contain a discussion of material U.S. federal income tax considerations applicable to the preferred stock.</w:t>
      </w:r>
    </w:p>
    <w:p>
      <w:pPr>
        <w:spacing w:after="0" w:line="2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Anti-Takeover Effects of Various Provisions of Delaware Law, the Viatris Charter and the Viatris Bylaws</w:t>
      </w:r>
    </w:p>
    <w:p>
      <w:pPr>
        <w:spacing w:after="0" w:line="110" w:lineRule="exact"/>
        <w:rPr>
          <w:sz w:val="20"/>
          <w:szCs w:val="20"/>
          <w:color w:val="auto"/>
        </w:rPr>
      </w:pPr>
    </w:p>
    <w:p>
      <w:pPr>
        <w:jc w:val="both"/>
        <w:ind w:left="700" w:right="719"/>
        <w:spacing w:after="0" w:line="262" w:lineRule="auto"/>
        <w:rPr>
          <w:sz w:val="20"/>
          <w:szCs w:val="20"/>
          <w:color w:val="auto"/>
        </w:rPr>
      </w:pPr>
      <w:r>
        <w:rPr>
          <w:rFonts w:ascii="Times New Roman" w:cs="Times New Roman" w:eastAsia="Times New Roman" w:hAnsi="Times New Roman"/>
          <w:sz w:val="16"/>
          <w:szCs w:val="16"/>
          <w:color w:val="auto"/>
        </w:rPr>
        <w:t>Provisions of the DGCL, the Viatris Charter and the Viatris Bylaws could make it more difficult to acquire Viatris by means of a tender offer, a proxy contest or otherwise, or to remove incumbent officers and directors. These provisions, summarized below, would be expected to discourage certain types of coercive takeover practices and takeover bids the Viatris Board may consider inadequate and to encourage persons seeking to acquire control of Viatris to first negotiate with Viatris.</w:t>
      </w:r>
    </w:p>
    <w:p>
      <w:pPr>
        <w:spacing w:after="0" w:line="2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Director Elections</w:t>
      </w:r>
    </w:p>
    <w:p>
      <w:pPr>
        <w:spacing w:after="0" w:line="112" w:lineRule="exact"/>
        <w:rPr>
          <w:sz w:val="20"/>
          <w:szCs w:val="20"/>
          <w:color w:val="auto"/>
        </w:rPr>
      </w:pPr>
    </w:p>
    <w:p>
      <w:pPr>
        <w:jc w:val="both"/>
        <w:ind w:left="700" w:right="719"/>
        <w:spacing w:after="0" w:line="288" w:lineRule="auto"/>
        <w:rPr>
          <w:sz w:val="20"/>
          <w:szCs w:val="20"/>
          <w:color w:val="auto"/>
        </w:rPr>
      </w:pPr>
      <w:r>
        <w:rPr>
          <w:rFonts w:ascii="Times New Roman" w:cs="Times New Roman" w:eastAsia="Times New Roman" w:hAnsi="Times New Roman"/>
          <w:sz w:val="16"/>
          <w:szCs w:val="16"/>
          <w:color w:val="auto"/>
        </w:rPr>
        <w:t>The Viatris Charter provides that all directors shall be elected for one-year terms and shall be up for election at each successive annual meeting.</w:t>
      </w: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Preferred Stock</w:t>
      </w:r>
    </w:p>
    <w:p>
      <w:pPr>
        <w:spacing w:after="0" w:line="112" w:lineRule="exact"/>
        <w:rPr>
          <w:sz w:val="20"/>
          <w:szCs w:val="20"/>
          <w:color w:val="auto"/>
        </w:rPr>
      </w:pPr>
    </w:p>
    <w:p>
      <w:pPr>
        <w:jc w:val="both"/>
        <w:ind w:left="700" w:right="719"/>
        <w:spacing w:after="0" w:line="265" w:lineRule="auto"/>
        <w:rPr>
          <w:sz w:val="20"/>
          <w:szCs w:val="20"/>
          <w:color w:val="auto"/>
        </w:rPr>
      </w:pPr>
      <w:r>
        <w:rPr>
          <w:rFonts w:ascii="Times New Roman" w:cs="Times New Roman" w:eastAsia="Times New Roman" w:hAnsi="Times New Roman"/>
          <w:sz w:val="16"/>
          <w:szCs w:val="16"/>
          <w:color w:val="auto"/>
        </w:rPr>
        <w:t>The Viatris Board has the power to issue Viatris preferred stock with voting, conversion and exchange rights that could negatively affect the voting power or other rights of Viatris common stockholders, and the Viatris Board could take that action without stockholder approval. The issuance of Viatris preferred stock could delay or prevent a change in control of Viatris.</w:t>
      </w:r>
    </w:p>
    <w:p>
      <w:pPr>
        <w:spacing w:after="0" w:line="2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Board Vacancies to Be Filled by Remaining Directors and Not Stockholders</w:t>
      </w:r>
    </w:p>
    <w:p>
      <w:pPr>
        <w:spacing w:after="0" w:line="112" w:lineRule="exact"/>
        <w:rPr>
          <w:sz w:val="20"/>
          <w:szCs w:val="20"/>
          <w:color w:val="auto"/>
        </w:rPr>
      </w:pPr>
    </w:p>
    <w:p>
      <w:pPr>
        <w:jc w:val="both"/>
        <w:ind w:left="700" w:right="719"/>
        <w:spacing w:after="0" w:line="271" w:lineRule="auto"/>
        <w:rPr>
          <w:sz w:val="20"/>
          <w:szCs w:val="20"/>
          <w:color w:val="auto"/>
        </w:rPr>
      </w:pPr>
      <w:r>
        <w:rPr>
          <w:rFonts w:ascii="Times New Roman" w:cs="Times New Roman" w:eastAsia="Times New Roman" w:hAnsi="Times New Roman"/>
          <w:sz w:val="16"/>
          <w:szCs w:val="16"/>
          <w:color w:val="auto"/>
        </w:rPr>
        <w:t>The Viatris Charter provides that any vacancies, including any newly created directorships, on the Viatris Board will be filled by the affirmative vote of the majority of the remaining directors then in office, even if such directors constitute less than a quorum, or by a sole remaining director.</w:t>
      </w:r>
    </w:p>
    <w:p>
      <w:pPr>
        <w:spacing w:after="0" w:line="2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Removal of Directors by Stockholders</w:t>
      </w:r>
    </w:p>
    <w:p>
      <w:pPr>
        <w:spacing w:after="0" w:line="112" w:lineRule="exact"/>
        <w:rPr>
          <w:sz w:val="20"/>
          <w:szCs w:val="20"/>
          <w:color w:val="auto"/>
        </w:rPr>
      </w:pPr>
    </w:p>
    <w:p>
      <w:pPr>
        <w:jc w:val="both"/>
        <w:ind w:left="700" w:right="719"/>
        <w:spacing w:after="0" w:line="271" w:lineRule="auto"/>
        <w:rPr>
          <w:sz w:val="20"/>
          <w:szCs w:val="20"/>
          <w:color w:val="auto"/>
        </w:rPr>
      </w:pPr>
      <w:r>
        <w:rPr>
          <w:rFonts w:ascii="Times New Roman" w:cs="Times New Roman" w:eastAsia="Times New Roman" w:hAnsi="Times New Roman"/>
          <w:sz w:val="16"/>
          <w:szCs w:val="16"/>
          <w:color w:val="auto"/>
        </w:rPr>
        <w:t>The Viatris Charter and the Viatris Bylaws provide that directors may be removed by stockholders, with or without cause, by the affirmative vote of the holders of a majority of the voting power of the outstanding capital stock entitled to vote.</w:t>
      </w: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Special Meeting</w:t>
      </w:r>
    </w:p>
    <w:p>
      <w:pPr>
        <w:spacing w:after="0" w:line="112" w:lineRule="exact"/>
        <w:rPr>
          <w:sz w:val="20"/>
          <w:szCs w:val="20"/>
          <w:color w:val="auto"/>
        </w:rPr>
      </w:pPr>
    </w:p>
    <w:p>
      <w:pPr>
        <w:jc w:val="both"/>
        <w:ind w:left="700" w:right="719"/>
        <w:spacing w:after="0" w:line="262" w:lineRule="auto"/>
        <w:rPr>
          <w:sz w:val="20"/>
          <w:szCs w:val="20"/>
          <w:color w:val="auto"/>
        </w:rPr>
      </w:pPr>
      <w:r>
        <w:rPr>
          <w:rFonts w:ascii="Times New Roman" w:cs="Times New Roman" w:eastAsia="Times New Roman" w:hAnsi="Times New Roman"/>
          <w:sz w:val="16"/>
          <w:szCs w:val="16"/>
          <w:color w:val="auto"/>
        </w:rPr>
        <w:t>The Viatris Bylaws provide that special meetings of the stockholders may be called by the chair of the Viatris Board, the Viatris Board pursuant to a resolution adopted by a majority of the total number of directors Viatris would have if all vacancies or unfilled directorships were filled or, subject to certain procedural requirements, the chair of the Viatris Board or the secretary of Viatris at the written request of stockholders of record owning at least 25% of the voting power entitled to vote on the matter or matters entitled to vote at the meeting.</w:t>
      </w:r>
    </w:p>
    <w:p>
      <w:pPr>
        <w:spacing w:after="0" w:line="67" w:lineRule="exact"/>
        <w:rPr>
          <w:sz w:val="20"/>
          <w:szCs w:val="20"/>
          <w:color w:val="auto"/>
        </w:rPr>
      </w:pPr>
    </w:p>
    <w:p>
      <w:pPr>
        <w:jc w:val="both"/>
        <w:ind w:left="700" w:right="719"/>
        <w:spacing w:after="0" w:line="259" w:lineRule="auto"/>
        <w:rPr>
          <w:sz w:val="20"/>
          <w:szCs w:val="20"/>
          <w:color w:val="auto"/>
        </w:rPr>
      </w:pPr>
      <w:r>
        <w:rPr>
          <w:rFonts w:ascii="Times New Roman" w:cs="Times New Roman" w:eastAsia="Times New Roman" w:hAnsi="Times New Roman"/>
          <w:sz w:val="16"/>
          <w:szCs w:val="16"/>
          <w:color w:val="auto"/>
        </w:rPr>
        <w:t>The Viatris Bylaws do not permit a special meeting to be held at the request of stockholders if (a) the business to be brought before the special meeting is not a proper subject for stockholder action under applicable law, the Viatris Charter or the Viatris Bylaws, (b) the Viatris Board has called for or calls for an annual meeting to be held within 90 days after the special meeting request is delivered to Viatris and the Viatris Board determines that the business of the special meeting is identical or substantially similar to an item of business of the annual meeting, (c) the business conducted at the most recent annual meeting or any special meeting held within one year included such similar business or (d) the request is delivered between 61 and 365 days after the earliest date of signature on a different request for a special meeting on the same business.</w:t>
      </w:r>
    </w:p>
    <w:p>
      <w:pPr>
        <w:spacing w:after="0" w:line="2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Stockholder Action</w:t>
      </w:r>
    </w:p>
    <w:p>
      <w:pPr>
        <w:spacing w:after="0" w:line="112" w:lineRule="exact"/>
        <w:rPr>
          <w:sz w:val="20"/>
          <w:szCs w:val="20"/>
          <w:color w:val="auto"/>
        </w:rPr>
      </w:pPr>
    </w:p>
    <w:p>
      <w:pPr>
        <w:jc w:val="both"/>
        <w:ind w:left="700" w:right="719"/>
        <w:spacing w:after="0" w:line="288" w:lineRule="auto"/>
        <w:rPr>
          <w:sz w:val="20"/>
          <w:szCs w:val="20"/>
          <w:color w:val="auto"/>
        </w:rPr>
      </w:pPr>
      <w:r>
        <w:rPr>
          <w:rFonts w:ascii="Times New Roman" w:cs="Times New Roman" w:eastAsia="Times New Roman" w:hAnsi="Times New Roman"/>
          <w:sz w:val="16"/>
          <w:szCs w:val="16"/>
          <w:color w:val="auto"/>
        </w:rPr>
        <w:t>The Viatris Bylaws and the Viatris Charter do not permit stockholder action by written consent unless such written consent is granted by holders of 100% of the voting power of the outstanding shares of capital stock entitled to vote.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118110</wp:posOffset>
            </wp:positionV>
            <wp:extent cx="631063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25" w:name="page26"/>
    <w:bookmarkEnd w:id="25"/>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Advance Notice of Director Nominations and Stockholder Proposals</w:t>
      </w:r>
    </w:p>
    <w:p>
      <w:pPr>
        <w:spacing w:after="0" w:line="112" w:lineRule="exact"/>
        <w:rPr>
          <w:sz w:val="20"/>
          <w:szCs w:val="20"/>
          <w:color w:val="auto"/>
        </w:rPr>
      </w:pPr>
    </w:p>
    <w:p>
      <w:pPr>
        <w:jc w:val="both"/>
        <w:ind w:left="700" w:right="719"/>
        <w:spacing w:after="0" w:line="262" w:lineRule="auto"/>
        <w:rPr>
          <w:sz w:val="20"/>
          <w:szCs w:val="20"/>
          <w:color w:val="auto"/>
        </w:rPr>
      </w:pPr>
      <w:r>
        <w:rPr>
          <w:rFonts w:ascii="Times New Roman" w:cs="Times New Roman" w:eastAsia="Times New Roman" w:hAnsi="Times New Roman"/>
          <w:sz w:val="16"/>
          <w:szCs w:val="16"/>
          <w:color w:val="auto"/>
        </w:rPr>
        <w:t>The Viatris Bylaws contain advance notice procedures for stockholders to make nominations of candidates for election as directors or to bring other business before the annual meeting of stockholders. As specified in the Viatris Bylaws, director nominations and the proposal of business to be considered by stockholders may be made only pursuant to a notice of meeting, at the direction of the Viatris Board or by a stockholder who is entitled to vote at the meeting and who has complied with the advance notice procedures that are provided in the Viatris Bylaws.</w:t>
      </w:r>
    </w:p>
    <w:p>
      <w:pPr>
        <w:spacing w:after="0" w:line="67" w:lineRule="exact"/>
        <w:rPr>
          <w:sz w:val="20"/>
          <w:szCs w:val="20"/>
          <w:color w:val="auto"/>
        </w:rPr>
      </w:pPr>
    </w:p>
    <w:p>
      <w:pPr>
        <w:jc w:val="both"/>
        <w:ind w:left="700" w:right="719"/>
        <w:spacing w:after="0" w:line="258" w:lineRule="auto"/>
        <w:rPr>
          <w:sz w:val="20"/>
          <w:szCs w:val="20"/>
          <w:color w:val="auto"/>
        </w:rPr>
      </w:pPr>
      <w:r>
        <w:rPr>
          <w:rFonts w:ascii="Times New Roman" w:cs="Times New Roman" w:eastAsia="Times New Roman" w:hAnsi="Times New Roman"/>
          <w:sz w:val="16"/>
          <w:szCs w:val="16"/>
          <w:color w:val="auto"/>
        </w:rPr>
        <w:t>To be timely, a nomination of a director by a stockholder or notice for business to be brought before an annual meeting by a stockholder must be delivered to Viatris’ secretary at Viatris’ principal executive offices not less than 90 days nor more than 120 days before the first anniversary of the preceding year’s annual meeting; provided, however, that if the date of an annual meeting is advanced by more than 30 days or delayed by more than 60 days from such anniversary date, for notice by the stockholder to be timely, it must be delivered not earlier than the 120th day before such annual meeting and not later than the close of business on the later of (a) the 90th day before such annual meeting or (b) if the first public announcement of the date of the annual meeting is less than 100 days prior to the date of such annual meeting, the 10th day following the day on which public announcement of the date of such meeting is first made by Viatris.</w:t>
      </w:r>
    </w:p>
    <w:p>
      <w:pPr>
        <w:spacing w:after="0" w:line="71" w:lineRule="exact"/>
        <w:rPr>
          <w:sz w:val="20"/>
          <w:szCs w:val="20"/>
          <w:color w:val="auto"/>
        </w:rPr>
      </w:pPr>
    </w:p>
    <w:p>
      <w:pPr>
        <w:jc w:val="both"/>
        <w:ind w:left="700" w:right="719"/>
        <w:spacing w:after="0" w:line="261" w:lineRule="auto"/>
        <w:rPr>
          <w:sz w:val="20"/>
          <w:szCs w:val="20"/>
          <w:color w:val="auto"/>
        </w:rPr>
      </w:pPr>
      <w:r>
        <w:rPr>
          <w:rFonts w:ascii="Times New Roman" w:cs="Times New Roman" w:eastAsia="Times New Roman" w:hAnsi="Times New Roman"/>
          <w:sz w:val="16"/>
          <w:szCs w:val="16"/>
          <w:color w:val="auto"/>
        </w:rPr>
        <w:t>If a special meeting of stockholders is called for the purpose of electing one or more directors, any stockholder entitled to vote may nominate a person or persons as specified in the Viatris Bylaws, but only if the stockholder notice is delivered to Viatris’ secretary at Viatris’ principal executive offices not earlier than the 120th day before such special meeting and not later than the close of business on the later of (a) the 90th day before such special meeting or (b) the 10th day following the day on which public announcement is first made of the date of the special meeting and of the nominees proposed by the Viatris Board to be elected at such meeting.</w:t>
      </w:r>
    </w:p>
    <w:p>
      <w:pPr>
        <w:spacing w:after="0" w:line="2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Amendments to the Viatris Charter and the Viatris Bylaws</w:t>
      </w:r>
    </w:p>
    <w:p>
      <w:pPr>
        <w:spacing w:after="0" w:line="112" w:lineRule="exact"/>
        <w:rPr>
          <w:sz w:val="20"/>
          <w:szCs w:val="20"/>
          <w:color w:val="auto"/>
        </w:rPr>
      </w:pPr>
    </w:p>
    <w:p>
      <w:pPr>
        <w:jc w:val="both"/>
        <w:ind w:left="700" w:right="719"/>
        <w:spacing w:after="0" w:line="262" w:lineRule="auto"/>
        <w:rPr>
          <w:sz w:val="20"/>
          <w:szCs w:val="20"/>
          <w:color w:val="auto"/>
        </w:rPr>
      </w:pPr>
      <w:r>
        <w:rPr>
          <w:rFonts w:ascii="Times New Roman" w:cs="Times New Roman" w:eastAsia="Times New Roman" w:hAnsi="Times New Roman"/>
          <w:sz w:val="16"/>
          <w:szCs w:val="16"/>
          <w:color w:val="auto"/>
        </w:rPr>
        <w:t>Under the DGCL, the Viatris Charter may not be amended by stockholder action alone. Amendments to the Viatris Charter require a board resolution approved by the majority of the outstanding capital stock entitled to vote. The Viatris Bylaws may be amended by stockholders upon the affirmative vote of the holders of a majority of the voting power of the outstanding capital stock entitled to vote. Subject to the right of stockholders as described in the immediately preceding sentence, the Viatris Bylaws may also be adopted, amended or repealed by the Viatris Board.</w:t>
      </w:r>
    </w:p>
    <w:p>
      <w:pPr>
        <w:spacing w:after="0" w:line="2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Delaware Anti-Takeover Statute</w:t>
      </w:r>
    </w:p>
    <w:p>
      <w:pPr>
        <w:spacing w:after="0" w:line="112" w:lineRule="exact"/>
        <w:rPr>
          <w:sz w:val="20"/>
          <w:szCs w:val="20"/>
          <w:color w:val="auto"/>
        </w:rPr>
      </w:pPr>
    </w:p>
    <w:p>
      <w:pPr>
        <w:jc w:val="both"/>
        <w:ind w:left="700" w:right="719"/>
        <w:spacing w:after="0" w:line="271" w:lineRule="auto"/>
        <w:rPr>
          <w:sz w:val="20"/>
          <w:szCs w:val="20"/>
          <w:color w:val="auto"/>
        </w:rPr>
      </w:pPr>
      <w:r>
        <w:rPr>
          <w:rFonts w:ascii="Times New Roman" w:cs="Times New Roman" w:eastAsia="Times New Roman" w:hAnsi="Times New Roman"/>
          <w:sz w:val="16"/>
          <w:szCs w:val="16"/>
          <w:color w:val="auto"/>
        </w:rPr>
        <w:t>Viatris is subject to the provisions of Section 203 of the DGCL.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59" w:lineRule="exact"/>
        <w:rPr>
          <w:sz w:val="20"/>
          <w:szCs w:val="20"/>
          <w:color w:val="auto"/>
        </w:rPr>
      </w:pPr>
    </w:p>
    <w:p>
      <w:pPr>
        <w:jc w:val="both"/>
        <w:ind w:left="1340" w:right="719" w:hanging="311"/>
        <w:spacing w:after="0" w:line="271" w:lineRule="auto"/>
        <w:tabs>
          <w:tab w:leader="none" w:pos="1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approved the acquisition of stock pursuant to which the person became an interested stockholder or the transaction that resulted in the person becoming an interested stockholder before the time that the person became an interested stockholder;</w:t>
      </w:r>
    </w:p>
    <w:p>
      <w:pPr>
        <w:spacing w:after="0" w:line="58" w:lineRule="exact"/>
        <w:rPr>
          <w:rFonts w:ascii="Times New Roman" w:cs="Times New Roman" w:eastAsia="Times New Roman" w:hAnsi="Times New Roman"/>
          <w:sz w:val="16"/>
          <w:szCs w:val="16"/>
          <w:color w:val="auto"/>
        </w:rPr>
      </w:pPr>
    </w:p>
    <w:p>
      <w:pPr>
        <w:jc w:val="both"/>
        <w:ind w:left="1340" w:right="719" w:hanging="311"/>
        <w:spacing w:after="0" w:line="265" w:lineRule="auto"/>
        <w:tabs>
          <w:tab w:leader="none" w:pos="1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consummation of the transaction that resulted in the person becoming an interested stockholder such person owned at least 85% of the outstanding voting stock of the corporation, excluding, for purposes of determining the voting stock outstanding, voting stock owned by directors who are also officers and certain employee stock plans; or</w:t>
      </w:r>
    </w:p>
    <w:p>
      <w:pPr>
        <w:spacing w:after="0" w:line="64"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transaction is approved by the board of directors and by the affirmative vote of two-thirds of the outstanding voting stock which is not owned by the interested stockholder.</w:t>
      </w:r>
    </w:p>
    <w:p>
      <w:pPr>
        <w:spacing w:after="0" w:line="46" w:lineRule="exact"/>
        <w:rPr>
          <w:sz w:val="20"/>
          <w:szCs w:val="20"/>
          <w:color w:val="auto"/>
        </w:rPr>
      </w:pPr>
    </w:p>
    <w:p>
      <w:pPr>
        <w:jc w:val="both"/>
        <w:ind w:left="700" w:right="719"/>
        <w:spacing w:after="0" w:line="265" w:lineRule="auto"/>
        <w:rPr>
          <w:sz w:val="20"/>
          <w:szCs w:val="20"/>
          <w:color w:val="auto"/>
        </w:rPr>
      </w:pPr>
      <w:r>
        <w:rPr>
          <w:rFonts w:ascii="Times New Roman" w:cs="Times New Roman" w:eastAsia="Times New Roman" w:hAnsi="Times New Roman"/>
          <w:sz w:val="16"/>
          <w:szCs w:val="16"/>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Viatris.</w:t>
      </w:r>
    </w:p>
    <w:p>
      <w:pPr>
        <w:spacing w:after="0" w:line="2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No Cumulative Voting</w:t>
      </w:r>
    </w:p>
    <w:p>
      <w:pPr>
        <w:spacing w:after="0" w:line="1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 Viatris Charter prohibits cumulative voting in the election of directors.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118110</wp:posOffset>
            </wp:positionV>
            <wp:extent cx="631063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26" w:name="page27"/>
    <w:bookmarkEnd w:id="26"/>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Exclusive Forum</w:t>
      </w:r>
    </w:p>
    <w:p>
      <w:pPr>
        <w:spacing w:after="0" w:line="112" w:lineRule="exact"/>
        <w:rPr>
          <w:sz w:val="20"/>
          <w:szCs w:val="20"/>
          <w:color w:val="auto"/>
        </w:rPr>
      </w:pPr>
    </w:p>
    <w:p>
      <w:pPr>
        <w:jc w:val="both"/>
        <w:ind w:left="700" w:right="719"/>
        <w:spacing w:after="0" w:line="256" w:lineRule="auto"/>
        <w:rPr>
          <w:sz w:val="20"/>
          <w:szCs w:val="20"/>
          <w:color w:val="auto"/>
        </w:rPr>
      </w:pPr>
      <w:r>
        <w:rPr>
          <w:rFonts w:ascii="Times New Roman" w:cs="Times New Roman" w:eastAsia="Times New Roman" w:hAnsi="Times New Roman"/>
          <w:sz w:val="16"/>
          <w:szCs w:val="16"/>
          <w:color w:val="auto"/>
        </w:rPr>
        <w:t>The Viatris Charter provides that unless Viatris otherwise consents in writing, the Court of Chancery of the State of Delaware will be the sole and exclusive forum for any derivative action or proceeding brought on behalf of Viatris, any action or proceeding asserting a claim of breach of a fiduciary duty owed by any director or officer or other employees of Viatris to Viatris or its stockholders, creditors or other constituents, any action asserting a claim against Viatris or any of its directors, officers or other employees arising pursuant to, or seeking to enforce any right, obligation or remedy under, any provision of the DGCL or the Viatris Charter or the Viatris Bylaws, any action or proceeding asserting a claim against Viatris or any of its directors, officers or other employees governed by the internal affairs doctrine or any action or proceeding as to which the DGCL confers jurisdiction on the Court of Chancery of the State of Delaware. The Viatris Charter also provides that unless Viatris consents in writing to the selection of an alternative forum, the federal district courts of the United States of America, to the fullest extent permitted by law, shall be the sole and exclusive forum for the resolution of any action asserting a cause of action arising under the Securities Act. The enforceability of similar choice of forum provisions in other companies’ charters and bylaws has been challenged in legal proceedings, and it is possible that, in connection with claims arising under federal securities laws or otherwise, a court could find the exclusive forum provisions contained in the Viatris Charter to be inapplicable or unenforceable.</w:t>
      </w:r>
    </w:p>
    <w:p>
      <w:pPr>
        <w:spacing w:after="0" w:line="3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Limitations on Liability and Indemnification of Officers and Directors</w:t>
      </w:r>
    </w:p>
    <w:p>
      <w:pPr>
        <w:spacing w:after="0" w:line="110" w:lineRule="exact"/>
        <w:rPr>
          <w:sz w:val="20"/>
          <w:szCs w:val="20"/>
          <w:color w:val="auto"/>
        </w:rPr>
      </w:pPr>
    </w:p>
    <w:p>
      <w:pPr>
        <w:jc w:val="both"/>
        <w:ind w:left="700" w:right="719"/>
        <w:spacing w:after="0" w:line="271" w:lineRule="auto"/>
        <w:rPr>
          <w:sz w:val="20"/>
          <w:szCs w:val="20"/>
          <w:color w:val="auto"/>
        </w:rPr>
      </w:pPr>
      <w:r>
        <w:rPr>
          <w:rFonts w:ascii="Times New Roman" w:cs="Times New Roman" w:eastAsia="Times New Roman" w:hAnsi="Times New Roman"/>
          <w:sz w:val="16"/>
          <w:szCs w:val="16"/>
          <w:color w:val="auto"/>
        </w:rPr>
        <w:t>The Viatris Charter includes a provision, authorized under the DGCL, that eliminates the personal liability of directors and officers for monetary damages for breach of fiduciary duty as a director or officer, as applicable, to the fullest extent permitted by the DGCL.</w:t>
      </w:r>
    </w:p>
    <w:p>
      <w:pPr>
        <w:spacing w:after="0" w:line="59" w:lineRule="exact"/>
        <w:rPr>
          <w:sz w:val="20"/>
          <w:szCs w:val="20"/>
          <w:color w:val="auto"/>
        </w:rPr>
      </w:pPr>
    </w:p>
    <w:p>
      <w:pPr>
        <w:jc w:val="both"/>
        <w:ind w:left="700" w:right="719"/>
        <w:spacing w:after="0" w:line="257" w:lineRule="auto"/>
        <w:rPr>
          <w:sz w:val="20"/>
          <w:szCs w:val="20"/>
          <w:color w:val="auto"/>
        </w:rPr>
      </w:pPr>
      <w:r>
        <w:rPr>
          <w:rFonts w:ascii="Times New Roman" w:cs="Times New Roman" w:eastAsia="Times New Roman" w:hAnsi="Times New Roman"/>
          <w:sz w:val="16"/>
          <w:szCs w:val="16"/>
          <w:color w:val="auto"/>
        </w:rPr>
        <w:t>The Viatris Charter and the Viatris Bylaws also include provisions that require Viatris to indemnify, to the fullest extent allowable under the laws of the State of Delaware, directors or officers against monetary damages for actions taken as a director or officer of Viatris, or for serving at Viatris’ request in any capacity at another corporation or enterprise, as the case may be. The Viatris Charter and the Viatris Bylaws also provide that Viatris must indemnify and advance reasonable expenses to Viatris directors and officers, subject to Viatris’ receipt of an undertaking from the indemnified party to repay all amounts advanced if it is determined ultimately that the indemnified party is not entitled to be indemnified. We also have entered into indemnification agreements with each of our directors and certain of our officers that provide them with substantially similar indemnification rights to those provided under the Viatris Charter and the Viatris Bylaws. The Viatris Charter and the Viatris Bylaws also expressly authorize Viatris to carry directors’ and officers’ insurance to protect Viatris and its directors and officers for some liabilities. Viatris currently maintains such an insurance policy. The description of indemnity herein is merely a summary of the provisions in the Viatris Charter, the Viatris Bylaws and other indemnification agreements, and such description shall not limit or alter the provisions in the Viatris Charter, the Viatris Bylaws or other indemnification agreements.</w:t>
      </w:r>
    </w:p>
    <w:p>
      <w:pPr>
        <w:spacing w:after="0" w:line="69" w:lineRule="exact"/>
        <w:rPr>
          <w:sz w:val="20"/>
          <w:szCs w:val="20"/>
          <w:color w:val="auto"/>
        </w:rPr>
      </w:pPr>
    </w:p>
    <w:p>
      <w:pPr>
        <w:jc w:val="both"/>
        <w:ind w:left="700" w:right="719"/>
        <w:spacing w:after="0" w:line="265" w:lineRule="auto"/>
        <w:rPr>
          <w:sz w:val="20"/>
          <w:szCs w:val="20"/>
          <w:color w:val="auto"/>
        </w:rPr>
      </w:pPr>
      <w:r>
        <w:rPr>
          <w:rFonts w:ascii="Times New Roman" w:cs="Times New Roman" w:eastAsia="Times New Roman" w:hAnsi="Times New Roman"/>
          <w:sz w:val="16"/>
          <w:szCs w:val="16"/>
          <w:color w:val="auto"/>
        </w:rPr>
        <w:t>The limitation of liability and indemnification provisions in the Viatris Charter and the Viatris Bylaws may discourage stockholders from bringing a lawsuit against directors or officers for breach of their fiduciary duties. These provisions may also have the effect of reducing the likelihood of derivative litigation against directors and officers, even though such an action, if successful, might otherwise benefit Viatris and Viatris’ stockholders.</w:t>
      </w:r>
    </w:p>
    <w:p>
      <w:pPr>
        <w:spacing w:after="0" w:line="64" w:lineRule="exact"/>
        <w:rPr>
          <w:sz w:val="20"/>
          <w:szCs w:val="20"/>
          <w:color w:val="auto"/>
        </w:rPr>
      </w:pPr>
    </w:p>
    <w:p>
      <w:pPr>
        <w:jc w:val="both"/>
        <w:ind w:left="700" w:right="719"/>
        <w:spacing w:after="0" w:line="262" w:lineRule="auto"/>
        <w:rPr>
          <w:sz w:val="20"/>
          <w:szCs w:val="20"/>
          <w:color w:val="auto"/>
        </w:rPr>
      </w:pPr>
      <w:r>
        <w:rPr>
          <w:rFonts w:ascii="Times New Roman" w:cs="Times New Roman" w:eastAsia="Times New Roman" w:hAnsi="Times New Roman"/>
          <w:sz w:val="16"/>
          <w:szCs w:val="16"/>
          <w:color w:val="auto"/>
        </w:rPr>
        <w:t>However, these provisions do not limit or eliminate Viatris’ rights, or those of any stockholder, to seek non-monetary relief such as an injunction or rescission if a director or officer breaches their fiduciary duties. Moreover, the provisions do not alter the liability of directors or officers under the federal securities laws. In addition, your investment may be adversely affected to the extent that, in a class action or direct suit, Viatris pays the costs of settlement and damage awards against directors and officers pursuant to these indemnification provisions.</w:t>
      </w:r>
    </w:p>
    <w:p>
      <w:pPr>
        <w:spacing w:after="0" w:line="2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Equiniti Trust Company, LLC is the transfer agent and registrar for our common stock.</w:t>
      </w:r>
    </w:p>
    <w:p>
      <w:pPr>
        <w:spacing w:after="0" w:line="3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Listing</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Our common stock is listed on NASDAQ under the symbol “VTRS”.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27" w:name="page28"/>
    <w:bookmarkEnd w:id="27"/>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DESCRIPTION OF WARRANTS</w:t>
      </w:r>
    </w:p>
    <w:p>
      <w:pPr>
        <w:spacing w:after="0" w:line="108" w:lineRule="exact"/>
        <w:rPr>
          <w:sz w:val="20"/>
          <w:szCs w:val="20"/>
          <w:color w:val="auto"/>
        </w:rPr>
      </w:pPr>
    </w:p>
    <w:p>
      <w:pPr>
        <w:jc w:val="both"/>
        <w:ind w:left="700" w:right="719"/>
        <w:spacing w:after="0" w:line="257" w:lineRule="auto"/>
        <w:rPr>
          <w:sz w:val="20"/>
          <w:szCs w:val="20"/>
          <w:color w:val="auto"/>
        </w:rPr>
      </w:pPr>
      <w:r>
        <w:rPr>
          <w:rFonts w:ascii="Times New Roman" w:cs="Times New Roman" w:eastAsia="Times New Roman" w:hAnsi="Times New Roman"/>
          <w:sz w:val="16"/>
          <w:szCs w:val="16"/>
          <w:i w:val="1"/>
          <w:iCs w:val="1"/>
          <w:color w:val="auto"/>
        </w:rPr>
        <w:t>We may issue warrants for the purchase of debt securities, common stock or preferred stock and may issue warrants independently or together with debt securities, common stock or preferred stock or attached to or separate from such securities. We will issue each series of warrants under a separate warrant agreement between us and a bank or trust company, as warrant agent, as specified in the applicable prospectus supplement or free writing prospectus. To the extent the information contained in the prospectus supplement or free writing prospectus differs from this summary description, you should rely on the information in the prospectus supplement or free writing prospectus. The warrant agent will act solely as our agent in connection with the warrants and will not act for or on behalf of warrant holders. The following sets forth certain general terms and provisions of the warrants that may be offered under the Registration Statement of which this prospectus is a part, and is qualified in its entirety by reference to the relevant warrant agreement with respect to warrants of a particular series. Further terms of the warrants and the applicable warrant agreement will be set forth in the applicable prospectus supplement or free writing prospectus.</w:t>
      </w: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Debt Warrants</w:t>
      </w:r>
    </w:p>
    <w:p>
      <w:pPr>
        <w:spacing w:after="0" w:line="110" w:lineRule="exact"/>
        <w:rPr>
          <w:sz w:val="20"/>
          <w:szCs w:val="20"/>
          <w:color w:val="auto"/>
        </w:rPr>
      </w:pPr>
    </w:p>
    <w:p>
      <w:pPr>
        <w:jc w:val="both"/>
        <w:ind w:left="700" w:right="719"/>
        <w:spacing w:after="0" w:line="288" w:lineRule="auto"/>
        <w:rPr>
          <w:sz w:val="20"/>
          <w:szCs w:val="20"/>
          <w:color w:val="auto"/>
        </w:rPr>
      </w:pPr>
      <w:r>
        <w:rPr>
          <w:rFonts w:ascii="Times New Roman" w:cs="Times New Roman" w:eastAsia="Times New Roman" w:hAnsi="Times New Roman"/>
          <w:sz w:val="16"/>
          <w:szCs w:val="16"/>
          <w:color w:val="auto"/>
        </w:rPr>
        <w:t>The applicable prospectus supplement or free writing prospectus will describe the terms of the debt warrants in respect of which this prospectus is being delivered, including, where applicable, the following:</w:t>
      </w:r>
    </w:p>
    <w:p>
      <w:pPr>
        <w:spacing w:after="0" w:line="46" w:lineRule="exact"/>
        <w:rPr>
          <w:sz w:val="20"/>
          <w:szCs w:val="20"/>
          <w:color w:val="auto"/>
        </w:rPr>
      </w:pPr>
    </w:p>
    <w:p>
      <w:pPr>
        <w:ind w:left="1340" w:hanging="311"/>
        <w:spacing w:after="0"/>
        <w:tabs>
          <w:tab w:leader="none" w:pos="1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of the debt warrants;</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number of the debt warrants outstanding, if any;</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debt warrants being offered;</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or prices at which the debt warrants will be issued;</w:t>
      </w:r>
    </w:p>
    <w:p>
      <w:pPr>
        <w:spacing w:after="0" w:line="10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aggregate principal amount and terms of the debt securities purchasable upon exercise of the debt warrants, and the procedures and conditions relating to the exercise of the debt warrants;</w:t>
      </w:r>
    </w:p>
    <w:p>
      <w:pPr>
        <w:spacing w:after="0" w:line="45"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and terms of any related debt securities with which the debt warrants are issued, and the number of the debt warrants issued with each security;</w:t>
      </w:r>
    </w:p>
    <w:p>
      <w:pPr>
        <w:spacing w:after="0" w:line="45"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if any, on and after which the debt warrants and the related securities will be separately transferable;</w:t>
      </w:r>
    </w:p>
    <w:p>
      <w:pPr>
        <w:spacing w:after="0" w:line="45"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amount of debt securities purchasable upon exercise of each debt warrant, and the price at which the debt securities may be purchased upon exercise;</w:t>
      </w:r>
    </w:p>
    <w:p>
      <w:pPr>
        <w:spacing w:after="0" w:line="45"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if any, for changes to or adjustments in the exercise price;</w:t>
      </w:r>
    </w:p>
    <w:p>
      <w:pPr>
        <w:spacing w:after="0" w:line="10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the right to exercise the debt warrants shall commence and the date on which such right shall expire;</w:t>
      </w:r>
    </w:p>
    <w:p>
      <w:pPr>
        <w:spacing w:after="0" w:line="45"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if any, on which we may accelerate the date by which the debt warrants must be exercised;</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minimum or maximum amount of debt warrants that may be exercised at any one time;</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currency for which the debt warrants may be purchased;</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with respect to book-entry procedures, if any;</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or call provisions of such warrants, if any;</w:t>
      </w:r>
    </w:p>
    <w:p>
      <w:pPr>
        <w:spacing w:after="0" w:line="10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discussion of material U.S. federal and, if applicable, Dutch income tax considerations applicable to an investment in the debt warrants; and</w:t>
      </w:r>
    </w:p>
    <w:p>
      <w:pPr>
        <w:spacing w:after="0" w:line="45"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terms of the debt warrants, including terms, procedures and limitations relating to the transferability, exercise and exchange of such warrants.</w:t>
      </w:r>
    </w:p>
    <w:p>
      <w:pPr>
        <w:spacing w:after="0" w:line="46" w:lineRule="exact"/>
        <w:rPr>
          <w:sz w:val="20"/>
          <w:szCs w:val="20"/>
          <w:color w:val="auto"/>
        </w:rPr>
      </w:pPr>
    </w:p>
    <w:p>
      <w:pPr>
        <w:jc w:val="both"/>
        <w:ind w:left="700" w:right="719"/>
        <w:spacing w:after="0" w:line="261" w:lineRule="auto"/>
        <w:rPr>
          <w:sz w:val="20"/>
          <w:szCs w:val="20"/>
          <w:color w:val="auto"/>
        </w:rPr>
      </w:pPr>
      <w:r>
        <w:rPr>
          <w:rFonts w:ascii="Times New Roman" w:cs="Times New Roman" w:eastAsia="Times New Roman" w:hAnsi="Times New Roman"/>
          <w:sz w:val="16"/>
          <w:szCs w:val="16"/>
          <w:color w:val="auto"/>
        </w:rPr>
        <w:t>Debt warrant certificates will be exchangeable for new debt warrant certificates of different denominations and debt warrants may be exercised at the corporate trust office of the warrant agent or any other office indicated in the applicable prospectus supplement or free writing prospectus. Prior to the exercise of their debt warrants, holders of debt warrants will not have any of the rights of holders of the securities purchasable upon such exercise, and will not be entitled to payments of principal, premium or interest on the securities purchasable upon the exercise of debt warrants.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28" w:name="page29"/>
    <w:bookmarkEnd w:id="28"/>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Equity Warrants</w:t>
      </w:r>
    </w:p>
    <w:p>
      <w:pPr>
        <w:spacing w:after="0" w:line="110" w:lineRule="exact"/>
        <w:rPr>
          <w:sz w:val="20"/>
          <w:szCs w:val="20"/>
          <w:color w:val="auto"/>
        </w:rPr>
      </w:pPr>
    </w:p>
    <w:p>
      <w:pPr>
        <w:jc w:val="both"/>
        <w:ind w:left="700" w:right="719"/>
        <w:spacing w:after="0" w:line="271" w:lineRule="auto"/>
        <w:rPr>
          <w:sz w:val="20"/>
          <w:szCs w:val="20"/>
          <w:color w:val="auto"/>
        </w:rPr>
      </w:pPr>
      <w:r>
        <w:rPr>
          <w:rFonts w:ascii="Times New Roman" w:cs="Times New Roman" w:eastAsia="Times New Roman" w:hAnsi="Times New Roman"/>
          <w:sz w:val="16"/>
          <w:szCs w:val="16"/>
          <w:color w:val="auto"/>
        </w:rPr>
        <w:t>The applicable prospectus supplement or free writing prospectus will describe the terms of the warrants to purchase common stock or preferred stock (“equity warrants”), in respect of which this prospectus is being delivered, including, where applicable, the following:</w:t>
      </w:r>
    </w:p>
    <w:p>
      <w:pPr>
        <w:spacing w:after="0" w:line="59" w:lineRule="exact"/>
        <w:rPr>
          <w:sz w:val="20"/>
          <w:szCs w:val="20"/>
          <w:color w:val="auto"/>
        </w:rPr>
      </w:pPr>
    </w:p>
    <w:p>
      <w:pPr>
        <w:ind w:left="1340" w:hanging="311"/>
        <w:spacing w:after="0"/>
        <w:tabs>
          <w:tab w:leader="none" w:pos="1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of the equity warrants;</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number of the equity warrants outstanding, if any;</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equity warrants being offered;</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or prices at which the equity warrants will be issued;</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type and number of securities purchasable upon exercise of the equity warrants;</w:t>
      </w:r>
    </w:p>
    <w:p>
      <w:pPr>
        <w:spacing w:after="0" w:line="10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if any, on and after which the equity warrants and the related securities will be separately transferable;</w:t>
      </w:r>
    </w:p>
    <w:p>
      <w:pPr>
        <w:spacing w:after="0" w:line="45"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at which each security purchasable upon exercise of the equity warrants may be purchased;</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if any, for changes to or adjustments in the exercise price;</w:t>
      </w:r>
    </w:p>
    <w:p>
      <w:pPr>
        <w:spacing w:after="0" w:line="10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the right to exercise the equity warrants shall commence and the date on which such right shall expire;</w:t>
      </w:r>
    </w:p>
    <w:p>
      <w:pPr>
        <w:spacing w:after="0" w:line="45"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equity warrants or related securities will be listed on any securities exchange;</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currency for which the equity warrants may be purchased;</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if any, on which we may accelerate the date by which the equity warrants must be exercised;</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minimum or maximum amount of equity warrants that may be exercised at any one time;</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with respect to book-entry procedures, if any;</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anti-dilution protection;</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or call provisions of such warrants, if any;</w:t>
      </w:r>
    </w:p>
    <w:p>
      <w:pPr>
        <w:spacing w:after="0" w:line="10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discussion of material U.S. federal income tax considerations applicable to an investment in the equity warrants; and</w:t>
      </w:r>
    </w:p>
    <w:p>
      <w:pPr>
        <w:spacing w:after="0" w:line="45" w:lineRule="exact"/>
        <w:rPr>
          <w:rFonts w:ascii="Times New Roman" w:cs="Times New Roman" w:eastAsia="Times New Roman" w:hAnsi="Times New Roman"/>
          <w:sz w:val="16"/>
          <w:szCs w:val="16"/>
          <w:color w:val="auto"/>
        </w:rPr>
      </w:pPr>
    </w:p>
    <w:p>
      <w:pPr>
        <w:ind w:left="1340" w:right="739" w:hanging="311"/>
        <w:spacing w:after="0" w:line="288" w:lineRule="auto"/>
        <w:tabs>
          <w:tab w:leader="none" w:pos="1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terms of the equity warrants, including terms, procedures and limitations relating to the transferability, exercise and exchange of such warrants.</w:t>
      </w:r>
    </w:p>
    <w:p>
      <w:pPr>
        <w:spacing w:after="0" w:line="46" w:lineRule="exact"/>
        <w:rPr>
          <w:sz w:val="20"/>
          <w:szCs w:val="20"/>
          <w:color w:val="auto"/>
        </w:rPr>
      </w:pPr>
    </w:p>
    <w:p>
      <w:pPr>
        <w:jc w:val="both"/>
        <w:ind w:left="700" w:right="719"/>
        <w:spacing w:after="0" w:line="261" w:lineRule="auto"/>
        <w:rPr>
          <w:sz w:val="20"/>
          <w:szCs w:val="20"/>
          <w:color w:val="auto"/>
        </w:rPr>
      </w:pPr>
      <w:r>
        <w:rPr>
          <w:rFonts w:ascii="Times New Roman" w:cs="Times New Roman" w:eastAsia="Times New Roman" w:hAnsi="Times New Roman"/>
          <w:sz w:val="16"/>
          <w:szCs w:val="16"/>
          <w:color w:val="auto"/>
        </w:rPr>
        <w:t>Equity warrant certificates will be exchangeable for new equity warrant certificates of different denominations and warrants may be exercised at the corporate trust office of the warrant agent or any other office indicated in the applicable prospectus supplement or free writing prospectus. Prior to the exercise of their equity warrants, holders of equity warrants will not have any of the rights of holders of the securities purchasable upon such exercise or to any dividend payments or voting rights as to which holders of the common stock or preferred stock purchasable upon such exercise may be entitled.</w:t>
      </w:r>
    </w:p>
    <w:p>
      <w:pPr>
        <w:spacing w:after="0" w:line="66" w:lineRule="exact"/>
        <w:rPr>
          <w:sz w:val="20"/>
          <w:szCs w:val="20"/>
          <w:color w:val="auto"/>
        </w:rPr>
      </w:pPr>
    </w:p>
    <w:p>
      <w:pPr>
        <w:jc w:val="both"/>
        <w:ind w:left="700" w:right="719"/>
        <w:spacing w:after="0" w:line="257" w:lineRule="auto"/>
        <w:rPr>
          <w:sz w:val="20"/>
          <w:szCs w:val="20"/>
          <w:color w:val="auto"/>
        </w:rPr>
      </w:pPr>
      <w:r>
        <w:rPr>
          <w:rFonts w:ascii="Times New Roman" w:cs="Times New Roman" w:eastAsia="Times New Roman" w:hAnsi="Times New Roman"/>
          <w:sz w:val="16"/>
          <w:szCs w:val="16"/>
          <w:color w:val="auto"/>
        </w:rPr>
        <w:t>Except as provided in the applicable prospectus supplement or free writing prospectus, the exercise price and the number of shares of common stock or shares of preferred stock purchasable upon the exercise of each equity warrant will be subject to adjustment in certain events, including the issuance of a stock dividend to the holders of the underlying common stock or preferred stock or a stock split, reverse stock split, combination, subdivision or reclassification of the underlying common stock or preferred stock, as the case may be. In lieu of adjusting the number of shares purchasable upon exercise of each equity warrant, we may elect to adjust the number of equity warrants. Unless otherwise provided in the applicable prospectus supplement or free writing prospectus, no adjustments in the number of shares purchasable upon exercise of the equity warrants will be required until all cumulative adjustments require an adjustment of at least 1% thereof. We may, at our option, reduce the exercise price at any time. No fractional shares will be issued upon exercise of equity warrants, but we will pay the cash value of any fractional shares otherwise issuable.</w:t>
      </w:r>
    </w:p>
    <w:p>
      <w:pPr>
        <w:spacing w:after="0" w:line="74" w:lineRule="exact"/>
        <w:rPr>
          <w:sz w:val="20"/>
          <w:szCs w:val="20"/>
          <w:color w:val="auto"/>
        </w:rPr>
      </w:pPr>
    </w:p>
    <w:p>
      <w:pPr>
        <w:jc w:val="both"/>
        <w:ind w:left="700" w:right="719"/>
        <w:spacing w:after="0" w:line="288" w:lineRule="auto"/>
        <w:rPr>
          <w:sz w:val="20"/>
          <w:szCs w:val="20"/>
          <w:color w:val="auto"/>
        </w:rPr>
      </w:pPr>
      <w:r>
        <w:rPr>
          <w:rFonts w:ascii="Times New Roman" w:cs="Times New Roman" w:eastAsia="Times New Roman" w:hAnsi="Times New Roman"/>
          <w:sz w:val="16"/>
          <w:szCs w:val="16"/>
          <w:color w:val="auto"/>
        </w:rPr>
        <w:t>Notwithstanding the foregoing, except as otherwise provided in the applicable prospectus supplement or free writing prospectus, in case of any consolidation, merger or sale or conveyance of our property as an entirety or substantially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29" w:name="page30"/>
    <w:bookmarkEnd w:id="29"/>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2" w:lineRule="exact"/>
        <w:rPr>
          <w:sz w:val="20"/>
          <w:szCs w:val="20"/>
          <w:color w:val="auto"/>
        </w:rPr>
      </w:pPr>
    </w:p>
    <w:p>
      <w:pPr>
        <w:jc w:val="both"/>
        <w:ind w:left="700" w:right="719"/>
        <w:spacing w:after="0" w:line="265" w:lineRule="auto"/>
        <w:rPr>
          <w:sz w:val="20"/>
          <w:szCs w:val="20"/>
          <w:color w:val="auto"/>
        </w:rPr>
      </w:pPr>
      <w:r>
        <w:rPr>
          <w:rFonts w:ascii="Times New Roman" w:cs="Times New Roman" w:eastAsia="Times New Roman" w:hAnsi="Times New Roman"/>
          <w:sz w:val="16"/>
          <w:szCs w:val="16"/>
          <w:color w:val="auto"/>
        </w:rPr>
        <w:t>as an entirety, the holder of each outstanding equity warrant will have the right to the kind and amount of shares of stock and other securities and property, including cash, receivable by a holder of the number of shares of common stock or shares of preferred stock into which each equity warrant was exercisable immediately prior to the particular triggering event.</w:t>
      </w:r>
    </w:p>
    <w:p>
      <w:pPr>
        <w:spacing w:after="0" w:line="3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Exercise of Warrants</w:t>
      </w:r>
    </w:p>
    <w:p>
      <w:pPr>
        <w:spacing w:after="0" w:line="110" w:lineRule="exact"/>
        <w:rPr>
          <w:sz w:val="20"/>
          <w:szCs w:val="20"/>
          <w:color w:val="auto"/>
        </w:rPr>
      </w:pPr>
    </w:p>
    <w:p>
      <w:pPr>
        <w:jc w:val="both"/>
        <w:ind w:left="700" w:right="719"/>
        <w:spacing w:after="0" w:line="261" w:lineRule="auto"/>
        <w:rPr>
          <w:sz w:val="20"/>
          <w:szCs w:val="20"/>
          <w:color w:val="auto"/>
        </w:rPr>
      </w:pPr>
      <w:r>
        <w:rPr>
          <w:rFonts w:ascii="Times New Roman" w:cs="Times New Roman" w:eastAsia="Times New Roman" w:hAnsi="Times New Roman"/>
          <w:sz w:val="16"/>
          <w:szCs w:val="16"/>
          <w:color w:val="auto"/>
        </w:rPr>
        <w:t>Each warrant will entitle the holder to purchase for cash such number of debt securities, shares of common stock or shares of preferred stock at such exercise price as shall, in each case, be set forth in, or be determinable as set forth in, the applicable prospectus supplement or free writing prospectus relating to the warrants offered thereby. Unless otherwise specified in the applicable prospectus supplement or free writing prospectus, warrants may be exercised at any time up to the close of business on the expiration date set forth in applicable prospectus supplement or free writing prospectus. After the close of business on the expiration date, unexercised warrants will be void.</w:t>
      </w:r>
    </w:p>
    <w:p>
      <w:pPr>
        <w:spacing w:after="0" w:line="66" w:lineRule="exact"/>
        <w:rPr>
          <w:sz w:val="20"/>
          <w:szCs w:val="20"/>
          <w:color w:val="auto"/>
        </w:rPr>
      </w:pPr>
    </w:p>
    <w:p>
      <w:pPr>
        <w:jc w:val="both"/>
        <w:ind w:left="700" w:right="719"/>
        <w:spacing w:after="0" w:line="261" w:lineRule="auto"/>
        <w:rPr>
          <w:sz w:val="20"/>
          <w:szCs w:val="20"/>
          <w:color w:val="auto"/>
        </w:rPr>
      </w:pPr>
      <w:r>
        <w:rPr>
          <w:rFonts w:ascii="Times New Roman" w:cs="Times New Roman" w:eastAsia="Times New Roman" w:hAnsi="Times New Roman"/>
          <w:sz w:val="16"/>
          <w:szCs w:val="16"/>
          <w:color w:val="auto"/>
        </w:rPr>
        <w:t>Warrants may be exercised as set forth in the applicable prospectus supplement or free writing prospectus relating to the warrants. Upon receipt of payment and the warrant certificate properly completed and duly executed at the corporate trust office of the warrant agent or any other office indicated in the applicable prospectus supplement or free writing prospectus, we will, as soon as practicable, forward the securities purchasable upon such exercise. If less than all of the warrants that are represented by such warrant certificate are exercised, a new warrant certificate will be issued for the remaining amount of warrants.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118110</wp:posOffset>
            </wp:positionV>
            <wp:extent cx="631063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30" w:name="page31"/>
    <w:bookmarkEnd w:id="30"/>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DESCRIPTION OF RIGHTS</w:t>
      </w:r>
    </w:p>
    <w:p>
      <w:pPr>
        <w:spacing w:after="0" w:line="108" w:lineRule="exact"/>
        <w:rPr>
          <w:sz w:val="20"/>
          <w:szCs w:val="20"/>
          <w:color w:val="auto"/>
        </w:rPr>
      </w:pPr>
    </w:p>
    <w:p>
      <w:pPr>
        <w:jc w:val="both"/>
        <w:ind w:left="700" w:right="719"/>
        <w:spacing w:after="0" w:line="257" w:lineRule="auto"/>
        <w:rPr>
          <w:sz w:val="20"/>
          <w:szCs w:val="20"/>
          <w:color w:val="auto"/>
        </w:rPr>
      </w:pPr>
      <w:r>
        <w:rPr>
          <w:rFonts w:ascii="Times New Roman" w:cs="Times New Roman" w:eastAsia="Times New Roman" w:hAnsi="Times New Roman"/>
          <w:sz w:val="16"/>
          <w:szCs w:val="16"/>
          <w:i w:val="1"/>
          <w:iCs w:val="1"/>
          <w:color w:val="auto"/>
        </w:rPr>
        <w:t>We may issue rights to our shareholders to purchase debt securities, common stock or preferred stock. Each series of rights will be issued under a separate rights agreement to be entered into between us and a bank or trust company, as rights agent, as specified in the applicable prospectus supplement or free writing prospectus.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sets forth certain general terms and provisions of the rights that may be offered under the Registration Statement of which this prospectus is a part, and is qualified in its entirety by reference to the relevant rights agreement with respect to rights of a particular series. Further terms of the rights and the applicable rights agreement will be set forth in the applicable prospectus supplement or free writing prospectus. To the extent the information contained in the prospectus supplement or free writing prospectus differs from this summary description, you should rely on the information in the prospectus supplement or free writing prospectus.</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We will provide in a prospectus supplement or free writing prospectus the following terms of the rights being issued:</w:t>
      </w:r>
    </w:p>
    <w:p>
      <w:pPr>
        <w:spacing w:after="0" w:line="108" w:lineRule="exact"/>
        <w:rPr>
          <w:sz w:val="20"/>
          <w:szCs w:val="20"/>
          <w:color w:val="auto"/>
        </w:rPr>
      </w:pPr>
    </w:p>
    <w:p>
      <w:pPr>
        <w:ind w:left="1340" w:hanging="311"/>
        <w:spacing w:after="0"/>
        <w:tabs>
          <w:tab w:leader="none" w:pos="1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of determining the persons entitled to participate in the rights distribution;</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number of shares of the underlying securities purchasable upon exercise of the rights;</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price;</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if any, for changes to or adjustments in the exercise price;</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number of rights issued;</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if any, on and after which the rights will be separately transferable;</w:t>
      </w:r>
    </w:p>
    <w:p>
      <w:pPr>
        <w:spacing w:after="0" w:line="10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the right to exercise the rights will commence, and the date on which the rights will expire;</w:t>
      </w:r>
    </w:p>
    <w:p>
      <w:pPr>
        <w:spacing w:after="0" w:line="45"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discussion of material U.S. federal and, if applicable, Dutch income tax considerations applicable to an investment in the rights; and</w:t>
      </w:r>
    </w:p>
    <w:p>
      <w:pPr>
        <w:spacing w:after="0" w:line="45" w:lineRule="exact"/>
        <w:rPr>
          <w:rFonts w:ascii="Times New Roman" w:cs="Times New Roman" w:eastAsia="Times New Roman" w:hAnsi="Times New Roman"/>
          <w:sz w:val="16"/>
          <w:szCs w:val="16"/>
          <w:color w:val="auto"/>
        </w:rPr>
      </w:pPr>
    </w:p>
    <w:p>
      <w:pPr>
        <w:ind w:left="1340" w:right="739" w:hanging="311"/>
        <w:spacing w:after="0" w:line="288" w:lineRule="auto"/>
        <w:tabs>
          <w:tab w:leader="none" w:pos="1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terms of the rights, including terms, procedures and limitations relating to the distribution, exchange and exercise of the rights.</w:t>
      </w:r>
    </w:p>
    <w:p>
      <w:pPr>
        <w:spacing w:after="0" w:line="2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Exercise of Rights</w:t>
      </w:r>
    </w:p>
    <w:p>
      <w:pPr>
        <w:spacing w:after="0" w:line="110" w:lineRule="exact"/>
        <w:rPr>
          <w:sz w:val="20"/>
          <w:szCs w:val="20"/>
          <w:color w:val="auto"/>
        </w:rPr>
      </w:pPr>
    </w:p>
    <w:p>
      <w:pPr>
        <w:jc w:val="both"/>
        <w:ind w:left="700" w:right="719"/>
        <w:spacing w:after="0" w:line="262" w:lineRule="auto"/>
        <w:rPr>
          <w:sz w:val="20"/>
          <w:szCs w:val="20"/>
          <w:color w:val="auto"/>
        </w:rPr>
      </w:pPr>
      <w:r>
        <w:rPr>
          <w:rFonts w:ascii="Times New Roman" w:cs="Times New Roman" w:eastAsia="Times New Roman" w:hAnsi="Times New Roman"/>
          <w:sz w:val="16"/>
          <w:szCs w:val="16"/>
          <w:color w:val="auto"/>
        </w:rPr>
        <w:t>Each right will entitle the holder of rights to purchase for cash the principal amount of debt securities, shares of common stock or shares of preferred stock at the exercise price provided in the applicable prospectus supplement or free writing prospectus. Rights may be exercised at any time up to the close of business on the expiration date for the rights provided in the applicable prospectus supplement or free writing prospectus. After the close of business on the expiration date, all unexercised rights will be void.</w:t>
      </w:r>
    </w:p>
    <w:p>
      <w:pPr>
        <w:spacing w:after="0" w:line="67" w:lineRule="exact"/>
        <w:rPr>
          <w:sz w:val="20"/>
          <w:szCs w:val="20"/>
          <w:color w:val="auto"/>
        </w:rPr>
      </w:pPr>
    </w:p>
    <w:p>
      <w:pPr>
        <w:jc w:val="both"/>
        <w:ind w:left="700" w:right="719"/>
        <w:spacing w:after="0" w:line="259" w:lineRule="auto"/>
        <w:rPr>
          <w:sz w:val="20"/>
          <w:szCs w:val="20"/>
          <w:color w:val="auto"/>
        </w:rPr>
      </w:pPr>
      <w:r>
        <w:rPr>
          <w:rFonts w:ascii="Times New Roman" w:cs="Times New Roman" w:eastAsia="Times New Roman" w:hAnsi="Times New Roman"/>
          <w:sz w:val="16"/>
          <w:szCs w:val="16"/>
          <w:color w:val="auto"/>
        </w:rPr>
        <w:t>Holders may exercise rights as described in the applicable prospectus supplement or free writing prospectus. Upon receipt of payment and the rights certificate properly completed and duly executed at the corporate trust office of the rights agent or any other office indicated in the prospectus supplement or free writing prospectus, we will, as soon as practicable, forward the debt securities, shares of common stock or shares of preferred stock purchasable upon exercise of the rights. If less than all of the rights issued in any rights offering are exercised, we may offer any unsubscribed securities directly to persons other than securityholders, to or through agents, underwriters or dealers or through a combination of such methods, including pursuant to standby underwriting arrangements, as described in the applicable prospectus supplement or free writing prospectus.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118110</wp:posOffset>
            </wp:positionV>
            <wp:extent cx="631063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31" w:name="page32"/>
    <w:bookmarkEnd w:id="31"/>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DESCRIPTION OF UNITS</w:t>
      </w:r>
    </w:p>
    <w:p>
      <w:pPr>
        <w:spacing w:after="0" w:line="108" w:lineRule="exact"/>
        <w:rPr>
          <w:sz w:val="20"/>
          <w:szCs w:val="20"/>
          <w:color w:val="auto"/>
        </w:rPr>
      </w:pPr>
    </w:p>
    <w:p>
      <w:pPr>
        <w:jc w:val="both"/>
        <w:ind w:left="700" w:right="719"/>
        <w:spacing w:after="0" w:line="260" w:lineRule="auto"/>
        <w:rPr>
          <w:sz w:val="20"/>
          <w:szCs w:val="20"/>
          <w:color w:val="auto"/>
        </w:rPr>
      </w:pPr>
      <w:r>
        <w:rPr>
          <w:rFonts w:ascii="Times New Roman" w:cs="Times New Roman" w:eastAsia="Times New Roman" w:hAnsi="Times New Roman"/>
          <w:sz w:val="16"/>
          <w:szCs w:val="16"/>
          <w:i w:val="1"/>
          <w:iCs w:val="1"/>
          <w:color w:val="auto"/>
        </w:rPr>
        <w:t>We may issue units consisting of two or more other constituent securities. These units may be issuable as, and for a specified period of time may be transferable only as, a single security, rather than as the separate constituent securities comprising such units. The following sets forth certain general terms and provisions of the units that may be offered under the Registration Statement of which this prospectus is a part. Further terms of the units will be set forth in the applicable prospectus supplement or free writing prospectus. To the extent the information contained in the prospectus supplement or free writing prospectus differs from this summary description, you should rely on the information in the prospectus supplement or free writing prospectus.</w:t>
      </w:r>
    </w:p>
    <w:p>
      <w:pPr>
        <w:spacing w:after="0" w:line="68" w:lineRule="exact"/>
        <w:rPr>
          <w:sz w:val="20"/>
          <w:szCs w:val="20"/>
          <w:color w:val="auto"/>
        </w:rPr>
      </w:pPr>
    </w:p>
    <w:p>
      <w:pPr>
        <w:jc w:val="both"/>
        <w:ind w:left="700" w:right="719"/>
        <w:spacing w:after="0" w:line="288" w:lineRule="auto"/>
        <w:rPr>
          <w:sz w:val="20"/>
          <w:szCs w:val="20"/>
          <w:color w:val="auto"/>
        </w:rPr>
      </w:pPr>
      <w:r>
        <w:rPr>
          <w:rFonts w:ascii="Times New Roman" w:cs="Times New Roman" w:eastAsia="Times New Roman" w:hAnsi="Times New Roman"/>
          <w:sz w:val="16"/>
          <w:szCs w:val="16"/>
          <w:color w:val="auto"/>
        </w:rPr>
        <w:t>When we issue units, we will provide in a prospectus supplement or free writing prospectus the following terms of the units being issued:</w:t>
      </w:r>
    </w:p>
    <w:p>
      <w:pPr>
        <w:spacing w:after="0" w:line="46" w:lineRule="exact"/>
        <w:rPr>
          <w:sz w:val="20"/>
          <w:szCs w:val="20"/>
          <w:color w:val="auto"/>
        </w:rPr>
      </w:pPr>
    </w:p>
    <w:p>
      <w:pPr>
        <w:ind w:left="1340" w:hanging="311"/>
        <w:spacing w:after="0"/>
        <w:tabs>
          <w:tab w:leader="none" w:pos="1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of any series of units;</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and description of the separate constituent securities comprising the units;</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or prices at which the units will be issued;</w:t>
      </w:r>
    </w:p>
    <w:p>
      <w:pPr>
        <w:spacing w:after="0" w:line="108" w:lineRule="exact"/>
        <w:rPr>
          <w:rFonts w:ascii="Times New Roman" w:cs="Times New Roman" w:eastAsia="Times New Roman" w:hAnsi="Times New Roman"/>
          <w:sz w:val="16"/>
          <w:szCs w:val="16"/>
          <w:color w:val="auto"/>
        </w:rPr>
      </w:pPr>
    </w:p>
    <w:p>
      <w:pPr>
        <w:ind w:left="1340" w:right="739" w:hanging="311"/>
        <w:spacing w:after="0" w:line="288" w:lineRule="auto"/>
        <w:tabs>
          <w:tab w:leader="none" w:pos="1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if any, on and after which the constituent securities comprising the units will be separately transferable;</w:t>
      </w:r>
    </w:p>
    <w:p>
      <w:pPr>
        <w:spacing w:after="0" w:line="45"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with respect to any book-entry procedures;</w:t>
      </w:r>
    </w:p>
    <w:p>
      <w:pPr>
        <w:spacing w:after="0" w:line="10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discussion of material U.S. federal and, if applicable, Dutch income tax considerations applicable to an investment in the units;</w:t>
      </w:r>
    </w:p>
    <w:p>
      <w:pPr>
        <w:spacing w:after="0" w:line="45"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we will apply to have the units traded on a securities exchange or securities quotation system; and</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terms of the units and their constituent securities.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32" w:name="page33"/>
    <w:bookmarkEnd w:id="32"/>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PLAN OF DISTRIBUTION</w:t>
      </w:r>
    </w:p>
    <w:p>
      <w:pPr>
        <w:spacing w:after="0" w:line="110" w:lineRule="exact"/>
        <w:rPr>
          <w:sz w:val="20"/>
          <w:szCs w:val="20"/>
          <w:color w:val="auto"/>
        </w:rPr>
      </w:pPr>
    </w:p>
    <w:p>
      <w:pPr>
        <w:ind w:left="700" w:right="719"/>
        <w:spacing w:after="0" w:line="288" w:lineRule="auto"/>
        <w:rPr>
          <w:sz w:val="20"/>
          <w:szCs w:val="20"/>
          <w:color w:val="auto"/>
        </w:rPr>
      </w:pPr>
      <w:r>
        <w:rPr>
          <w:rFonts w:ascii="Times New Roman" w:cs="Times New Roman" w:eastAsia="Times New Roman" w:hAnsi="Times New Roman"/>
          <w:sz w:val="16"/>
          <w:szCs w:val="16"/>
          <w:color w:val="auto"/>
        </w:rPr>
        <w:t>We and any selling securityholder may sell the securities under this prospectus in one or more of the following ways from time to time:</w:t>
      </w:r>
    </w:p>
    <w:p>
      <w:pPr>
        <w:spacing w:after="0" w:line="46" w:lineRule="exact"/>
        <w:rPr>
          <w:sz w:val="20"/>
          <w:szCs w:val="20"/>
          <w:color w:val="auto"/>
        </w:rPr>
      </w:pPr>
    </w:p>
    <w:p>
      <w:pPr>
        <w:ind w:left="1340" w:hanging="311"/>
        <w:spacing w:after="0"/>
        <w:tabs>
          <w:tab w:leader="none" w:pos="1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or through one or more underwriters or dealers;</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short or long transactions;</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by us or any selling securityholder to investors;</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agents;</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a combination of these methods; or</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any other method permitted pursuant to applicable law.</w:t>
      </w:r>
    </w:p>
    <w:p>
      <w:pPr>
        <w:spacing w:after="0" w:line="108" w:lineRule="exact"/>
        <w:rPr>
          <w:sz w:val="20"/>
          <w:szCs w:val="20"/>
          <w:color w:val="auto"/>
        </w:rPr>
      </w:pPr>
    </w:p>
    <w:p>
      <w:pPr>
        <w:jc w:val="both"/>
        <w:ind w:left="700" w:right="719"/>
        <w:spacing w:after="0" w:line="265" w:lineRule="auto"/>
        <w:rPr>
          <w:sz w:val="20"/>
          <w:szCs w:val="20"/>
          <w:color w:val="auto"/>
        </w:rPr>
      </w:pPr>
      <w:r>
        <w:rPr>
          <w:rFonts w:ascii="Times New Roman" w:cs="Times New Roman" w:eastAsia="Times New Roman" w:hAnsi="Times New Roman"/>
          <w:sz w:val="16"/>
          <w:szCs w:val="16"/>
          <w:color w:val="auto"/>
        </w:rPr>
        <w:t>Registration of the securities covered by this prospectus and any prospectus supplement or free writing prospectus does not mean that those securities necessarily will be offered or sold. In addition, we and any selling securityholder may sell any securities covered by this prospectus in private transactions, and any selling securityholder may sell under Rule 144 of the Securities Act, rather than pursuant to this prospectus.</w:t>
      </w:r>
    </w:p>
    <w:p>
      <w:pPr>
        <w:spacing w:after="0" w:line="64" w:lineRule="exact"/>
        <w:rPr>
          <w:sz w:val="20"/>
          <w:szCs w:val="20"/>
          <w:color w:val="auto"/>
        </w:rPr>
      </w:pPr>
    </w:p>
    <w:p>
      <w:pPr>
        <w:jc w:val="both"/>
        <w:ind w:left="700" w:right="719"/>
        <w:spacing w:after="0" w:line="288" w:lineRule="auto"/>
        <w:rPr>
          <w:sz w:val="20"/>
          <w:szCs w:val="20"/>
          <w:color w:val="auto"/>
        </w:rPr>
      </w:pPr>
      <w:r>
        <w:rPr>
          <w:rFonts w:ascii="Times New Roman" w:cs="Times New Roman" w:eastAsia="Times New Roman" w:hAnsi="Times New Roman"/>
          <w:sz w:val="16"/>
          <w:szCs w:val="16"/>
          <w:color w:val="auto"/>
        </w:rPr>
        <w:t>If underwriters, dealers or agents are used in the sale, the securities will be acquired by the underwriters, dealers or agents for their own account and may be resold from time to time in one or more transactions, including:</w:t>
      </w:r>
    </w:p>
    <w:p>
      <w:pPr>
        <w:spacing w:after="0" w:line="46" w:lineRule="exact"/>
        <w:rPr>
          <w:sz w:val="20"/>
          <w:szCs w:val="20"/>
          <w:color w:val="auto"/>
        </w:rPr>
      </w:pPr>
    </w:p>
    <w:p>
      <w:pPr>
        <w:ind w:left="1340" w:hanging="311"/>
        <w:spacing w:after="0"/>
        <w:tabs>
          <w:tab w:leader="none" w:pos="1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privately negotiated transactions;</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one or more transactions at a fixed price or prices, which may be changed from time to time;</w:t>
      </w:r>
    </w:p>
    <w:p>
      <w:pPr>
        <w:spacing w:after="0" w:line="10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one or more transactions, including “forward” transactions at a floating price or prices that may be changed from time to time;</w:t>
      </w:r>
    </w:p>
    <w:p>
      <w:pPr>
        <w:spacing w:after="0" w:line="45"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“at-the-market offerings,” within the meaning of Rule 415(a)(4) of the Securities Act, to or through a market maker or into an existing trading market, on an exchange or otherwise;</w:t>
      </w:r>
    </w:p>
    <w:p>
      <w:pPr>
        <w:spacing w:after="0" w:line="45"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prices related to those prevailing market prices; or</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negotiated prices.</w:t>
      </w:r>
    </w:p>
    <w:p>
      <w:pPr>
        <w:spacing w:after="0" w:line="108" w:lineRule="exact"/>
        <w:rPr>
          <w:sz w:val="20"/>
          <w:szCs w:val="20"/>
          <w:color w:val="auto"/>
        </w:rPr>
      </w:pPr>
    </w:p>
    <w:p>
      <w:pPr>
        <w:jc w:val="both"/>
        <w:ind w:left="700" w:right="719"/>
        <w:spacing w:after="0" w:line="271" w:lineRule="auto"/>
        <w:rPr>
          <w:sz w:val="20"/>
          <w:szCs w:val="20"/>
          <w:color w:val="auto"/>
        </w:rPr>
      </w:pPr>
      <w:r>
        <w:rPr>
          <w:rFonts w:ascii="Times New Roman" w:cs="Times New Roman" w:eastAsia="Times New Roman" w:hAnsi="Times New Roman"/>
          <w:sz w:val="16"/>
          <w:szCs w:val="16"/>
          <w:color w:val="auto"/>
        </w:rPr>
        <w:t>As applicable, we and any underwriters, dealers or agents reserve the right to accept or reject all or part of any proposed purchase of the securities. We will set forth in a prospectus supplement or free writing prospectus the terms and offering of securities by us or any selling securityholder, including:</w:t>
      </w:r>
    </w:p>
    <w:p>
      <w:pPr>
        <w:spacing w:after="0" w:line="59" w:lineRule="exact"/>
        <w:rPr>
          <w:sz w:val="20"/>
          <w:szCs w:val="20"/>
          <w:color w:val="auto"/>
        </w:rPr>
      </w:pPr>
    </w:p>
    <w:p>
      <w:pPr>
        <w:ind w:left="1340" w:hanging="311"/>
        <w:spacing w:after="0"/>
        <w:tabs>
          <w:tab w:leader="none" w:pos="1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names of any underwriters, dealers, agents or other counterparties;</w:t>
      </w:r>
    </w:p>
    <w:p>
      <w:pPr>
        <w:spacing w:after="0" w:line="10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agency fees or underwriting discounts or commissions and other items constituting agents’ or underwriters’ compensation;</w:t>
      </w:r>
    </w:p>
    <w:p>
      <w:pPr>
        <w:spacing w:after="0" w:line="45"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discounts or concessions allowed or reallowed or paid to dealers;</w:t>
      </w:r>
    </w:p>
    <w:p>
      <w:pPr>
        <w:spacing w:after="0" w:line="108" w:lineRule="exact"/>
        <w:rPr>
          <w:rFonts w:ascii="Times New Roman" w:cs="Times New Roman" w:eastAsia="Times New Roman" w:hAnsi="Times New Roman"/>
          <w:sz w:val="16"/>
          <w:szCs w:val="16"/>
          <w:color w:val="auto"/>
        </w:rPr>
      </w:pPr>
    </w:p>
    <w:p>
      <w:pPr>
        <w:ind w:left="1340" w:right="739" w:hanging="311"/>
        <w:spacing w:after="0" w:line="288" w:lineRule="auto"/>
        <w:tabs>
          <w:tab w:leader="none" w:pos="1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details regarding over-allotment options under which underwriters may purchase additional securities from us or any selling securityholder, if any;</w:t>
      </w:r>
    </w:p>
    <w:p>
      <w:pPr>
        <w:spacing w:after="0" w:line="45"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 price of the securities being offered and the proceeds we or any selling securityholder will receive from the sale;</w:t>
      </w:r>
    </w:p>
    <w:p>
      <w:pPr>
        <w:spacing w:after="0" w:line="45"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public offering price; and</w:t>
      </w:r>
    </w:p>
    <w:p>
      <w:pPr>
        <w:spacing w:after="0" w:line="108"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securities exchanges on which such securities may be listed, if any.</w:t>
      </w:r>
    </w:p>
    <w:p>
      <w:pPr>
        <w:spacing w:after="0" w:line="108" w:lineRule="exact"/>
        <w:rPr>
          <w:sz w:val="20"/>
          <w:szCs w:val="20"/>
          <w:color w:val="auto"/>
        </w:rPr>
      </w:pPr>
    </w:p>
    <w:p>
      <w:pPr>
        <w:jc w:val="both"/>
        <w:ind w:left="700" w:right="719"/>
        <w:spacing w:after="0" w:line="258" w:lineRule="auto"/>
        <w:rPr>
          <w:sz w:val="20"/>
          <w:szCs w:val="20"/>
          <w:color w:val="auto"/>
        </w:rPr>
      </w:pPr>
      <w:r>
        <w:rPr>
          <w:rFonts w:ascii="Times New Roman" w:cs="Times New Roman" w:eastAsia="Times New Roman" w:hAnsi="Times New Roman"/>
          <w:sz w:val="16"/>
          <w:szCs w:val="16"/>
          <w:color w:val="auto"/>
        </w:rPr>
        <w:t>We or any selling securityholder may enter into derivative transactions with third parties or sell securities not covered by this prospectus to third parties in privately negotiated transactions from time to time. If the applicable prospectus supplement or free writing prospectus indicates, in connection with those derivative transactions, such third parties (or affiliates of such third parties) may sell securities covered by this prospectus and the applicable prospectus supplement or free writing prospectus, including in short sale transactions. If so, such third parties (or affiliates of such third parties) may use securities pledged by us or any selling securityholder or borrowed from us, any selling securityholder or others to settle those sales or to close out any related open borrowings of securities, and may use securities received from us or any selling securityholder in settlement of those derivative transactions to close out any</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33" w:name="page34"/>
    <w:bookmarkEnd w:id="33"/>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2" w:lineRule="exact"/>
        <w:rPr>
          <w:sz w:val="20"/>
          <w:szCs w:val="20"/>
          <w:color w:val="auto"/>
        </w:rPr>
      </w:pPr>
    </w:p>
    <w:p>
      <w:pPr>
        <w:jc w:val="both"/>
        <w:ind w:left="700" w:right="719"/>
        <w:spacing w:after="0" w:line="265" w:lineRule="auto"/>
        <w:rPr>
          <w:sz w:val="20"/>
          <w:szCs w:val="20"/>
          <w:color w:val="auto"/>
        </w:rPr>
      </w:pPr>
      <w:r>
        <w:rPr>
          <w:rFonts w:ascii="Times New Roman" w:cs="Times New Roman" w:eastAsia="Times New Roman" w:hAnsi="Times New Roman"/>
          <w:sz w:val="16"/>
          <w:szCs w:val="16"/>
          <w:color w:val="auto"/>
        </w:rPr>
        <w:t>related open borrowings of securities. The third parties (or affiliates of such third parties) in such sale transactions by us or any selling securityholder will be underwriters and will be identified in an applicable prospectus supplement or free writing prospectus. We may also sell securities under this prospectus upon the exercise of rights that may be issued to our securityholders.</w:t>
      </w:r>
    </w:p>
    <w:p>
      <w:pPr>
        <w:spacing w:after="0" w:line="64" w:lineRule="exact"/>
        <w:rPr>
          <w:sz w:val="20"/>
          <w:szCs w:val="20"/>
          <w:color w:val="auto"/>
        </w:rPr>
      </w:pPr>
    </w:p>
    <w:p>
      <w:pPr>
        <w:jc w:val="both"/>
        <w:ind w:left="700" w:right="719"/>
        <w:spacing w:after="0" w:line="265" w:lineRule="auto"/>
        <w:rPr>
          <w:sz w:val="20"/>
          <w:szCs w:val="20"/>
          <w:color w:val="auto"/>
        </w:rPr>
      </w:pPr>
      <w:r>
        <w:rPr>
          <w:rFonts w:ascii="Times New Roman" w:cs="Times New Roman" w:eastAsia="Times New Roman" w:hAnsi="Times New Roman"/>
          <w:sz w:val="16"/>
          <w:szCs w:val="16"/>
          <w:color w:val="auto"/>
        </w:rPr>
        <w:t>We or any selling securityholder may loan or pledge securities to a financial institution or other third party that in turn may sell the securities using this prospectus and an applicable prospectus supplement or free writing prospectus. Such financial institution or third party may transfer its economic short position to investors in our securities or in connection with a simultaneous offering of other securities offered by this prospectus.</w:t>
      </w:r>
    </w:p>
    <w:p>
      <w:pPr>
        <w:spacing w:after="0" w:line="2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Underwriters, Dealers and Agents</w:t>
      </w:r>
    </w:p>
    <w:p>
      <w:pPr>
        <w:spacing w:after="0" w:line="110" w:lineRule="exact"/>
        <w:rPr>
          <w:sz w:val="20"/>
          <w:szCs w:val="20"/>
          <w:color w:val="auto"/>
        </w:rPr>
      </w:pPr>
    </w:p>
    <w:p>
      <w:pPr>
        <w:jc w:val="both"/>
        <w:ind w:left="700" w:right="719"/>
        <w:spacing w:after="0" w:line="259" w:lineRule="auto"/>
        <w:rPr>
          <w:sz w:val="20"/>
          <w:szCs w:val="20"/>
          <w:color w:val="auto"/>
        </w:rPr>
      </w:pPr>
      <w:r>
        <w:rPr>
          <w:rFonts w:ascii="Times New Roman" w:cs="Times New Roman" w:eastAsia="Times New Roman" w:hAnsi="Times New Roman"/>
          <w:sz w:val="16"/>
          <w:szCs w:val="16"/>
          <w:color w:val="auto"/>
        </w:rPr>
        <w:t>If underwriters are used in the sale of our securities, the securities will be acquired by the underwriters for their own account and may be resold from time to time in one or more transactions as described above. The securities may be offered to the public either through underwriting syndicates represented by managing underwriters or directly by underwriters. Generally, the underwriters’ obligations to purchase the securities will be subject to conditions precedent and the underwriters will be obligated to purchase all of the securities if they purchase any of the securities. We may use underwriters, dealers or agents with which we have a material relationship and will describe the nature of any such relationship in the prospectus supplement or free writing prospectus, naming any such underwriters, dealers or agents.</w:t>
      </w:r>
    </w:p>
    <w:p>
      <w:pPr>
        <w:spacing w:after="0" w:line="68" w:lineRule="exact"/>
        <w:rPr>
          <w:sz w:val="20"/>
          <w:szCs w:val="20"/>
          <w:color w:val="auto"/>
        </w:rPr>
      </w:pPr>
    </w:p>
    <w:p>
      <w:pPr>
        <w:jc w:val="both"/>
        <w:ind w:left="700" w:right="719"/>
        <w:spacing w:after="0" w:line="265" w:lineRule="auto"/>
        <w:rPr>
          <w:sz w:val="20"/>
          <w:szCs w:val="20"/>
          <w:color w:val="auto"/>
        </w:rPr>
      </w:pPr>
      <w:r>
        <w:rPr>
          <w:rFonts w:ascii="Times New Roman" w:cs="Times New Roman" w:eastAsia="Times New Roman" w:hAnsi="Times New Roman"/>
          <w:sz w:val="16"/>
          <w:szCs w:val="16"/>
          <w:color w:val="auto"/>
        </w:rPr>
        <w:t>We or any selling securityholder may sell the securities through agents from time to time. When we or any selling securityholder sell securities through agents, the prospectus supplement or free writing prospectus will name any agent involved in the offer or sale of securities and any commissions we or any selling securityholder pay to them. Generally, any agent will be acting on a best efforts basis for the period of its appointment.</w:t>
      </w:r>
    </w:p>
    <w:p>
      <w:pPr>
        <w:spacing w:after="0" w:line="64" w:lineRule="exact"/>
        <w:rPr>
          <w:sz w:val="20"/>
          <w:szCs w:val="20"/>
          <w:color w:val="auto"/>
        </w:rPr>
      </w:pPr>
    </w:p>
    <w:p>
      <w:pPr>
        <w:jc w:val="both"/>
        <w:ind w:left="700" w:right="719"/>
        <w:spacing w:after="0" w:line="261" w:lineRule="auto"/>
        <w:rPr>
          <w:sz w:val="20"/>
          <w:szCs w:val="20"/>
          <w:color w:val="auto"/>
        </w:rPr>
      </w:pPr>
      <w:r>
        <w:rPr>
          <w:rFonts w:ascii="Times New Roman" w:cs="Times New Roman" w:eastAsia="Times New Roman" w:hAnsi="Times New Roman"/>
          <w:sz w:val="16"/>
          <w:szCs w:val="16"/>
          <w:color w:val="auto"/>
        </w:rPr>
        <w:t>We or any selling securityholder may authorize underwriters, dealers or agents to solicit offers by certain purchasers to purchase our securities from us or any selling securityholder at the public offering price set forth in the prospectus supplement or free writing prospectus pursuant to delayed delivery contracts providing for payment and delivery on a specified date in the future. The contracts will be subject only to those conditions set forth in the prospectus supplement or free writing prospectus, and the prospectus supplement or free writing prospectus will set forth any commissions we or any selling securityholder pay for solicitation of these contracts.</w:t>
      </w:r>
    </w:p>
    <w:p>
      <w:pPr>
        <w:spacing w:after="0" w:line="66" w:lineRule="exact"/>
        <w:rPr>
          <w:sz w:val="20"/>
          <w:szCs w:val="20"/>
          <w:color w:val="auto"/>
        </w:rPr>
      </w:pPr>
    </w:p>
    <w:p>
      <w:pPr>
        <w:jc w:val="both"/>
        <w:ind w:left="700" w:right="719"/>
        <w:spacing w:after="0" w:line="265" w:lineRule="auto"/>
        <w:rPr>
          <w:sz w:val="20"/>
          <w:szCs w:val="20"/>
          <w:color w:val="auto"/>
        </w:rPr>
      </w:pPr>
      <w:r>
        <w:rPr>
          <w:rFonts w:ascii="Times New Roman" w:cs="Times New Roman" w:eastAsia="Times New Roman" w:hAnsi="Times New Roman"/>
          <w:sz w:val="16"/>
          <w:szCs w:val="16"/>
          <w:color w:val="auto"/>
        </w:rPr>
        <w:t>Underwriters, dealers and agents may contract for or otherwise be entitled to indemnification by us against certain civil liabilities, including liabilities under the Securities Act, or to contribution with respect to payments made by the underwriters, dealers or agents, under agreements between us or any selling securityholder and the underwriters, dealers and agents.</w:t>
      </w:r>
    </w:p>
    <w:p>
      <w:pPr>
        <w:spacing w:after="0" w:line="64" w:lineRule="exact"/>
        <w:rPr>
          <w:sz w:val="20"/>
          <w:szCs w:val="20"/>
          <w:color w:val="auto"/>
        </w:rPr>
      </w:pPr>
    </w:p>
    <w:p>
      <w:pPr>
        <w:jc w:val="both"/>
        <w:ind w:left="700" w:right="719"/>
        <w:spacing w:after="0" w:line="288" w:lineRule="auto"/>
        <w:rPr>
          <w:sz w:val="20"/>
          <w:szCs w:val="20"/>
          <w:color w:val="auto"/>
        </w:rPr>
      </w:pPr>
      <w:r>
        <w:rPr>
          <w:rFonts w:ascii="Times New Roman" w:cs="Times New Roman" w:eastAsia="Times New Roman" w:hAnsi="Times New Roman"/>
          <w:sz w:val="16"/>
          <w:szCs w:val="16"/>
          <w:color w:val="auto"/>
        </w:rPr>
        <w:t>We or any selling securityholder may grant underwriters who participate in the distribution of our securities an option to purchase additional securities to cover over-allotments, if any, in connection with the distribution.</w:t>
      </w:r>
    </w:p>
    <w:p>
      <w:pPr>
        <w:spacing w:after="0" w:line="46" w:lineRule="exact"/>
        <w:rPr>
          <w:sz w:val="20"/>
          <w:szCs w:val="20"/>
          <w:color w:val="auto"/>
        </w:rPr>
      </w:pPr>
    </w:p>
    <w:p>
      <w:pPr>
        <w:jc w:val="both"/>
        <w:ind w:left="700" w:right="719"/>
        <w:spacing w:after="0" w:line="259" w:lineRule="auto"/>
        <w:rPr>
          <w:sz w:val="20"/>
          <w:szCs w:val="20"/>
          <w:color w:val="auto"/>
        </w:rPr>
      </w:pPr>
      <w:r>
        <w:rPr>
          <w:rFonts w:ascii="Times New Roman" w:cs="Times New Roman" w:eastAsia="Times New Roman" w:hAnsi="Times New Roman"/>
          <w:sz w:val="16"/>
          <w:szCs w:val="16"/>
          <w:color w:val="auto"/>
        </w:rPr>
        <w:t>Underwriters, dealers or agents may receive compensation in the form of discounts, concessions or commissions from us, any selling securityholder or our purchasers, as their agents in connection with the sale of our securities. These underwriters, dealers or agents may be considered to be underwriters under the Securities Act. As a result, discounts, concessions, commissions or profits on resale received by the underwriters, dealers or agents may be treated as underwriting discounts and commissions. The prospectus supplement or free writing prospectus for any securities offered by us or any selling securityholder will identify any such underwriter, dealer or agent and describe any compensation received by them from us or any selling securityholder. Any public offering price and any discounts, concessions or commissions allowed or re-allowed or paid to dealers may be changed from time to time.</w:t>
      </w:r>
    </w:p>
    <w:p>
      <w:pPr>
        <w:spacing w:after="0" w:line="68" w:lineRule="exact"/>
        <w:rPr>
          <w:sz w:val="20"/>
          <w:szCs w:val="20"/>
          <w:color w:val="auto"/>
        </w:rPr>
      </w:pPr>
    </w:p>
    <w:p>
      <w:pPr>
        <w:jc w:val="both"/>
        <w:ind w:left="700" w:right="719"/>
        <w:spacing w:after="0" w:line="288" w:lineRule="auto"/>
        <w:rPr>
          <w:sz w:val="20"/>
          <w:szCs w:val="20"/>
          <w:color w:val="auto"/>
        </w:rPr>
      </w:pPr>
      <w:r>
        <w:rPr>
          <w:rFonts w:ascii="Times New Roman" w:cs="Times New Roman" w:eastAsia="Times New Roman" w:hAnsi="Times New Roman"/>
          <w:sz w:val="16"/>
          <w:szCs w:val="16"/>
          <w:color w:val="auto"/>
        </w:rPr>
        <w:t>Underwriters, dealers or agents who may become involved in the sale of our securities may engage in transactions with and perform other services for us for which they receive compensation.</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Stabilization Activities</w:t>
      </w:r>
    </w:p>
    <w:p>
      <w:pPr>
        <w:spacing w:after="0" w:line="110" w:lineRule="exact"/>
        <w:rPr>
          <w:sz w:val="20"/>
          <w:szCs w:val="20"/>
          <w:color w:val="auto"/>
        </w:rPr>
      </w:pPr>
    </w:p>
    <w:p>
      <w:pPr>
        <w:jc w:val="both"/>
        <w:ind w:left="700" w:right="719"/>
        <w:spacing w:after="0" w:line="262" w:lineRule="auto"/>
        <w:rPr>
          <w:sz w:val="20"/>
          <w:szCs w:val="20"/>
          <w:color w:val="auto"/>
        </w:rPr>
      </w:pPr>
      <w:r>
        <w:rPr>
          <w:rFonts w:ascii="Times New Roman" w:cs="Times New Roman" w:eastAsia="Times New Roman" w:hAnsi="Times New Roman"/>
          <w:sz w:val="16"/>
          <w:szCs w:val="16"/>
          <w:color w:val="auto"/>
        </w:rPr>
        <w:t>In connection with an offering through underwriters, an underwriter may, to the extent permitted by applicable rules and regulations, purchase and sell securities in the open market. These transactions, to the extent permitted by applicable rules and regulations,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118110</wp:posOffset>
            </wp:positionV>
            <wp:extent cx="631063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34" w:name="page35"/>
    <w:bookmarkEnd w:id="34"/>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2" w:lineRule="exact"/>
        <w:rPr>
          <w:sz w:val="20"/>
          <w:szCs w:val="20"/>
          <w:color w:val="auto"/>
        </w:rPr>
      </w:pPr>
    </w:p>
    <w:p>
      <w:pPr>
        <w:jc w:val="both"/>
        <w:ind w:left="700" w:right="719"/>
        <w:spacing w:after="0" w:line="258" w:lineRule="auto"/>
        <w:rPr>
          <w:sz w:val="20"/>
          <w:szCs w:val="20"/>
          <w:color w:val="auto"/>
        </w:rPr>
      </w:pPr>
      <w:r>
        <w:rPr>
          <w:rFonts w:ascii="Times New Roman" w:cs="Times New Roman" w:eastAsia="Times New Roman" w:hAnsi="Times New Roman"/>
          <w:sz w:val="16"/>
          <w:szCs w:val="16"/>
          <w:color w:val="auto"/>
        </w:rPr>
        <w:t>underwriters’ option to purchase additional securities from us or any selling securityholder in the offering, if any. If the underwriters have an over-allotment option to purchase additional securities from us or any selling securityholder, the underwriters may consider, among other things, the price of securities available for purchase in the open market as compared to the price at which they may purchase securities through the over-allotment option. “Naked” short sales, which may be prohibited or restricted by applicable rules and regulations,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71" w:lineRule="exact"/>
        <w:rPr>
          <w:sz w:val="20"/>
          <w:szCs w:val="20"/>
          <w:color w:val="auto"/>
        </w:rPr>
      </w:pPr>
    </w:p>
    <w:p>
      <w:pPr>
        <w:jc w:val="both"/>
        <w:ind w:left="700" w:right="719"/>
        <w:spacing w:after="0" w:line="258" w:lineRule="auto"/>
        <w:rPr>
          <w:sz w:val="20"/>
          <w:szCs w:val="20"/>
          <w:color w:val="auto"/>
        </w:rPr>
      </w:pPr>
      <w:r>
        <w:rPr>
          <w:rFonts w:ascii="Times New Roman" w:cs="Times New Roman" w:eastAsia="Times New Roman" w:hAnsi="Times New Roman"/>
          <w:sz w:val="16"/>
          <w:szCs w:val="16"/>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 of a penalty bid may also affect the price of the securities to the extent that it discourages resale of the securities. The magnitude or effect of any stabilization or other transactions is uncertain. If commenced, the underwriters may discontinue any of the activities at any time. We make no representation or prediction as to the direction or magnitude of any effect these transactions may have on the price of our securities.</w:t>
      </w:r>
    </w:p>
    <w:p>
      <w:pPr>
        <w:spacing w:after="0" w:line="3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Direct Sales</w:t>
      </w:r>
    </w:p>
    <w:p>
      <w:pPr>
        <w:spacing w:after="0" w:line="110" w:lineRule="exact"/>
        <w:rPr>
          <w:sz w:val="20"/>
          <w:szCs w:val="20"/>
          <w:color w:val="auto"/>
        </w:rPr>
      </w:pPr>
    </w:p>
    <w:p>
      <w:pPr>
        <w:jc w:val="both"/>
        <w:ind w:left="700" w:right="719"/>
        <w:spacing w:after="0" w:line="262" w:lineRule="auto"/>
        <w:rPr>
          <w:sz w:val="20"/>
          <w:szCs w:val="20"/>
          <w:color w:val="auto"/>
        </w:rPr>
      </w:pPr>
      <w:r>
        <w:rPr>
          <w:rFonts w:ascii="Times New Roman" w:cs="Times New Roman" w:eastAsia="Times New Roman" w:hAnsi="Times New Roman"/>
          <w:sz w:val="16"/>
          <w:szCs w:val="16"/>
          <w:color w:val="auto"/>
        </w:rPr>
        <w:t>We or any selling securityholder may also sell securities directly to one or more purchasers without using underwriters, dealers or agents. In this case, no underwriters, dealers or agents would be involved. We may sell securities upon the exercise of rights that we may issue to our securityholders. We or any selling securityholder may also sell securities directly to institutional investors or others who may be deemed to be underwriters within the meaning of the Securities Act with respect to any sale of those securities.</w:t>
      </w:r>
    </w:p>
    <w:p>
      <w:pPr>
        <w:spacing w:after="0" w:line="2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At-the-Market Offerings</w:t>
      </w:r>
    </w:p>
    <w:p>
      <w:pPr>
        <w:spacing w:after="0" w:line="110" w:lineRule="exact"/>
        <w:rPr>
          <w:sz w:val="20"/>
          <w:szCs w:val="20"/>
          <w:color w:val="auto"/>
        </w:rPr>
      </w:pPr>
    </w:p>
    <w:p>
      <w:pPr>
        <w:jc w:val="both"/>
        <w:ind w:left="700" w:right="719"/>
        <w:spacing w:after="0" w:line="257" w:lineRule="auto"/>
        <w:rPr>
          <w:sz w:val="20"/>
          <w:szCs w:val="20"/>
          <w:color w:val="auto"/>
        </w:rPr>
      </w:pPr>
      <w:r>
        <w:rPr>
          <w:rFonts w:ascii="Times New Roman" w:cs="Times New Roman" w:eastAsia="Times New Roman" w:hAnsi="Times New Roman"/>
          <w:sz w:val="16"/>
          <w:szCs w:val="16"/>
          <w:color w:val="auto"/>
        </w:rPr>
        <w:t>To the extent that we make sales through one or more underwriters or agents in at-the-market offerings, we will do so pursuant to the terms of a sales agency financing agreement or other at-the-market offering arrangement between us and the underwriters or agents. If we engage in at-the-market sales pursuant to any such agreement, we will issue and sell our securities through one or more underwriters or agents, which may act on an agency basis or on a principal basis. During the term of any such agreement, we may sell securities on a daily basis in exchange transactions or otherwise as we agree with the underwriters or agents. The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each such agreement will be set forth in more detail in a prospectus supplement or free writing prospectus.</w:t>
      </w:r>
    </w:p>
    <w:p>
      <w:pPr>
        <w:spacing w:after="0" w:line="3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Trading Market and Listing of Securities</w:t>
      </w:r>
    </w:p>
    <w:p>
      <w:pPr>
        <w:spacing w:after="0" w:line="110" w:lineRule="exact"/>
        <w:rPr>
          <w:sz w:val="20"/>
          <w:szCs w:val="20"/>
          <w:color w:val="auto"/>
        </w:rPr>
      </w:pPr>
    </w:p>
    <w:p>
      <w:pPr>
        <w:jc w:val="both"/>
        <w:ind w:left="700" w:right="719"/>
        <w:spacing w:after="0" w:line="259" w:lineRule="auto"/>
        <w:rPr>
          <w:sz w:val="20"/>
          <w:szCs w:val="20"/>
          <w:color w:val="auto"/>
        </w:rPr>
      </w:pPr>
      <w:r>
        <w:rPr>
          <w:rFonts w:ascii="Times New Roman" w:cs="Times New Roman" w:eastAsia="Times New Roman" w:hAnsi="Times New Roman"/>
          <w:sz w:val="16"/>
          <w:szCs w:val="16"/>
          <w:color w:val="auto"/>
        </w:rPr>
        <w:t>Each series of securities sold pursuant to a prospectus supplement or free writing prospectus, other than our common stock which is listed on NASDAQ, will be a new issue of securities with no established trading market. We may elect to list securities other than common stock on an exchange, but unless specified in the applicable prospectus supplement or free-writing prospectus, we shall have no obligation to do so. It is possible that one or more underwriters may make a market in a class or series of securities, but the underwriters will not be obligated to do so and may discontinue any market making activities at any time without notice. We cannot give any assurance as to the liquidity of the trading market for any of the securities.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35" w:name="page36"/>
    <w:bookmarkEnd w:id="35"/>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10" w:lineRule="exact"/>
        <w:rPr>
          <w:sz w:val="20"/>
          <w:szCs w:val="20"/>
          <w:color w:val="auto"/>
        </w:rPr>
      </w:pPr>
    </w:p>
    <w:p>
      <w:pPr>
        <w:jc w:val="both"/>
        <w:ind w:left="700" w:right="719"/>
        <w:spacing w:after="0" w:line="261" w:lineRule="auto"/>
        <w:rPr>
          <w:sz w:val="20"/>
          <w:szCs w:val="20"/>
          <w:color w:val="auto"/>
        </w:rPr>
      </w:pPr>
      <w:r>
        <w:rPr>
          <w:rFonts w:ascii="Times New Roman" w:cs="Times New Roman" w:eastAsia="Times New Roman" w:hAnsi="Times New Roman"/>
          <w:sz w:val="16"/>
          <w:szCs w:val="16"/>
          <w:color w:val="auto"/>
        </w:rPr>
        <w:t>Unless otherwise indicated in any prospectus supplement, certain legal matters regarding the securities offered hereby relating to: (i) New York law will be passed upon for us by Cravath, Swaine &amp; Moore LLP, New York, New York, (ii) Dutch law will be passed upon for us by NautaDutilh N.V., our Dutch counsel, and (iii) Pennsylvania law will be passed upon for us by Parker Poe Adams &amp; Bernstein LLP, our Pennsylvania counsel. If the securities are being distributed in an underwritten offering, certain legal matters regarding such securities will be passed upon for the underwriters by counsel identified in the related prospectus supplement.</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36" w:name="page37"/>
    <w:bookmarkEnd w:id="36"/>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110" w:lineRule="exact"/>
        <w:rPr>
          <w:sz w:val="20"/>
          <w:szCs w:val="20"/>
          <w:color w:val="auto"/>
        </w:rPr>
      </w:pPr>
    </w:p>
    <w:p>
      <w:pPr>
        <w:jc w:val="both"/>
        <w:ind w:left="700" w:right="719"/>
        <w:spacing w:after="0" w:line="261" w:lineRule="auto"/>
        <w:rPr>
          <w:sz w:val="20"/>
          <w:szCs w:val="20"/>
          <w:color w:val="auto"/>
        </w:rPr>
      </w:pPr>
      <w:r>
        <w:rPr>
          <w:rFonts w:ascii="Times New Roman" w:cs="Times New Roman" w:eastAsia="Times New Roman" w:hAnsi="Times New Roman"/>
          <w:sz w:val="16"/>
          <w:szCs w:val="16"/>
          <w:color w:val="auto"/>
        </w:rPr>
        <w:t>The consolidated financial statements and the related consolidated financial statement schedules incorporated by reference into this prospectus from Viatris Inc.’s Annual Report on Form 10-K for the year ended December 31, 2024 and the effectiveness of Viatris Inc.’s internal control over financial reporting as of December 31, 2024 have been audited by Deloitte &amp; Touche LLP, an independent registered public accounting firm, as stated in their reports, which are incorporated by reference herein. Such financial statements have been so incorporated in reliance upon the reports of such firm given their authority as experts in accounting and auditing.</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37" w:name="page38"/>
    <w:bookmarkEnd w:id="37"/>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ENFORCEABILITY OF CIVIL LIABILITIES</w:t>
      </w:r>
    </w:p>
    <w:p>
      <w:pPr>
        <w:spacing w:after="0" w:line="3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The Netherlands</w:t>
      </w:r>
    </w:p>
    <w:p>
      <w:pPr>
        <w:spacing w:after="0" w:line="108" w:lineRule="exact"/>
        <w:rPr>
          <w:sz w:val="20"/>
          <w:szCs w:val="20"/>
          <w:color w:val="auto"/>
        </w:rPr>
      </w:pPr>
    </w:p>
    <w:p>
      <w:pPr>
        <w:jc w:val="both"/>
        <w:ind w:left="700" w:right="719"/>
        <w:spacing w:after="0" w:line="261" w:lineRule="auto"/>
        <w:rPr>
          <w:sz w:val="20"/>
          <w:szCs w:val="20"/>
          <w:color w:val="auto"/>
        </w:rPr>
      </w:pPr>
      <w:r>
        <w:rPr>
          <w:rFonts w:ascii="Times New Roman" w:cs="Times New Roman" w:eastAsia="Times New Roman" w:hAnsi="Times New Roman"/>
          <w:sz w:val="16"/>
          <w:szCs w:val="16"/>
          <w:color w:val="auto"/>
        </w:rPr>
        <w:t>Mylan II B.V. is incorporated as a private limited liability company (</w:t>
      </w:r>
      <w:r>
        <w:rPr>
          <w:rFonts w:ascii="Times New Roman" w:cs="Times New Roman" w:eastAsia="Times New Roman" w:hAnsi="Times New Roman"/>
          <w:sz w:val="16"/>
          <w:szCs w:val="16"/>
          <w:i w:val="1"/>
          <w:iCs w:val="1"/>
          <w:color w:val="auto"/>
        </w:rPr>
        <w:t>besloten vennootschap met beperkte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aansprakelijkheid</w:t>
      </w:r>
      <w:r>
        <w:rPr>
          <w:rFonts w:ascii="Times New Roman" w:cs="Times New Roman" w:eastAsia="Times New Roman" w:hAnsi="Times New Roman"/>
          <w:sz w:val="16"/>
          <w:szCs w:val="16"/>
          <w:color w:val="auto"/>
        </w:rPr>
        <w:t>) under the laws of the Netherlands. Certain of Mylan II B.V.’s directors may reside outside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United States, and certain of its or such persons’ assets may be located outside the United States. As a result, it may not be possible for investors to effect service of process, including judgments, upon Mylan II B.V. or such persons outside of the Netherlands or within the United States. It may also be difficult for investors to enforce judgments obtained in courts other than Dutch courts against Mylan II B.V.</w:t>
      </w:r>
    </w:p>
    <w:p>
      <w:pPr>
        <w:spacing w:after="0" w:line="68" w:lineRule="exact"/>
        <w:rPr>
          <w:sz w:val="20"/>
          <w:szCs w:val="20"/>
          <w:color w:val="auto"/>
        </w:rPr>
      </w:pPr>
    </w:p>
    <w:p>
      <w:pPr>
        <w:jc w:val="both"/>
        <w:ind w:left="700" w:right="719"/>
        <w:spacing w:after="0" w:line="256" w:lineRule="auto"/>
        <w:rPr>
          <w:sz w:val="20"/>
          <w:szCs w:val="20"/>
          <w:color w:val="auto"/>
        </w:rPr>
      </w:pPr>
      <w:r>
        <w:rPr>
          <w:rFonts w:ascii="Times New Roman" w:cs="Times New Roman" w:eastAsia="Times New Roman" w:hAnsi="Times New Roman"/>
          <w:sz w:val="16"/>
          <w:szCs w:val="16"/>
          <w:color w:val="auto"/>
        </w:rPr>
        <w:t>There is currently no enforcement treaty between the Netherlands and the United States. Consequently, a judgment of any court in the United States would not be automatically recognized and enforceable in the Netherlands. Without limiting the generality of the previous statement, there is doubt as to whether Dutch courts will uphold judgments predicated upon the civil liability provisions in the U.S. federal securities laws or the securities laws of any state within the United States. In order to obtain a judgment that can be enforced in the Netherlands against Mylan II B.V., the dispute will have to be re-litigated before a competent Dutch court, which will have discretion to attach such weight to the judgment of any court in the United States as it deems appropriate. Based on case law, the Dutch courts can be expected to give conclusive effect to a final and enforceable judgment of a court in the United States without re-examination or re-litigation of the substantive matters adjudicated upon if (i) the court involved accepted jurisdiction on the basis of an internationally recognized ground to accept jurisdiction, (ii) the proceedings before such court complied with principles of proper procedure (</w:t>
      </w:r>
      <w:r>
        <w:rPr>
          <w:rFonts w:ascii="Times New Roman" w:cs="Times New Roman" w:eastAsia="Times New Roman" w:hAnsi="Times New Roman"/>
          <w:sz w:val="16"/>
          <w:szCs w:val="16"/>
          <w:i w:val="1"/>
          <w:iCs w:val="1"/>
          <w:color w:val="auto"/>
        </w:rPr>
        <w:t>behoorlijke rechtspleging</w:t>
      </w:r>
      <w:r>
        <w:rPr>
          <w:rFonts w:ascii="Times New Roman" w:cs="Times New Roman" w:eastAsia="Times New Roman" w:hAnsi="Times New Roman"/>
          <w:sz w:val="16"/>
          <w:szCs w:val="16"/>
          <w:color w:val="auto"/>
        </w:rPr>
        <w:t>), (iii) such judgment was not contrary to the public policy (</w:t>
      </w:r>
      <w:r>
        <w:rPr>
          <w:rFonts w:ascii="Times New Roman" w:cs="Times New Roman" w:eastAsia="Times New Roman" w:hAnsi="Times New Roman"/>
          <w:sz w:val="16"/>
          <w:szCs w:val="16"/>
          <w:i w:val="1"/>
          <w:iCs w:val="1"/>
          <w:color w:val="auto"/>
        </w:rPr>
        <w:t>openbare orde</w:t>
      </w:r>
      <w:r>
        <w:rPr>
          <w:rFonts w:ascii="Times New Roman" w:cs="Times New Roman" w:eastAsia="Times New Roman" w:hAnsi="Times New Roman"/>
          <w:sz w:val="16"/>
          <w:szCs w:val="16"/>
          <w:color w:val="auto"/>
        </w:rPr>
        <w:t>) of the Netherlands and (iv) such judgment was not incompatible with a judgment given between the same parties by a Dutch court or with a prior judgment given between the same parties by a foreign court in a dispute concerning the same subject matter and based on the same cause of action, provided such prior judgment is recognizable in the Netherlands.</w:t>
      </w:r>
    </w:p>
    <w:p>
      <w:pPr>
        <w:spacing w:after="0" w:line="77" w:lineRule="exact"/>
        <w:rPr>
          <w:sz w:val="20"/>
          <w:szCs w:val="20"/>
          <w:color w:val="auto"/>
        </w:rPr>
      </w:pPr>
    </w:p>
    <w:p>
      <w:pPr>
        <w:jc w:val="both"/>
        <w:ind w:left="700" w:right="719"/>
        <w:spacing w:after="0" w:line="265" w:lineRule="auto"/>
        <w:rPr>
          <w:sz w:val="20"/>
          <w:szCs w:val="20"/>
          <w:color w:val="auto"/>
        </w:rPr>
      </w:pPr>
      <w:r>
        <w:rPr>
          <w:rFonts w:ascii="Times New Roman" w:cs="Times New Roman" w:eastAsia="Times New Roman" w:hAnsi="Times New Roman"/>
          <w:sz w:val="16"/>
          <w:szCs w:val="16"/>
          <w:color w:val="auto"/>
        </w:rPr>
        <w:t>In addition, a Dutch court might not accept jurisdiction and impose civil liability in an action commenced in the Netherlands and predicated solely upon United States federal securities laws. Furthermore, awards of punitive damages in actions brought in the United States or elsewhere may be unenforceable in jurisdictions outside the United States.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38" w:name="page39"/>
    <w:bookmarkEnd w:id="38"/>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CERTAIN INSOLVENCY LAW CONSIDERATIONS</w:t>
      </w:r>
    </w:p>
    <w:p>
      <w:pPr>
        <w:spacing w:after="0" w:line="2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The Netherlands</w:t>
      </w:r>
    </w:p>
    <w:p>
      <w:pPr>
        <w:spacing w:after="0" w:line="108" w:lineRule="exact"/>
        <w:rPr>
          <w:sz w:val="20"/>
          <w:szCs w:val="20"/>
          <w:color w:val="auto"/>
        </w:rPr>
      </w:pPr>
    </w:p>
    <w:p>
      <w:pPr>
        <w:jc w:val="both"/>
        <w:ind w:left="700" w:right="719"/>
        <w:spacing w:after="0" w:line="257" w:lineRule="auto"/>
        <w:rPr>
          <w:sz w:val="20"/>
          <w:szCs w:val="20"/>
          <w:color w:val="auto"/>
        </w:rPr>
      </w:pPr>
      <w:r>
        <w:rPr>
          <w:rFonts w:ascii="Times New Roman" w:cs="Times New Roman" w:eastAsia="Times New Roman" w:hAnsi="Times New Roman"/>
          <w:sz w:val="16"/>
          <w:szCs w:val="16"/>
          <w:color w:val="auto"/>
        </w:rPr>
        <w:t>Mylan II B.V. is incorporated as a private limited liability company (</w:t>
      </w:r>
      <w:r>
        <w:rPr>
          <w:rFonts w:ascii="Times New Roman" w:cs="Times New Roman" w:eastAsia="Times New Roman" w:hAnsi="Times New Roman"/>
          <w:sz w:val="16"/>
          <w:szCs w:val="16"/>
          <w:i w:val="1"/>
          <w:iCs w:val="1"/>
          <w:color w:val="auto"/>
        </w:rPr>
        <w:t>besloten vennootschap met beperkte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aansprakelijkheid</w:t>
      </w:r>
      <w:r>
        <w:rPr>
          <w:rFonts w:ascii="Times New Roman" w:cs="Times New Roman" w:eastAsia="Times New Roman" w:hAnsi="Times New Roman"/>
          <w:sz w:val="16"/>
          <w:szCs w:val="16"/>
          <w:color w:val="auto"/>
        </w:rPr>
        <w:t>) in the Netherlands. Provided that the center of main interest of Mylan II B.V. would deemed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be located in the Netherlands, or outside of any member state of the EU (except Denmark), proceedings by or against Mylan II B.V. may be based on Dutch insolvency laws. Dutch insolvency laws may also be applicable to secondary or territorial proceedings under the EC Regulation 2015/848 of the European Parliament and of the Council of 20 May 2015 on Insolvency Proceedings (recast) (the “Insolvency Regulation”). Under the Insolvency Regulation creditors are entitled to seek opening of secondary or territorial liquidation proceedings in each member state of the EU (except Denmark) where a company has an establishment,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center of main interest is deemed not to be in the Netherlands or another member state of the EU (except Denmark) the insolvency regulation may not be applicable. In other jurisdictions, provision is made for similar ancillary proceedings. Secondary or territorial proceedings under the Insolvency Regulation or similar ancillary proceedings will to a certain extent be based upon the insolvency laws of such foreign jurisdictions and will be limited to the assets of the debtor located in such foreign jurisdiction.</w:t>
      </w:r>
    </w:p>
    <w:p>
      <w:pPr>
        <w:spacing w:after="0" w:line="71" w:lineRule="exact"/>
        <w:rPr>
          <w:sz w:val="20"/>
          <w:szCs w:val="20"/>
          <w:color w:val="auto"/>
        </w:rPr>
      </w:pPr>
    </w:p>
    <w:p>
      <w:pPr>
        <w:jc w:val="both"/>
        <w:ind w:left="700" w:right="719"/>
        <w:spacing w:after="0" w:line="258" w:lineRule="auto"/>
        <w:rPr>
          <w:sz w:val="20"/>
          <w:szCs w:val="20"/>
          <w:color w:val="auto"/>
        </w:rPr>
      </w:pPr>
      <w:r>
        <w:rPr>
          <w:rFonts w:ascii="Times New Roman" w:cs="Times New Roman" w:eastAsia="Times New Roman" w:hAnsi="Times New Roman"/>
          <w:sz w:val="16"/>
          <w:szCs w:val="16"/>
          <w:color w:val="auto"/>
        </w:rPr>
        <w:t>Dutch insolvency law differs significantly from insolvency proceedings in the United States and may make it more difficult for holders of the notes to recover the amount they would normally expect to recover in liquidation or bankruptcy proceedings in the United States. There are two primary insolvency regimes under Dutch law in respect of legal entities. The first, moratorium of payments (</w:t>
      </w:r>
      <w:r>
        <w:rPr>
          <w:rFonts w:ascii="Times New Roman" w:cs="Times New Roman" w:eastAsia="Times New Roman" w:hAnsi="Times New Roman"/>
          <w:sz w:val="16"/>
          <w:szCs w:val="16"/>
          <w:i w:val="1"/>
          <w:iCs w:val="1"/>
          <w:color w:val="auto"/>
        </w:rPr>
        <w:t>surseance van betaling</w:t>
      </w:r>
      <w:r>
        <w:rPr>
          <w:rFonts w:ascii="Times New Roman" w:cs="Times New Roman" w:eastAsia="Times New Roman" w:hAnsi="Times New Roman"/>
          <w:sz w:val="16"/>
          <w:szCs w:val="16"/>
          <w:color w:val="auto"/>
        </w:rPr>
        <w:t>), is intended to facilitate the reorganization of a debtor’s indebtedness and enable the debtor to continue as a going concern. The second, bankruptcy (</w:t>
      </w:r>
      <w:r>
        <w:rPr>
          <w:rFonts w:ascii="Times New Roman" w:cs="Times New Roman" w:eastAsia="Times New Roman" w:hAnsi="Times New Roman"/>
          <w:sz w:val="16"/>
          <w:szCs w:val="16"/>
          <w:i w:val="1"/>
          <w:iCs w:val="1"/>
          <w:color w:val="auto"/>
        </w:rPr>
        <w:t>faillissement</w:t>
      </w:r>
      <w:r>
        <w:rPr>
          <w:rFonts w:ascii="Times New Roman" w:cs="Times New Roman" w:eastAsia="Times New Roman" w:hAnsi="Times New Roman"/>
          <w:sz w:val="16"/>
          <w:szCs w:val="16"/>
          <w:color w:val="auto"/>
        </w:rPr>
        <w:t>), is primarily designed to liquidate and distribute the proceeds of the assets of a debtor to its creditors. In practice, bankruptcy proceedings may also be used to sell the business, or part of the business, as a going concern. Both insolvency regimes are set forth in the Dutch Bankruptcy Act (</w:t>
      </w:r>
      <w:r>
        <w:rPr>
          <w:rFonts w:ascii="Times New Roman" w:cs="Times New Roman" w:eastAsia="Times New Roman" w:hAnsi="Times New Roman"/>
          <w:sz w:val="16"/>
          <w:szCs w:val="16"/>
          <w:i w:val="1"/>
          <w:iCs w:val="1"/>
          <w:color w:val="auto"/>
        </w:rPr>
        <w:t>Faillissementswet</w:t>
      </w:r>
      <w:r>
        <w:rPr>
          <w:rFonts w:ascii="Times New Roman" w:cs="Times New Roman" w:eastAsia="Times New Roman" w:hAnsi="Times New Roman"/>
          <w:sz w:val="16"/>
          <w:szCs w:val="16"/>
          <w:color w:val="auto"/>
        </w:rPr>
        <w:t>). A general description of the principles of both insolvency regimes is set out below.</w:t>
      </w:r>
    </w:p>
    <w:p>
      <w:pPr>
        <w:spacing w:after="0" w:line="71" w:lineRule="exact"/>
        <w:rPr>
          <w:sz w:val="20"/>
          <w:szCs w:val="20"/>
          <w:color w:val="auto"/>
        </w:rPr>
      </w:pPr>
    </w:p>
    <w:p>
      <w:pPr>
        <w:jc w:val="both"/>
        <w:ind w:left="700" w:right="719"/>
        <w:spacing w:after="0" w:line="256" w:lineRule="auto"/>
        <w:rPr>
          <w:sz w:val="20"/>
          <w:szCs w:val="20"/>
          <w:color w:val="auto"/>
        </w:rPr>
      </w:pPr>
      <w:r>
        <w:rPr>
          <w:rFonts w:ascii="Times New Roman" w:cs="Times New Roman" w:eastAsia="Times New Roman" w:hAnsi="Times New Roman"/>
          <w:sz w:val="16"/>
          <w:szCs w:val="16"/>
          <w:color w:val="auto"/>
        </w:rPr>
        <w:t>An application for a moratorium of payments can only be made by the debtor itself and on the ground that the debtor foresees to be unable to continue payments when they fall due. A moratorium could be used as a defense by the debtor against a bankruptcy application by a creditor. Once the request for a moratorium of payments is filed the court will immediately (</w:t>
      </w:r>
      <w:r>
        <w:rPr>
          <w:rFonts w:ascii="Times New Roman" w:cs="Times New Roman" w:eastAsia="Times New Roman" w:hAnsi="Times New Roman"/>
          <w:sz w:val="16"/>
          <w:szCs w:val="16"/>
          <w:i w:val="1"/>
          <w:iCs w:val="1"/>
          <w:color w:val="auto"/>
        </w:rPr>
        <w:t>dadelijk</w:t>
      </w:r>
      <w:r>
        <w:rPr>
          <w:rFonts w:ascii="Times New Roman" w:cs="Times New Roman" w:eastAsia="Times New Roman" w:hAnsi="Times New Roman"/>
          <w:sz w:val="16"/>
          <w:szCs w:val="16"/>
          <w:color w:val="auto"/>
        </w:rPr>
        <w:t>) grant a provisional moratorium and appoint at least one administrator (</w:t>
      </w:r>
      <w:r>
        <w:rPr>
          <w:rFonts w:ascii="Times New Roman" w:cs="Times New Roman" w:eastAsia="Times New Roman" w:hAnsi="Times New Roman"/>
          <w:sz w:val="16"/>
          <w:szCs w:val="16"/>
          <w:i w:val="1"/>
          <w:iCs w:val="1"/>
          <w:color w:val="auto"/>
        </w:rPr>
        <w:t>bewindvoerder</w:t>
      </w:r>
      <w:r>
        <w:rPr>
          <w:rFonts w:ascii="Times New Roman" w:cs="Times New Roman" w:eastAsia="Times New Roman" w:hAnsi="Times New Roman"/>
          <w:sz w:val="16"/>
          <w:szCs w:val="16"/>
          <w:color w:val="auto"/>
        </w:rPr>
        <w:t>) of the debtor’s estate. A court hearing of, among others, creditors is required to decide on the definitive moratorium. If a draft composition (</w:t>
      </w:r>
      <w:r>
        <w:rPr>
          <w:rFonts w:ascii="Times New Roman" w:cs="Times New Roman" w:eastAsia="Times New Roman" w:hAnsi="Times New Roman"/>
          <w:sz w:val="16"/>
          <w:szCs w:val="16"/>
          <w:i w:val="1"/>
          <w:iCs w:val="1"/>
          <w:color w:val="auto"/>
        </w:rPr>
        <w:t>ontwerp akkoord</w:t>
      </w:r>
      <w:r>
        <w:rPr>
          <w:rFonts w:ascii="Times New Roman" w:cs="Times New Roman" w:eastAsia="Times New Roman" w:hAnsi="Times New Roman"/>
          <w:sz w:val="16"/>
          <w:szCs w:val="16"/>
          <w:color w:val="auto"/>
        </w:rPr>
        <w:t>) is filed simultaneously with the application for moratorium of payments, the court can order that the composition will be processed before a decision about a definitive moratorium. If the composition is accepted by the creditors and subsequently irrevocably confirmed by the court (</w:t>
      </w:r>
      <w:r>
        <w:rPr>
          <w:rFonts w:ascii="Times New Roman" w:cs="Times New Roman" w:eastAsia="Times New Roman" w:hAnsi="Times New Roman"/>
          <w:sz w:val="16"/>
          <w:szCs w:val="16"/>
          <w:i w:val="1"/>
          <w:iCs w:val="1"/>
          <w:color w:val="auto"/>
        </w:rPr>
        <w:t>gehomologeerd</w:t>
      </w:r>
      <w:r>
        <w:rPr>
          <w:rFonts w:ascii="Times New Roman" w:cs="Times New Roman" w:eastAsia="Times New Roman" w:hAnsi="Times New Roman"/>
          <w:sz w:val="16"/>
          <w:szCs w:val="16"/>
          <w:color w:val="auto"/>
        </w:rPr>
        <w:t>), the provisional moratorium ends. The definitive moratorium will generally be granted unless</w:t>
      </w:r>
    </w:p>
    <w:p>
      <w:pPr>
        <w:spacing w:after="0" w:line="3" w:lineRule="exact"/>
        <w:rPr>
          <w:sz w:val="20"/>
          <w:szCs w:val="20"/>
          <w:color w:val="auto"/>
        </w:rPr>
      </w:pPr>
    </w:p>
    <w:p>
      <w:pPr>
        <w:jc w:val="both"/>
        <w:ind w:left="700" w:right="719" w:firstLine="4"/>
        <w:spacing w:after="0" w:line="254" w:lineRule="auto"/>
        <w:tabs>
          <w:tab w:leader="none" w:pos="90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qualified minority (more than one-quarter in amount of claims held by creditors represented at the creditors’ meeting or more than one-third in number of creditors represented at such creditors’ meeting) of the unsecured non-preferential creditors withholds its consent or (ii) there is a valid fear that the debtor will try to prejudice the creditors during a suspension of payments or if there is no prospect that the debtor will be able to satisfy its creditors in the (near) future. The moratorium of payments is only effective with regard to unsecured non-preferential creditors. Unlike Chapter 11 proceedings under United States bankruptcy law, during which both secured and unsecured creditors are generally barred from seeking to recover on their claims during a moratorium of payments, under Dutch law, secured and preferential creditors (including, among other parties, tax and social security authorities) may enforce their rights against assets of the company in moratorium of payments to satisfy their claims as if there were no moratorium of payments. A recovery under Dutch law could, therefore, involve a sale of assets that does not reflect the going concern value of the debtor. However, the court may order a freeze (</w:t>
      </w:r>
      <w:r>
        <w:rPr>
          <w:rFonts w:ascii="Times New Roman" w:cs="Times New Roman" w:eastAsia="Times New Roman" w:hAnsi="Times New Roman"/>
          <w:sz w:val="16"/>
          <w:szCs w:val="16"/>
          <w:i w:val="1"/>
          <w:iCs w:val="1"/>
          <w:color w:val="auto"/>
        </w:rPr>
        <w:t>afkoelingsperiode</w:t>
      </w:r>
      <w:r>
        <w:rPr>
          <w:rFonts w:ascii="Times New Roman" w:cs="Times New Roman" w:eastAsia="Times New Roman" w:hAnsi="Times New Roman"/>
          <w:sz w:val="16"/>
          <w:szCs w:val="16"/>
          <w:color w:val="auto"/>
        </w:rPr>
        <w:t>) for a maximum period of four months during which enforcement actions by secured or preferential creditors are barred. In a moratorium of payments, whether definitive or temporary, a composition (</w:t>
      </w:r>
      <w:r>
        <w:rPr>
          <w:rFonts w:ascii="Times New Roman" w:cs="Times New Roman" w:eastAsia="Times New Roman" w:hAnsi="Times New Roman"/>
          <w:sz w:val="16"/>
          <w:szCs w:val="16"/>
          <w:i w:val="1"/>
          <w:iCs w:val="1"/>
          <w:color w:val="auto"/>
        </w:rPr>
        <w:t>akkoord</w:t>
      </w:r>
      <w:r>
        <w:rPr>
          <w:rFonts w:ascii="Times New Roman" w:cs="Times New Roman" w:eastAsia="Times New Roman" w:hAnsi="Times New Roman"/>
          <w:sz w:val="16"/>
          <w:szCs w:val="16"/>
          <w:color w:val="auto"/>
        </w:rPr>
        <w:t>) may be offered to creditors. A composition will be binding on all unsecured and non-preferential creditors if it is (i) approved by a simple majority of the meeting of the recognized and of the admitted creditors representing at least 50% of the amount of the recognized and of the admitted claims, and (ii) subsequently irrevocably ratified (</w:t>
      </w:r>
      <w:r>
        <w:rPr>
          <w:rFonts w:ascii="Times New Roman" w:cs="Times New Roman" w:eastAsia="Times New Roman" w:hAnsi="Times New Roman"/>
          <w:sz w:val="16"/>
          <w:szCs w:val="16"/>
          <w:i w:val="1"/>
          <w:iCs w:val="1"/>
          <w:color w:val="auto"/>
        </w:rPr>
        <w:t>gehomologeerd</w:t>
      </w:r>
      <w:r>
        <w:rPr>
          <w:rFonts w:ascii="Times New Roman" w:cs="Times New Roman" w:eastAsia="Times New Roman" w:hAnsi="Times New Roman"/>
          <w:sz w:val="16"/>
          <w:szCs w:val="16"/>
          <w:color w:val="auto"/>
        </w:rPr>
        <w:t>) by the court. Even if the composition is not accepted by the creditors, the composition may still be accepted by a Dutch district court or, if appointed, the supervisory judge if (i) three-fourths of the admitted and recognized ordinary creditors present at the creditor’s meeting voted in favor of the composition and (ii) the non-acceptance of the composition during the creditor’s meeting is the consequence of a vote against the composition by one or more creditors who, taking into consideration all relevant circumstances, in particular the percentage that such creditor(s) would receive in case of a bankruptcy of</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39" w:name="page40"/>
    <w:bookmarkEnd w:id="39"/>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2" w:lineRule="exact"/>
        <w:rPr>
          <w:sz w:val="20"/>
          <w:szCs w:val="20"/>
          <w:color w:val="auto"/>
        </w:rPr>
      </w:pPr>
    </w:p>
    <w:p>
      <w:pPr>
        <w:jc w:val="both"/>
        <w:ind w:left="700" w:right="719"/>
        <w:spacing w:after="0" w:line="262" w:lineRule="auto"/>
        <w:rPr>
          <w:sz w:val="20"/>
          <w:szCs w:val="20"/>
          <w:color w:val="auto"/>
        </w:rPr>
      </w:pPr>
      <w:r>
        <w:rPr>
          <w:rFonts w:ascii="Times New Roman" w:cs="Times New Roman" w:eastAsia="Times New Roman" w:hAnsi="Times New Roman"/>
          <w:sz w:val="16"/>
          <w:szCs w:val="16"/>
          <w:color w:val="auto"/>
        </w:rPr>
        <w:t>the debtor, could not have come to the decision to vote against the composition if such creditor would have acted reasonably. Consequently, Dutch insolvency laws could preclude or inhibit the ability of the holders of the notes to effect a restructuring and could reduce the recovery of a holder of the notes in Netherlands moratorium of payments proceedings. Interest payments that fall due after the date on which a moratorium of payments is granted cannot be claimed in a composition.</w:t>
      </w:r>
    </w:p>
    <w:p>
      <w:pPr>
        <w:spacing w:after="0" w:line="67" w:lineRule="exact"/>
        <w:rPr>
          <w:sz w:val="20"/>
          <w:szCs w:val="20"/>
          <w:color w:val="auto"/>
        </w:rPr>
      </w:pPr>
    </w:p>
    <w:p>
      <w:pPr>
        <w:jc w:val="both"/>
        <w:ind w:left="700" w:right="719"/>
        <w:spacing w:after="0" w:line="255" w:lineRule="auto"/>
        <w:rPr>
          <w:sz w:val="20"/>
          <w:szCs w:val="20"/>
          <w:color w:val="auto"/>
        </w:rPr>
      </w:pPr>
      <w:r>
        <w:rPr>
          <w:rFonts w:ascii="Times New Roman" w:cs="Times New Roman" w:eastAsia="Times New Roman" w:hAnsi="Times New Roman"/>
          <w:sz w:val="16"/>
          <w:szCs w:val="16"/>
          <w:color w:val="auto"/>
        </w:rPr>
        <w:t>Under Dutch bankruptcy proceedings, the assets of a debtor are generally liquidated and the proceeds distributed to the debtor’s creditors in accordance with the respective rank and priority of their claims. As in moratorium of payments proceedings, the court may order a freeze for a maximum of four months during which enforcement actions by secured or preferential creditors are barred unless such creditors have obtained leave for enforcement from the supervisory judge. Note that any applicable freeze does not bar creditors of the bankrupt estate (</w:t>
      </w:r>
      <w:r>
        <w:rPr>
          <w:rFonts w:ascii="Times New Roman" w:cs="Times New Roman" w:eastAsia="Times New Roman" w:hAnsi="Times New Roman"/>
          <w:sz w:val="16"/>
          <w:szCs w:val="16"/>
          <w:i w:val="1"/>
          <w:iCs w:val="1"/>
          <w:color w:val="auto"/>
        </w:rPr>
        <w:t>boedelschuldeisers</w:t>
      </w:r>
      <w:r>
        <w:rPr>
          <w:rFonts w:ascii="Times New Roman" w:cs="Times New Roman" w:eastAsia="Times New Roman" w:hAnsi="Times New Roman"/>
          <w:sz w:val="16"/>
          <w:szCs w:val="16"/>
          <w:color w:val="auto"/>
        </w:rPr>
        <w:t>) to take enforcement actions against the bankrupt estate if and when a claim of such creditor has become due and payable. The claim of a creditor may be limited depending on the date the claim becomes due and payable in accordance with its terms. Generally, claims of the holders of the notes that were not due and payable by their terms on the date of a bankruptcy of the relevant guarantor will be accelerated and become due and payable as of that date. Each of these claims will have to be submitted to the receiver to be verified by the receiver in accordance with the applicable provisions of the Dutch Bankruptcy Act or a collective settlement agreement (if any) within the meaning of the Dutch Act on Collective Settlement of Mass Claims (</w:t>
      </w:r>
      <w:r>
        <w:rPr>
          <w:rFonts w:ascii="Times New Roman" w:cs="Times New Roman" w:eastAsia="Times New Roman" w:hAnsi="Times New Roman"/>
          <w:sz w:val="16"/>
          <w:szCs w:val="16"/>
          <w:i w:val="1"/>
          <w:iCs w:val="1"/>
          <w:color w:val="auto"/>
        </w:rPr>
        <w:t>Wet collectieve afwikkeling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massaschade</w:t>
      </w:r>
      <w:r>
        <w:rPr>
          <w:rFonts w:ascii="Times New Roman" w:cs="Times New Roman" w:eastAsia="Times New Roman" w:hAnsi="Times New Roman"/>
          <w:sz w:val="16"/>
          <w:szCs w:val="16"/>
          <w:color w:val="auto"/>
        </w:rPr>
        <w:t>). Verification under Dutch law means that the receiver takes a preliminary decision on the value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claim and whether and to what extent it will be admitted in the bankruptcy proceedings. The valuation of claims that otherwise would not have been payable at the time of the bankruptcy proceedings but only would have been payable on a date one year after the date of bankruptcy may be based on a net present value analysis or collective settlement agreement (if any). Interest payments that fall due after the date of the bankruptcy cannot be verified. The existence, value and ranking of any claims submitted by the holders of the notes may be challenged in the Dutch bankruptcy proceedings. Generally, in a creditors’ meeting (</w:t>
      </w:r>
      <w:r>
        <w:rPr>
          <w:rFonts w:ascii="Times New Roman" w:cs="Times New Roman" w:eastAsia="Times New Roman" w:hAnsi="Times New Roman"/>
          <w:sz w:val="16"/>
          <w:szCs w:val="16"/>
          <w:i w:val="1"/>
          <w:iCs w:val="1"/>
          <w:color w:val="auto"/>
        </w:rPr>
        <w:t>verificatievergadering</w:t>
      </w:r>
      <w:r>
        <w:rPr>
          <w:rFonts w:ascii="Times New Roman" w:cs="Times New Roman" w:eastAsia="Times New Roman" w:hAnsi="Times New Roman"/>
          <w:sz w:val="16"/>
          <w:szCs w:val="16"/>
          <w:color w:val="auto"/>
        </w:rPr>
        <w:t>), the receiver, the insolvent debtor and all verified creditors may dispute the verification of claims of other creditors. In order to qualify for a distribution in the liquidation, creditors whose claims or value thereof are disputed in the creditors meeting by others than the debtor may be referred to separate court proceedings (</w:t>
      </w:r>
      <w:r>
        <w:rPr>
          <w:rFonts w:ascii="Times New Roman" w:cs="Times New Roman" w:eastAsia="Times New Roman" w:hAnsi="Times New Roman"/>
          <w:sz w:val="16"/>
          <w:szCs w:val="16"/>
          <w:i w:val="1"/>
          <w:iCs w:val="1"/>
          <w:color w:val="auto"/>
        </w:rPr>
        <w:t>renvooiprocedure</w:t>
      </w:r>
      <w:r>
        <w:rPr>
          <w:rFonts w:ascii="Times New Roman" w:cs="Times New Roman" w:eastAsia="Times New Roman" w:hAnsi="Times New Roman"/>
          <w:sz w:val="16"/>
          <w:szCs w:val="16"/>
          <w:color w:val="auto"/>
        </w:rPr>
        <w:t xml:space="preserve">). These </w:t>
      </w:r>
      <w:r>
        <w:rPr>
          <w:rFonts w:ascii="Times New Roman" w:cs="Times New Roman" w:eastAsia="Times New Roman" w:hAnsi="Times New Roman"/>
          <w:sz w:val="16"/>
          <w:szCs w:val="16"/>
          <w:i w:val="1"/>
          <w:iCs w:val="1"/>
          <w:color w:val="auto"/>
        </w:rPr>
        <w:t>renvooi procedures</w:t>
      </w:r>
      <w:r>
        <w:rPr>
          <w:rFonts w:ascii="Times New Roman" w:cs="Times New Roman" w:eastAsia="Times New Roman" w:hAnsi="Times New Roman"/>
          <w:sz w:val="16"/>
          <w:szCs w:val="16"/>
          <w:color w:val="auto"/>
        </w:rPr>
        <w:t xml:space="preserve"> could cause holders of the notes to recover less than the percentage they would receive if their claim was fully acknowledged or less than they could recover in a United States liquidation. Such </w:t>
      </w:r>
      <w:r>
        <w:rPr>
          <w:rFonts w:ascii="Times New Roman" w:cs="Times New Roman" w:eastAsia="Times New Roman" w:hAnsi="Times New Roman"/>
          <w:sz w:val="16"/>
          <w:szCs w:val="16"/>
          <w:i w:val="1"/>
          <w:iCs w:val="1"/>
          <w:color w:val="auto"/>
        </w:rPr>
        <w:t>renvooi procedures</w:t>
      </w:r>
      <w:r>
        <w:rPr>
          <w:rFonts w:ascii="Times New Roman" w:cs="Times New Roman" w:eastAsia="Times New Roman" w:hAnsi="Times New Roman"/>
          <w:sz w:val="16"/>
          <w:szCs w:val="16"/>
          <w:color w:val="auto"/>
        </w:rPr>
        <w:t xml:space="preserve"> or proceedings for granting a collective settlement agreement binding effect could also cause payments to the holders of the notes to be delayed compared with holders of undisputed claims or where no such collective settlement agreement has been concluded. Further, and unless in certain cases if the receiver in bankruptcy concluded a collective settlement agreement in a bankruptcy, a composition may be offered to creditors, which shall be binding on unsecured non-preferential creditors if (i) it is approved by a simple majority of the meeting of unsecured non-preferential creditors with admitted and provisionally admitted claims, representing at least 50% of the total amount of the admitted and provisionally admitted unsecured non preferential claims, and (ii) subsequently irrevocably ratified (</w:t>
      </w:r>
      <w:r>
        <w:rPr>
          <w:rFonts w:ascii="Times New Roman" w:cs="Times New Roman" w:eastAsia="Times New Roman" w:hAnsi="Times New Roman"/>
          <w:sz w:val="16"/>
          <w:szCs w:val="16"/>
          <w:i w:val="1"/>
          <w:iCs w:val="1"/>
          <w:color w:val="auto"/>
        </w:rPr>
        <w:t>gehomologeerd</w:t>
      </w:r>
      <w:r>
        <w:rPr>
          <w:rFonts w:ascii="Times New Roman" w:cs="Times New Roman" w:eastAsia="Times New Roman" w:hAnsi="Times New Roman"/>
          <w:sz w:val="16"/>
          <w:szCs w:val="16"/>
          <w:color w:val="auto"/>
        </w:rPr>
        <w:t>) by the court. Even if the composition is not accepted by the creditors, the composition may still be accepted by the Dutch district court or, if appointed, the supervisory judge if (i) three-fourths of the admitted and (provisional) recognized ordinary creditors present at the creditor’s meeting voted in favor of the composition and (ii) the nonacceptance of the composition during the creditor’s meeting is the consequence of a vote against the composition of one or more creditors that, taking into consideration all relevant circumstances, in particular the percentage that such creditor(s) would receive in case of a bankruptcy of the debtor, could not have come to the decision to vote against the composition if such creditor would have acted reasonably. The Dutch Bankruptcy Act does not in itself recognize the concept of classes of creditors. Remaining amounts, if any, after satisfaction of the creditors of the bankruptcy estate, secured and the preferential creditors, are distributed among the unsecured non-preferential creditors, which will be satisfied on a pro rata basis. Contractual subordination may to a certain extent be given effect in Dutch insolvency proceedings. The actual effect depends largely on the way such subordination is construed.</w:t>
      </w:r>
    </w:p>
    <w:p>
      <w:pPr>
        <w:spacing w:after="0" w:line="69" w:lineRule="exact"/>
        <w:rPr>
          <w:sz w:val="20"/>
          <w:szCs w:val="20"/>
          <w:color w:val="auto"/>
        </w:rPr>
      </w:pPr>
    </w:p>
    <w:p>
      <w:pPr>
        <w:jc w:val="both"/>
        <w:ind w:left="700" w:right="719"/>
        <w:spacing w:after="0" w:line="259" w:lineRule="auto"/>
        <w:rPr>
          <w:sz w:val="20"/>
          <w:szCs w:val="20"/>
          <w:color w:val="auto"/>
        </w:rPr>
      </w:pPr>
      <w:r>
        <w:rPr>
          <w:rFonts w:ascii="Times New Roman" w:cs="Times New Roman" w:eastAsia="Times New Roman" w:hAnsi="Times New Roman"/>
          <w:sz w:val="16"/>
          <w:szCs w:val="16"/>
          <w:color w:val="auto"/>
        </w:rPr>
        <w:t>With the entry into force of the Act on Court Confirmation of Extrajudicial Restructuring Plans (</w:t>
      </w:r>
      <w:r>
        <w:rPr>
          <w:rFonts w:ascii="Times New Roman" w:cs="Times New Roman" w:eastAsia="Times New Roman" w:hAnsi="Times New Roman"/>
          <w:sz w:val="16"/>
          <w:szCs w:val="16"/>
          <w:i w:val="1"/>
          <w:iCs w:val="1"/>
          <w:color w:val="auto"/>
        </w:rPr>
        <w:t>Wet homologatie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onderhands akkoord</w:t>
      </w:r>
      <w:r>
        <w:rPr>
          <w:rFonts w:ascii="Times New Roman" w:cs="Times New Roman" w:eastAsia="Times New Roman" w:hAnsi="Times New Roman"/>
          <w:sz w:val="16"/>
          <w:szCs w:val="16"/>
          <w:color w:val="auto"/>
        </w:rPr>
        <w:t>) (“WHOA”) on January 1, 2021, debtors now have the possibility to offer a composition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outside of formal insolvency proceedings. The WHOA is inspired on the UK Scheme of Arrangements and the U.S. Chapter 11 procedure and it offers debtors additional possibilities to restructure their debt. Unlike a composition in suspension of payments and in bankruptcy proceedings, a composition under the WHOA can be offered to secured creditors as well as shareholders. Under the WHOA, proceedings can be opened for companies in financial distress, where the debtor stays in possession and can offer a composition plan to its creditors (including secured creditors and</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40" w:name="page41"/>
    <w:bookmarkEnd w:id="40"/>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2" w:lineRule="exact"/>
        <w:rPr>
          <w:sz w:val="20"/>
          <w:szCs w:val="20"/>
          <w:color w:val="auto"/>
        </w:rPr>
      </w:pPr>
    </w:p>
    <w:p>
      <w:pPr>
        <w:jc w:val="both"/>
        <w:ind w:left="700" w:right="719"/>
        <w:spacing w:after="0" w:line="256" w:lineRule="auto"/>
        <w:rPr>
          <w:sz w:val="20"/>
          <w:szCs w:val="20"/>
          <w:color w:val="auto"/>
        </w:rPr>
      </w:pPr>
      <w:r>
        <w:rPr>
          <w:rFonts w:ascii="Times New Roman" w:cs="Times New Roman" w:eastAsia="Times New Roman" w:hAnsi="Times New Roman"/>
          <w:sz w:val="16"/>
          <w:szCs w:val="16"/>
          <w:color w:val="auto"/>
        </w:rPr>
        <w:t>shareholders), whereby the creditors will be divided into separate classes. The WHOA also allows that group companies providing guarantees for the debtor’s obligations are included in the plan, if (i) the relevant group companies are reasonably expected to be unable to pay their debts as they fall due, (ii) they have agreed to the proposed restructuring plan insofar as it concerns their obligations and (iii) the court has jurisdiction over the relevant group companies. Under the WHOA, a debtor may offer its creditors a composition plan which may also entail a revision or release of the guarantees in place granted by group companies. It may well be that claims against Mylan II B.V. can be compromised as a result of a composition if the relevant majority of creditors within a class vote in favor of such a composition. In addition, the WHOA provides for the possibility of the composition plan to be binding on a dissenting class, i.e. cross-class cram downs. Under the WHOA, the court will confirm a composition plan if at least one class of creditors (other than a class of shareholders) that can be expected to receive a distribution in case of a bankruptcy of the debtor approves the plan, unless there is a statutory ground for refusal. The WHOA can provide for restructurings that stretch beyond Dutch borders. The WHOA will provide debtors with an option, at the beginning of the process, to choose whether the restructuring plan will be “public” or “private”. A public restructuring plan is automatically recognized under the Insolvency Regulation. A private restructuring is not, but may possibly be subject to recognition in other (EU as well as non-EU) jurisdictions on the basis of their own private international laws.</w:t>
      </w:r>
    </w:p>
    <w:p>
      <w:pPr>
        <w:spacing w:after="0" w:line="271" w:lineRule="exact"/>
        <w:rPr>
          <w:sz w:val="20"/>
          <w:szCs w:val="20"/>
          <w:color w:val="auto"/>
        </w:rPr>
      </w:pPr>
    </w:p>
    <w:p>
      <w:pPr>
        <w:jc w:val="both"/>
        <w:ind w:left="700" w:right="719"/>
        <w:spacing w:after="0" w:line="258" w:lineRule="auto"/>
        <w:rPr>
          <w:sz w:val="20"/>
          <w:szCs w:val="20"/>
          <w:color w:val="auto"/>
        </w:rPr>
      </w:pPr>
      <w:r>
        <w:rPr>
          <w:rFonts w:ascii="Times New Roman" w:cs="Times New Roman" w:eastAsia="Times New Roman" w:hAnsi="Times New Roman"/>
          <w:sz w:val="16"/>
          <w:szCs w:val="16"/>
          <w:color w:val="auto"/>
        </w:rPr>
        <w:t>Set-off is allowed prior to the bankruptcy, although a set-off prior to bankruptcy may be subject to clawback in the case of fraudulent conveyance or bad faith in obtaining the claim used for set-off. Also, payments made prior to the bankruptcy order may be avoided in Dutch insolvency proceedings. Voluntary (</w:t>
      </w:r>
      <w:r>
        <w:rPr>
          <w:rFonts w:ascii="Times New Roman" w:cs="Times New Roman" w:eastAsia="Times New Roman" w:hAnsi="Times New Roman"/>
          <w:sz w:val="16"/>
          <w:szCs w:val="16"/>
          <w:i w:val="1"/>
          <w:iCs w:val="1"/>
          <w:color w:val="auto"/>
        </w:rPr>
        <w:t>onverplichte</w:t>
      </w:r>
      <w:r>
        <w:rPr>
          <w:rFonts w:ascii="Times New Roman" w:cs="Times New Roman" w:eastAsia="Times New Roman" w:hAnsi="Times New Roman"/>
          <w:sz w:val="16"/>
          <w:szCs w:val="16"/>
          <w:color w:val="auto"/>
        </w:rPr>
        <w:t>) payments made by the debtor can be avoided if the debtor knew or should have known at the moment of payment that the creditors would be prejudiced. In case of bankruptcy, knowledge exists where the parties could foresee the bankruptcy of the debtor with a reasonable amount of probability. Even payments made that were due and payable can be avoided if (i) the payee (</w:t>
      </w:r>
      <w:r>
        <w:rPr>
          <w:rFonts w:ascii="Times New Roman" w:cs="Times New Roman" w:eastAsia="Times New Roman" w:hAnsi="Times New Roman"/>
          <w:sz w:val="16"/>
          <w:szCs w:val="16"/>
          <w:i w:val="1"/>
          <w:iCs w:val="1"/>
          <w:color w:val="auto"/>
        </w:rPr>
        <w:t>hij die betaling ontving</w:t>
      </w:r>
      <w:r>
        <w:rPr>
          <w:rFonts w:ascii="Times New Roman" w:cs="Times New Roman" w:eastAsia="Times New Roman" w:hAnsi="Times New Roman"/>
          <w:sz w:val="16"/>
          <w:szCs w:val="16"/>
          <w:color w:val="auto"/>
        </w:rPr>
        <w:t>) knew that the application for bankruptcy of the debtor was filed at the moment of payment or (ii) the debtor and the payee engaged in this payment in a conspiracy in order to prejudice other creditors.</w:t>
      </w:r>
    </w:p>
    <w:p>
      <w:pPr>
        <w:spacing w:after="0" w:line="269" w:lineRule="exact"/>
        <w:rPr>
          <w:sz w:val="20"/>
          <w:szCs w:val="20"/>
          <w:color w:val="auto"/>
        </w:rPr>
      </w:pPr>
    </w:p>
    <w:p>
      <w:pPr>
        <w:jc w:val="both"/>
        <w:ind w:left="700" w:right="719"/>
        <w:spacing w:after="0" w:line="258" w:lineRule="auto"/>
        <w:rPr>
          <w:sz w:val="20"/>
          <w:szCs w:val="20"/>
          <w:color w:val="auto"/>
        </w:rPr>
      </w:pPr>
      <w:r>
        <w:rPr>
          <w:rFonts w:ascii="Times New Roman" w:cs="Times New Roman" w:eastAsia="Times New Roman" w:hAnsi="Times New Roman"/>
          <w:sz w:val="16"/>
          <w:szCs w:val="16"/>
          <w:color w:val="auto"/>
        </w:rPr>
        <w:t>Under Dutch law, as soon as a debtor is declared bankrupt, all pending executions of judgments against such debtor, as well as all attachments on the debtor’s assets (other than with respect to secured creditors and certain other creditors, as described above), will be terminated by operation of law. The opening of bankruptcy proceedings and the granting of suspension of payments will have retroactive effect until 0:00h of the day that the debtor is declared bankrupt or suspension of payments is (provisionally) granted, respectively. Simultaneously with the opening of the bankruptcy, a Dutch receiver will be appointed. The proceeds resulting from the liquidation of the bankrupt estate may not be sufficient to satisfy unsecured creditors under the guarantees granted by a bankrupt guarantor after the secured and the preferential creditors have been satisfied. Litigation pending on the date of the bankruptcy order is automatically stayed.</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41" w:name="page42"/>
    <w:bookmarkEnd w:id="41"/>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INFORMATION NOT REQUIRED IN PROSPECTUS</w:t>
      </w:r>
    </w:p>
    <w:p>
      <w:pPr>
        <w:spacing w:after="0" w:line="186" w:lineRule="exact"/>
        <w:rPr>
          <w:sz w:val="20"/>
          <w:szCs w:val="20"/>
          <w:color w:val="auto"/>
        </w:rPr>
      </w:pPr>
    </w:p>
    <w:p>
      <w:pPr>
        <w:ind w:left="700"/>
        <w:spacing w:after="0"/>
        <w:tabs>
          <w:tab w:leader="none" w:pos="1480" w:val="left"/>
        </w:tabs>
        <w:rPr>
          <w:sz w:val="20"/>
          <w:szCs w:val="20"/>
          <w:color w:val="auto"/>
        </w:rPr>
      </w:pPr>
      <w:r>
        <w:rPr>
          <w:rFonts w:ascii="Times New Roman" w:cs="Times New Roman" w:eastAsia="Times New Roman" w:hAnsi="Times New Roman"/>
          <w:sz w:val="16"/>
          <w:szCs w:val="16"/>
          <w:b w:val="1"/>
          <w:bCs w:val="1"/>
          <w:color w:val="auto"/>
        </w:rPr>
        <w:t>Item 14.</w:t>
      </w:r>
      <w:r>
        <w:rPr>
          <w:sz w:val="20"/>
          <w:szCs w:val="20"/>
          <w:color w:val="auto"/>
        </w:rPr>
        <w:tab/>
      </w:r>
      <w:r>
        <w:rPr>
          <w:rFonts w:ascii="Times New Roman" w:cs="Times New Roman" w:eastAsia="Times New Roman" w:hAnsi="Times New Roman"/>
          <w:sz w:val="16"/>
          <w:szCs w:val="16"/>
          <w:b w:val="1"/>
          <w:bCs w:val="1"/>
          <w:i w:val="1"/>
          <w:iCs w:val="1"/>
          <w:color w:val="auto"/>
        </w:rPr>
        <w:t>Other Expenses of Issuance and Distribution</w:t>
      </w:r>
    </w:p>
    <w:p>
      <w:pPr>
        <w:spacing w:after="0" w:line="112" w:lineRule="exact"/>
        <w:rPr>
          <w:sz w:val="20"/>
          <w:szCs w:val="20"/>
          <w:color w:val="auto"/>
        </w:rPr>
      </w:pPr>
    </w:p>
    <w:p>
      <w:pPr>
        <w:jc w:val="both"/>
        <w:ind w:left="700" w:right="719"/>
        <w:spacing w:after="0" w:line="271" w:lineRule="auto"/>
        <w:rPr>
          <w:sz w:val="20"/>
          <w:szCs w:val="20"/>
          <w:color w:val="auto"/>
        </w:rPr>
      </w:pPr>
      <w:r>
        <w:rPr>
          <w:rFonts w:ascii="Times New Roman" w:cs="Times New Roman" w:eastAsia="Times New Roman" w:hAnsi="Times New Roman"/>
          <w:sz w:val="16"/>
          <w:szCs w:val="16"/>
          <w:color w:val="auto"/>
        </w:rPr>
        <w:t>The following table sets forth the estimated costs and expenses, other than underwriting discounts and commissions, payable by us in connection with the issuance and distribution of the securities being registered under this registration statement.</w:t>
      </w:r>
    </w:p>
    <w:p>
      <w:pPr>
        <w:spacing w:after="0" w:line="187"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6540" w:type="dxa"/>
            <w:vAlign w:val="bottom"/>
          </w:tcPr>
          <w:p>
            <w:pPr>
              <w:spacing w:after="0"/>
              <w:rPr>
                <w:sz w:val="14"/>
                <w:szCs w:val="14"/>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7"/>
              </w:rPr>
              <w:t>Amount to be Paid</w:t>
            </w:r>
          </w:p>
        </w:tc>
      </w:tr>
      <w:tr>
        <w:trPr>
          <w:trHeight w:val="23"/>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24"/>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 registration fee</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r>
      <w:tr>
        <w:trPr>
          <w:trHeight w:val="211"/>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Legal fees and expenses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8"/>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Rating agency fees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Accounting fees and expenses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8"/>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 agent and registrar fees and expenses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Trustee fees and expenses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8"/>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exchange listing fees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Printing costs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Miscellaneous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9"/>
        </w:trPr>
        <w:tc>
          <w:tcPr>
            <w:tcW w:w="65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31"/>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131445</wp:posOffset>
            </wp:positionV>
            <wp:extent cx="74231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42315" cy="7620"/>
                    </a:xfrm>
                    <a:prstGeom prst="rect">
                      <a:avLst/>
                    </a:prstGeom>
                    <a:noFill/>
                  </pic:spPr>
                </pic:pic>
              </a:graphicData>
            </a:graphic>
          </wp:anchor>
        </w:drawing>
      </w:r>
    </w:p>
    <w:p>
      <w:pPr>
        <w:spacing w:after="0" w:line="228" w:lineRule="exact"/>
        <w:rPr>
          <w:sz w:val="20"/>
          <w:szCs w:val="20"/>
          <w:color w:val="auto"/>
        </w:rPr>
      </w:pPr>
    </w:p>
    <w:p>
      <w:pPr>
        <w:jc w:val="both"/>
        <w:ind w:left="1020" w:right="719" w:hanging="316"/>
        <w:spacing w:after="0" w:line="233" w:lineRule="auto"/>
        <w:tabs>
          <w:tab w:leader="none" w:pos="10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Rules 456(b) and 457(r) of the Securities Act of 1933, as amended (the “Securities Act”), applicable U.S. Securities and Exchange Commission (the “SEC”) registration fees have been deferred and will be paid at the time of any particular offering of securities under this registration statement, and are therefore not estimable at this time.</w:t>
      </w:r>
    </w:p>
    <w:p>
      <w:pPr>
        <w:spacing w:after="0" w:line="15" w:lineRule="exact"/>
        <w:rPr>
          <w:sz w:val="20"/>
          <w:szCs w:val="20"/>
          <w:color w:val="auto"/>
        </w:rPr>
      </w:pPr>
    </w:p>
    <w:p>
      <w:pPr>
        <w:jc w:val="both"/>
        <w:ind w:left="1020" w:right="719" w:hanging="316"/>
        <w:spacing w:after="0" w:line="233" w:lineRule="auto"/>
        <w:tabs>
          <w:tab w:leader="none" w:pos="10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Because an indeterminate amount of securities is covered by this registration statement, the expenses in connection with the issuance and distribution of the securities are not currently determinable. An estimate of the aggregate amount of these expenses will be reflected in the applicable prospectus supplement or free writing prospectus.</w:t>
      </w:r>
    </w:p>
    <w:p>
      <w:pPr>
        <w:spacing w:after="0" w:line="161" w:lineRule="exact"/>
        <w:rPr>
          <w:sz w:val="20"/>
          <w:szCs w:val="20"/>
          <w:color w:val="auto"/>
        </w:rPr>
      </w:pPr>
    </w:p>
    <w:p>
      <w:pPr>
        <w:ind w:left="700"/>
        <w:spacing w:after="0"/>
        <w:tabs>
          <w:tab w:leader="none" w:pos="1480" w:val="left"/>
        </w:tabs>
        <w:rPr>
          <w:sz w:val="20"/>
          <w:szCs w:val="20"/>
          <w:color w:val="auto"/>
        </w:rPr>
      </w:pPr>
      <w:r>
        <w:rPr>
          <w:rFonts w:ascii="Times New Roman" w:cs="Times New Roman" w:eastAsia="Times New Roman" w:hAnsi="Times New Roman"/>
          <w:sz w:val="16"/>
          <w:szCs w:val="16"/>
          <w:b w:val="1"/>
          <w:bCs w:val="1"/>
          <w:color w:val="auto"/>
        </w:rPr>
        <w:t>Item 15.</w:t>
      </w:r>
      <w:r>
        <w:rPr>
          <w:sz w:val="20"/>
          <w:szCs w:val="20"/>
          <w:color w:val="auto"/>
        </w:rPr>
        <w:tab/>
      </w:r>
      <w:r>
        <w:rPr>
          <w:rFonts w:ascii="Times New Roman" w:cs="Times New Roman" w:eastAsia="Times New Roman" w:hAnsi="Times New Roman"/>
          <w:sz w:val="16"/>
          <w:szCs w:val="16"/>
          <w:b w:val="1"/>
          <w:bCs w:val="1"/>
          <w:i w:val="1"/>
          <w:iCs w:val="1"/>
          <w:color w:val="auto"/>
        </w:rPr>
        <w:t>Indemnification of Directors and Officers</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Delaware Registrants</w:t>
      </w:r>
    </w:p>
    <w:p>
      <w:pPr>
        <w:spacing w:after="0" w:line="1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Viatris Inc. and Utah Acquisition Sub Inc. are Delaware corporations.</w:t>
      </w:r>
    </w:p>
    <w:p>
      <w:pPr>
        <w:spacing w:after="0" w:line="108" w:lineRule="exact"/>
        <w:rPr>
          <w:sz w:val="20"/>
          <w:szCs w:val="20"/>
          <w:color w:val="auto"/>
        </w:rPr>
      </w:pPr>
    </w:p>
    <w:p>
      <w:pPr>
        <w:jc w:val="both"/>
        <w:ind w:left="700" w:right="719"/>
        <w:spacing w:after="0" w:line="256" w:lineRule="auto"/>
        <w:rPr>
          <w:sz w:val="20"/>
          <w:szCs w:val="20"/>
          <w:color w:val="auto"/>
        </w:rPr>
      </w:pPr>
      <w:r>
        <w:rPr>
          <w:rFonts w:ascii="Times New Roman" w:cs="Times New Roman" w:eastAsia="Times New Roman" w:hAnsi="Times New Roman"/>
          <w:sz w:val="16"/>
          <w:szCs w:val="16"/>
          <w:color w:val="auto"/>
        </w:rPr>
        <w:t>Section 145 of the Delaware General Corporation Law (the “DGCL”) permits a corporation to indemnify any person who is or has been a director, officer, employee or agent of the corporation or who is or has been serving as director, officer, employee or agent of another corporation, partnership, joint venture, trust or other enterprise at the request of the corporation, against expenses (including, but not limited to, attorneys’ fees and disbursements and amounts paid in settlement or in satisfaction of judgments or as fines or penalties) actually and reasonably incurred in connection with any such action, suit or proceeding, whether civil, criminal, administrative or investigative, in which such person may be involved by reason of the fact that such person served or is serving in these capacities, if such person acted in good faith and in a manner such person reasonably believed to be in or not opposed to the best interest of the corporation and, with respect to any criminal action or proceeding, had no cause to believe such person’s conduct was unlawful. In the case of an action, suit or proceeding made or brought by or in the right of the corporation to procure a judgment in its favor, the corporation shall not indemnify such person in respect of any claim, issue or matter as to which such person has been adjudged to be liable to the corporation, except for such expenses as the court may allow. Any such person who has been wholly successful on the merits or otherwise with respect to any such action, suit or proceeding or with respect to any such claim, issue or matter therein, shall be indemnified against all expenses actually and reasonably incurred in connection therewith.</w:t>
      </w:r>
    </w:p>
    <w:p>
      <w:pPr>
        <w:spacing w:after="0" w:line="77" w:lineRule="exact"/>
        <w:rPr>
          <w:sz w:val="20"/>
          <w:szCs w:val="20"/>
          <w:color w:val="auto"/>
        </w:rPr>
      </w:pPr>
    </w:p>
    <w:p>
      <w:pPr>
        <w:jc w:val="both"/>
        <w:ind w:left="700" w:right="719"/>
        <w:spacing w:after="0" w:line="259" w:lineRule="auto"/>
        <w:rPr>
          <w:sz w:val="20"/>
          <w:szCs w:val="20"/>
          <w:color w:val="auto"/>
        </w:rPr>
      </w:pPr>
      <w:r>
        <w:rPr>
          <w:rFonts w:ascii="Times New Roman" w:cs="Times New Roman" w:eastAsia="Times New Roman" w:hAnsi="Times New Roman"/>
          <w:sz w:val="16"/>
          <w:szCs w:val="16"/>
          <w:color w:val="auto"/>
        </w:rPr>
        <w:t>Section 102(b)(7) of the DGCL provides that a corporation may eliminate or limit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118110</wp:posOffset>
            </wp:positionV>
            <wp:extent cx="631063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42" w:name="page43"/>
    <w:bookmarkEnd w:id="42"/>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2" w:lineRule="exact"/>
        <w:rPr>
          <w:sz w:val="20"/>
          <w:szCs w:val="20"/>
          <w:color w:val="auto"/>
        </w:rPr>
      </w:pPr>
    </w:p>
    <w:p>
      <w:pPr>
        <w:jc w:val="both"/>
        <w:ind w:left="700" w:right="719"/>
        <w:spacing w:after="0" w:line="257" w:lineRule="auto"/>
        <w:rPr>
          <w:sz w:val="20"/>
          <w:szCs w:val="20"/>
          <w:color w:val="auto"/>
        </w:rPr>
      </w:pPr>
      <w:r>
        <w:rPr>
          <w:rFonts w:ascii="Times New Roman" w:cs="Times New Roman" w:eastAsia="Times New Roman" w:hAnsi="Times New Roman"/>
          <w:sz w:val="16"/>
          <w:szCs w:val="16"/>
          <w:color w:val="auto"/>
        </w:rPr>
        <w:t>Viatris Inc.’s Amended and Restated Certificate of Incorporation (the “Viatris Charter”) and Amended and Restated Bylaws (the “Viatris Bylaws”) include provisions that require Viatris Inc. to indemnify, to the fullest extent allowable under the laws of the State of Delaware, directors or officers against monetary damages for actions taken as a director or officer of Viatris Inc., or for serving at Viatris Inc.’s request in any capacity at another corporation or enterprise, as the case may be. The Viatris Charter and the Viatris Bylaws also provide that Viatris Inc. must indemnify and advance reasonable expenses to its directors and officers, subject to Viatris Inc.’s receipt of an undertaking from the indemnified party to repay all amounts advanced if it is determined ultimately that the indemnified party is not entitled to be indemnified. Viatris Inc. is also expressly authorized to carry directors’ and officers’ insurance to protect Viatris Inc. and its directors and officers for some liabilities. In addition, as permitted by Delaware law, the Viatris Charter provides that no director shall be liable to Viatris Inc. or its stockholders for monetary damages for breach of fiduciary duty as a director.</w:t>
      </w:r>
    </w:p>
    <w:p>
      <w:pPr>
        <w:spacing w:after="0" w:line="74" w:lineRule="exact"/>
        <w:rPr>
          <w:sz w:val="20"/>
          <w:szCs w:val="20"/>
          <w:color w:val="auto"/>
        </w:rPr>
      </w:pPr>
    </w:p>
    <w:p>
      <w:pPr>
        <w:jc w:val="both"/>
        <w:ind w:left="700" w:right="719"/>
        <w:spacing w:after="0" w:line="258" w:lineRule="auto"/>
        <w:rPr>
          <w:sz w:val="20"/>
          <w:szCs w:val="20"/>
          <w:color w:val="auto"/>
        </w:rPr>
      </w:pPr>
      <w:r>
        <w:rPr>
          <w:rFonts w:ascii="Times New Roman" w:cs="Times New Roman" w:eastAsia="Times New Roman" w:hAnsi="Times New Roman"/>
          <w:sz w:val="16"/>
          <w:szCs w:val="16"/>
          <w:color w:val="auto"/>
        </w:rPr>
        <w:t>Viatris Inc. has entered into indemnification agreements with each of the directors and executive officers of Viatris Inc. The indemnification agreements provide indemnification, to the fullest extent permitted by applicable law, to each such director or officer who was, is or becomes or is threatened to be made, in their capacity as a director or officer of Viatris Inc. or any of its subsidiaries or any capacity of any other corporation, partnership, joint venture, trust, employee benefit plan or other enterprise at the request of Viatris Inc., a party to any threatened, pending or completed claim, action, suit, arbitration, alternate dispute resolution process, investigation, inquiry, administrative hearing, appeal or any other proceeding (including, without limitation, stockholder claims, actions, demands, suits, proceedings, investigations and arbitrations), whether civil, criminal, administrative, arbitrative, investigative or otherwise, whether formal or informal.</w:t>
      </w:r>
    </w:p>
    <w:p>
      <w:pPr>
        <w:spacing w:after="0" w:line="71" w:lineRule="exact"/>
        <w:rPr>
          <w:sz w:val="20"/>
          <w:szCs w:val="20"/>
          <w:color w:val="auto"/>
        </w:rPr>
      </w:pPr>
    </w:p>
    <w:p>
      <w:pPr>
        <w:jc w:val="both"/>
        <w:ind w:left="700" w:right="719"/>
        <w:spacing w:after="0" w:line="256" w:lineRule="auto"/>
        <w:rPr>
          <w:sz w:val="20"/>
          <w:szCs w:val="20"/>
          <w:color w:val="auto"/>
        </w:rPr>
      </w:pPr>
      <w:r>
        <w:rPr>
          <w:rFonts w:ascii="Times New Roman" w:cs="Times New Roman" w:eastAsia="Times New Roman" w:hAnsi="Times New Roman"/>
          <w:sz w:val="16"/>
          <w:szCs w:val="16"/>
          <w:color w:val="auto"/>
        </w:rPr>
        <w:t>Utah Acquisition Sub Inc.’s Certificate of Incorporation (the “Utah Acquisition Sub Charter”) and Bylaws (the “Utah Acquisition Sub Bylaws”) include provisions that require Utah Acquisition Sub Inc. to indemnify its directors and officers to the extent not prohibited by the DGCL or any other applicable law; provided, however, that Utah Acquisition Sub Inc. may modify the extent of such indemnification by individual contracts with its directors and officers; and, provided further, that Utah Acquisition Sub Inc. shall not be required to indemnify any director or officer in connection with any proceeding (or part thereof) initiated by such person, with certain exceptions enumerated in the Utah Acquisition Sub Bylaws. The Utah Acquisition Sub Bylaws also provide that Utah Acquisition Sub Inc. must advance all expenses incurred by its directors and officers, subject to Utah Acquisition Sub Inc.’s receipt of an undertaking from the indemnified party to repay all amounts advanced it is ultimately determined that the indemnified party is not entitled to be indemnified. Utah Acquisition Sub Inc. is also expressly authorized to purchase insurance on behalf of directors and officers indemnified pursuant to the Utah Acquisition Sub Bylaws. Further, the Utah Acquisition Sub Charter includes provisions that state that a director of Utah Acquisition Sub Inc. shall not be personally liable to Utah Acquisition Sub Inc. or its stockholders for monetary damages for breach of fiduciary duty as a director, except for liability under certain circumstances enumerated in the Utah Acquisition Sub Charter.</w:t>
      </w:r>
    </w:p>
    <w:p>
      <w:pPr>
        <w:spacing w:after="0" w:line="3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Dutch Registrant</w:t>
      </w:r>
    </w:p>
    <w:p>
      <w:pPr>
        <w:spacing w:after="0" w:line="108" w:lineRule="exact"/>
        <w:rPr>
          <w:sz w:val="20"/>
          <w:szCs w:val="20"/>
          <w:color w:val="auto"/>
        </w:rPr>
      </w:pPr>
    </w:p>
    <w:p>
      <w:pPr>
        <w:jc w:val="both"/>
        <w:ind w:left="700" w:right="719"/>
        <w:spacing w:after="0" w:line="291" w:lineRule="auto"/>
        <w:rPr>
          <w:sz w:val="20"/>
          <w:szCs w:val="20"/>
          <w:color w:val="auto"/>
        </w:rPr>
      </w:pPr>
      <w:r>
        <w:rPr>
          <w:rFonts w:ascii="Times New Roman" w:cs="Times New Roman" w:eastAsia="Times New Roman" w:hAnsi="Times New Roman"/>
          <w:sz w:val="16"/>
          <w:szCs w:val="16"/>
          <w:color w:val="auto"/>
        </w:rPr>
        <w:t>Mylan II B.V. is a private limited liability company (</w:t>
      </w:r>
      <w:r>
        <w:rPr>
          <w:rFonts w:ascii="Times New Roman" w:cs="Times New Roman" w:eastAsia="Times New Roman" w:hAnsi="Times New Roman"/>
          <w:sz w:val="16"/>
          <w:szCs w:val="16"/>
          <w:i w:val="1"/>
          <w:iCs w:val="1"/>
          <w:color w:val="auto"/>
        </w:rPr>
        <w:t>besloten vennootschap met beperkte aansprakelijkheid</w:t>
      </w:r>
      <w:r>
        <w:rPr>
          <w:rFonts w:ascii="Times New Roman" w:cs="Times New Roman" w:eastAsia="Times New Roman" w:hAnsi="Times New Roman"/>
          <w:sz w:val="16"/>
          <w:szCs w:val="16"/>
          <w:color w:val="auto"/>
        </w:rPr>
        <w:t>) incorporated and existing under the laws of the Netherlands.</w:t>
      </w:r>
    </w:p>
    <w:p>
      <w:pPr>
        <w:spacing w:after="0" w:line="43" w:lineRule="exact"/>
        <w:rPr>
          <w:sz w:val="20"/>
          <w:szCs w:val="20"/>
          <w:color w:val="auto"/>
        </w:rPr>
      </w:pPr>
    </w:p>
    <w:p>
      <w:pPr>
        <w:jc w:val="both"/>
        <w:ind w:left="700" w:right="719"/>
        <w:spacing w:after="0" w:line="258" w:lineRule="auto"/>
        <w:rPr>
          <w:sz w:val="20"/>
          <w:szCs w:val="20"/>
          <w:color w:val="auto"/>
        </w:rPr>
      </w:pPr>
      <w:r>
        <w:rPr>
          <w:rFonts w:ascii="Times New Roman" w:cs="Times New Roman" w:eastAsia="Times New Roman" w:hAnsi="Times New Roman"/>
          <w:sz w:val="16"/>
          <w:szCs w:val="16"/>
          <w:color w:val="auto"/>
        </w:rPr>
        <w:t>Without prejudice to any indemnity to which any person may be contractually or otherwise entitled and to the fullest extent permitted by applicable Dutch law, as the same exists or may be amended (but, in the case of such amendment, only to the extent that such amendment permits Mylan II B.V. to provide broader indemnification rights than such law permitted Mylan II B.V. to provide prior to such amendment), Mylan II B.V.’s articles of association (the “Articles”) provide that Mylan II B.V. will indemnify and hold harmless each of its current or former directors, liquidators or officers against any financial losses or damages incurred by such person and any expense reasonably paid or incurred by such indemnified person in connection with any threatened, pending or completed suit, claim, action or legal proceedings of a civil, criminal, administrative or other nature, formal or informal, in which such indemnified person becomes involved, to the extent this relates to such person’s current or former position with Mylan II B.V. and in each case to the extent permitted by applicable law.</w:t>
      </w:r>
    </w:p>
    <w:p>
      <w:pPr>
        <w:spacing w:after="0" w:line="68" w:lineRule="exact"/>
        <w:rPr>
          <w:sz w:val="20"/>
          <w:szCs w:val="20"/>
          <w:color w:val="auto"/>
        </w:rPr>
      </w:pPr>
    </w:p>
    <w:p>
      <w:pPr>
        <w:jc w:val="both"/>
        <w:ind w:left="700" w:right="719"/>
        <w:spacing w:after="0" w:line="265" w:lineRule="auto"/>
        <w:rPr>
          <w:sz w:val="20"/>
          <w:szCs w:val="20"/>
          <w:color w:val="auto"/>
        </w:rPr>
      </w:pPr>
      <w:r>
        <w:rPr>
          <w:rFonts w:ascii="Times New Roman" w:cs="Times New Roman" w:eastAsia="Times New Roman" w:hAnsi="Times New Roman"/>
          <w:sz w:val="16"/>
          <w:szCs w:val="16"/>
          <w:color w:val="auto"/>
        </w:rPr>
        <w:t>No indemnification under the Articles shall be given to an indemnified person: (i) 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118110</wp:posOffset>
            </wp:positionV>
            <wp:extent cx="631063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43" w:name="page44"/>
    <w:bookmarkEnd w:id="43"/>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2" w:lineRule="exact"/>
        <w:rPr>
          <w:sz w:val="20"/>
          <w:szCs w:val="20"/>
          <w:color w:val="auto"/>
        </w:rPr>
      </w:pPr>
    </w:p>
    <w:p>
      <w:pPr>
        <w:jc w:val="both"/>
        <w:ind w:left="700" w:right="719"/>
        <w:spacing w:after="0" w:line="258" w:lineRule="auto"/>
        <w:rPr>
          <w:sz w:val="20"/>
          <w:szCs w:val="20"/>
          <w:color w:val="auto"/>
        </w:rPr>
      </w:pPr>
      <w:r>
        <w:rPr>
          <w:rFonts w:ascii="Times New Roman" w:cs="Times New Roman" w:eastAsia="Times New Roman" w:hAnsi="Times New Roman"/>
          <w:sz w:val="16"/>
          <w:szCs w:val="16"/>
          <w:color w:val="auto"/>
        </w:rPr>
        <w:t>gross negligence, intentional recklessness and/or serious culpability attributable to such indemnified person), (ii) to the extent that such person’s financial losses, damages and expenses are covered under insurance and the relevant insurer has settled, or has provided reimbursement for, these financial losses, damages and expenses (or has irrevocably undertaken to do so), (iii) in relation to proceedings brought by such indemnified person against Mylan II B.V., except for proceedings brought to enforce indemnification to which such person is entitled pursuant to the Articles, pursuant to an agreement between such indemnified person and Mylan II B.V. which has been approved by the board of directors of Mylan II B.V. or pursuant to insurance taken out by Mylan II B.V. for the benefit of such indemnified person and (iv) for any financial losses, damages or expenses incurred in connection with a settlement of any proceedings effected without Mylan II B.V.’s prior consent.</w:t>
      </w:r>
    </w:p>
    <w:p>
      <w:pPr>
        <w:spacing w:after="0" w:line="71" w:lineRule="exact"/>
        <w:rPr>
          <w:sz w:val="20"/>
          <w:szCs w:val="20"/>
          <w:color w:val="auto"/>
        </w:rPr>
      </w:pPr>
    </w:p>
    <w:p>
      <w:pPr>
        <w:jc w:val="both"/>
        <w:ind w:left="700" w:right="719"/>
        <w:spacing w:after="0" w:line="288" w:lineRule="auto"/>
        <w:rPr>
          <w:sz w:val="20"/>
          <w:szCs w:val="20"/>
          <w:color w:val="auto"/>
        </w:rPr>
      </w:pPr>
      <w:r>
        <w:rPr>
          <w:rFonts w:ascii="Times New Roman" w:cs="Times New Roman" w:eastAsia="Times New Roman" w:hAnsi="Times New Roman"/>
          <w:sz w:val="16"/>
          <w:szCs w:val="16"/>
          <w:color w:val="auto"/>
        </w:rPr>
        <w:t>Under the Articles, the board of directors of Mylan II B.V. may stipulate additional terms, conditions and restrictions in relation to the indemnification described above.</w:t>
      </w:r>
    </w:p>
    <w:p>
      <w:pPr>
        <w:spacing w:after="0" w:line="46" w:lineRule="exact"/>
        <w:rPr>
          <w:sz w:val="20"/>
          <w:szCs w:val="20"/>
          <w:color w:val="auto"/>
        </w:rPr>
      </w:pPr>
    </w:p>
    <w:p>
      <w:pPr>
        <w:jc w:val="both"/>
        <w:ind w:left="700" w:right="719"/>
        <w:spacing w:after="0" w:line="288" w:lineRule="auto"/>
        <w:rPr>
          <w:sz w:val="20"/>
          <w:szCs w:val="20"/>
          <w:color w:val="auto"/>
        </w:rPr>
      </w:pPr>
      <w:r>
        <w:rPr>
          <w:rFonts w:ascii="Times New Roman" w:cs="Times New Roman" w:eastAsia="Times New Roman" w:hAnsi="Times New Roman"/>
          <w:sz w:val="16"/>
          <w:szCs w:val="16"/>
          <w:color w:val="auto"/>
        </w:rPr>
        <w:t>Mylan II B.V. currently maintains an insurance policy which insures directors and officers against certain liabilities which might be incurred in connection with the performance of their duties.</w:t>
      </w:r>
    </w:p>
    <w:p>
      <w:pPr>
        <w:spacing w:after="0" w:line="46" w:lineRule="exact"/>
        <w:rPr>
          <w:sz w:val="20"/>
          <w:szCs w:val="20"/>
          <w:color w:val="auto"/>
        </w:rPr>
      </w:pPr>
    </w:p>
    <w:p>
      <w:pPr>
        <w:jc w:val="both"/>
        <w:ind w:left="700" w:right="719"/>
        <w:spacing w:after="0" w:line="288" w:lineRule="auto"/>
        <w:rPr>
          <w:sz w:val="20"/>
          <w:szCs w:val="20"/>
          <w:color w:val="auto"/>
        </w:rPr>
      </w:pPr>
      <w:r>
        <w:rPr>
          <w:rFonts w:ascii="Times New Roman" w:cs="Times New Roman" w:eastAsia="Times New Roman" w:hAnsi="Times New Roman"/>
          <w:sz w:val="16"/>
          <w:szCs w:val="16"/>
          <w:color w:val="auto"/>
        </w:rPr>
        <w:t>The description of indemnity herein is merely a summary of the provisions in the Articles, and such description shall not limit or alter the provisions in the Articles.</w:t>
      </w:r>
    </w:p>
    <w:p>
      <w:pPr>
        <w:spacing w:after="0" w:line="2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Pennsylvania Registrant</w:t>
      </w:r>
    </w:p>
    <w:p>
      <w:pPr>
        <w:spacing w:after="0" w:line="110" w:lineRule="exact"/>
        <w:rPr>
          <w:sz w:val="20"/>
          <w:szCs w:val="20"/>
          <w:color w:val="auto"/>
        </w:rPr>
      </w:pPr>
    </w:p>
    <w:p>
      <w:pPr>
        <w:jc w:val="both"/>
        <w:ind w:left="700" w:right="719"/>
        <w:spacing w:after="0" w:line="259" w:lineRule="auto"/>
        <w:rPr>
          <w:sz w:val="20"/>
          <w:szCs w:val="20"/>
          <w:color w:val="auto"/>
        </w:rPr>
      </w:pPr>
      <w:r>
        <w:rPr>
          <w:rFonts w:ascii="Times New Roman" w:cs="Times New Roman" w:eastAsia="Times New Roman" w:hAnsi="Times New Roman"/>
          <w:sz w:val="16"/>
          <w:szCs w:val="16"/>
          <w:color w:val="auto"/>
        </w:rPr>
        <w:t>Mylan Inc. is organized under the laws of Pennsylvania. The Pennsylvania Business Corporation Law of 1988, as amended (“BCL”), authorizes a Pennsylvania corporation to indemnify its officers, directors, employees and agents under certain circumstances against expenses and liabilities incurred in legal proceedings involving such persons because of their holding or having held such positions with the corporation and to purchase and maintain insurance for such indemnification. Mylan Inc.’s bylaws provide that each person who is or was serving as a director or officer of the corporation and any other person designated as an indemnified representative by the board of directors shall be entitled to indemnification as and to the fullest extent permitted by law, including the BCL or any successor statutory provision, as from time to time amended.</w:t>
      </w:r>
    </w:p>
    <w:p>
      <w:pPr>
        <w:spacing w:after="0" w:line="68" w:lineRule="exact"/>
        <w:rPr>
          <w:sz w:val="20"/>
          <w:szCs w:val="20"/>
          <w:color w:val="auto"/>
        </w:rPr>
      </w:pPr>
    </w:p>
    <w:p>
      <w:pPr>
        <w:jc w:val="both"/>
        <w:ind w:left="700" w:right="719"/>
        <w:spacing w:after="0" w:line="261" w:lineRule="auto"/>
        <w:rPr>
          <w:sz w:val="20"/>
          <w:szCs w:val="20"/>
          <w:color w:val="auto"/>
        </w:rPr>
      </w:pPr>
      <w:r>
        <w:rPr>
          <w:rFonts w:ascii="Times New Roman" w:cs="Times New Roman" w:eastAsia="Times New Roman" w:hAnsi="Times New Roman"/>
          <w:sz w:val="16"/>
          <w:szCs w:val="16"/>
          <w:color w:val="auto"/>
        </w:rPr>
        <w:t>The BCL also permits a Pennsylvania corporation, by so providing in its bylaws, to eliminate the personal liability of a director for monetary damages for any action taken unless the director has breached or failed to perform the duties of such person’s office and the breach or failure constitutes self-dealing, willful misconduct or recklessness. In addition, no such limitation of liability is available with respect to the responsibility or liability of a director pursuant to any criminal statute or for the payment of taxes pursuant to federal, state or local law. Mylan Inc.’s bylaws eliminate the personal liability of the directors to the fullest extent permitted by the BCL.</w:t>
      </w:r>
    </w:p>
    <w:p>
      <w:pPr>
        <w:spacing w:after="0" w:line="66" w:lineRule="exact"/>
        <w:rPr>
          <w:sz w:val="20"/>
          <w:szCs w:val="20"/>
          <w:color w:val="auto"/>
        </w:rPr>
      </w:pPr>
    </w:p>
    <w:p>
      <w:pPr>
        <w:jc w:val="both"/>
        <w:ind w:left="700" w:right="719"/>
        <w:spacing w:after="0" w:line="271" w:lineRule="auto"/>
        <w:rPr>
          <w:sz w:val="20"/>
          <w:szCs w:val="20"/>
          <w:color w:val="auto"/>
        </w:rPr>
      </w:pPr>
      <w:r>
        <w:rPr>
          <w:rFonts w:ascii="Times New Roman" w:cs="Times New Roman" w:eastAsia="Times New Roman" w:hAnsi="Times New Roman"/>
          <w:sz w:val="16"/>
          <w:szCs w:val="16"/>
          <w:color w:val="auto"/>
        </w:rPr>
        <w:t>Mylan Inc.’s bylaws also provide that it may maintain an insurance policy which insures Mylan Inc. and any directors, officers or other indemnified representatives as described in this section against certain liabilities which might be incurred in connection with the performance of their duties.</w:t>
      </w:r>
    </w:p>
    <w:p>
      <w:pPr>
        <w:spacing w:after="0" w:line="59" w:lineRule="exact"/>
        <w:rPr>
          <w:sz w:val="20"/>
          <w:szCs w:val="20"/>
          <w:color w:val="auto"/>
        </w:rPr>
      </w:pPr>
    </w:p>
    <w:p>
      <w:pPr>
        <w:jc w:val="both"/>
        <w:ind w:left="700" w:right="719"/>
        <w:spacing w:after="0" w:line="259" w:lineRule="auto"/>
        <w:rPr>
          <w:sz w:val="20"/>
          <w:szCs w:val="20"/>
          <w:color w:val="auto"/>
        </w:rPr>
      </w:pPr>
      <w:r>
        <w:rPr>
          <w:rFonts w:ascii="Times New Roman" w:cs="Times New Roman" w:eastAsia="Times New Roman" w:hAnsi="Times New Roman"/>
          <w:sz w:val="16"/>
          <w:szCs w:val="16"/>
          <w:color w:val="auto"/>
        </w:rPr>
        <w:t>In addition, Mylan Inc. has indemnification agreements with its directors and contractual indemnification obligations to certain of its officers, which provide that Mylan Inc. will indemnify such persons against any and all expenses, liabilities and losses incurred by such person in connection with any threatened, pending or completed claim, action, suit, proceeding or investigation (provided generally that any such claim, action, suit, proceeding or investigation initiated by the indemnitee was authorized by its board of directors) to which such person was or is a party, or is threatened to be made a party, because such person is or was a director or officer of Mylan Inc. or of any of its subsidiaries, or served at the request of Mylan Inc. as a director, officer, trustee, employee or agent of another entity.</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118110</wp:posOffset>
            </wp:positionV>
            <wp:extent cx="631063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44" w:name="page45"/>
    <w:bookmarkEnd w:id="44"/>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700"/>
        <w:spacing w:after="0"/>
        <w:tabs>
          <w:tab w:leader="none" w:pos="1480" w:val="left"/>
        </w:tabs>
        <w:rPr>
          <w:sz w:val="20"/>
          <w:szCs w:val="20"/>
          <w:color w:val="auto"/>
        </w:rPr>
      </w:pPr>
      <w:r>
        <w:rPr>
          <w:rFonts w:ascii="Times New Roman" w:cs="Times New Roman" w:eastAsia="Times New Roman" w:hAnsi="Times New Roman"/>
          <w:sz w:val="16"/>
          <w:szCs w:val="16"/>
          <w:b w:val="1"/>
          <w:bCs w:val="1"/>
          <w:color w:val="auto"/>
        </w:rPr>
        <w:t>Item 16.</w:t>
      </w:r>
      <w:r>
        <w:rPr>
          <w:sz w:val="20"/>
          <w:szCs w:val="20"/>
          <w:color w:val="auto"/>
        </w:rPr>
        <w:tab/>
      </w:r>
      <w:r>
        <w:rPr>
          <w:rFonts w:ascii="Times New Roman" w:cs="Times New Roman" w:eastAsia="Times New Roman" w:hAnsi="Times New Roman"/>
          <w:sz w:val="16"/>
          <w:szCs w:val="16"/>
          <w:b w:val="1"/>
          <w:bCs w:val="1"/>
          <w:i w:val="1"/>
          <w:iCs w:val="1"/>
          <w:color w:val="auto"/>
        </w:rPr>
        <w:t>Exhibits</w:t>
      </w:r>
    </w:p>
    <w:p>
      <w:pPr>
        <w:spacing w:after="0" w:line="1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 following exhibits are filed as part of, or incorporated by reference into, this registration statement on Form S-3.</w:t>
      </w:r>
    </w:p>
    <w:p>
      <w:pPr>
        <w:spacing w:after="0" w:line="237" w:lineRule="exact"/>
        <w:rPr>
          <w:sz w:val="20"/>
          <w:szCs w:val="20"/>
          <w:color w:val="auto"/>
        </w:rPr>
      </w:pPr>
    </w:p>
    <w:tbl>
      <w:tblPr>
        <w:tblLayout w:type="fixed"/>
        <w:tblInd w:w="700" w:type="dxa"/>
        <w:tblCellMar>
          <w:top w:w="0" w:type="dxa"/>
          <w:left w:w="0" w:type="dxa"/>
          <w:bottom w:w="0" w:type="dxa"/>
          <w:right w:w="0" w:type="dxa"/>
        </w:tblCellMar>
      </w:tblPr>
      <w:tr>
        <w:trPr>
          <w:trHeight w:val="175"/>
        </w:trPr>
        <w:tc>
          <w:tcPr>
            <w:tcW w:w="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00" w:type="dxa"/>
            <w:vAlign w:val="bottom"/>
          </w:tcPr>
          <w:p>
            <w:pPr>
              <w:spacing w:after="0"/>
              <w:rPr>
                <w:sz w:val="15"/>
                <w:szCs w:val="15"/>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Form of Underwriting Agreement.</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60" w:type="dxa"/>
            <w:vAlign w:val="bottom"/>
            <w:gridSpan w:val="2"/>
            <w:shd w:val="clear" w:color="auto" w:fill="CCEEFF"/>
          </w:tcPr>
          <w:p>
            <w:pPr>
              <w:spacing w:after="0" w:line="171" w:lineRule="exact"/>
              <w:rPr>
                <w:rFonts w:ascii="Times New Roman" w:cs="Times New Roman" w:eastAsia="Times New Roman" w:hAnsi="Times New Roman"/>
                <w:sz w:val="16"/>
                <w:szCs w:val="16"/>
                <w:color w:val="0000EE"/>
              </w:rPr>
            </w:pPr>
            <w:hyperlink r:id="rId72">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1</w:t>
              </w:r>
            </w:hyperlink>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7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Amended and Restated Certificate of Incorporation of Upjohn Inc., effective as of November 13, 2020,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filed as Exhibit 3.1 to the Report on Form 8-K filed by Viatris Inc. with the SEC on November 19,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2020, and incorporated herein by reference.</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60" w:type="dxa"/>
            <w:vAlign w:val="bottom"/>
            <w:gridSpan w:val="2"/>
            <w:shd w:val="clear" w:color="auto" w:fill="CCEEFF"/>
          </w:tcPr>
          <w:p>
            <w:pPr>
              <w:spacing w:after="0" w:line="171" w:lineRule="exact"/>
              <w:rPr>
                <w:rFonts w:ascii="Times New Roman" w:cs="Times New Roman" w:eastAsia="Times New Roman" w:hAnsi="Times New Roman"/>
                <w:sz w:val="16"/>
                <w:szCs w:val="16"/>
                <w:color w:val="0000EE"/>
              </w:rPr>
            </w:pPr>
            <w:hyperlink r:id="rId73">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2</w:t>
              </w:r>
            </w:hyperlink>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7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Certificate of Amendment to the Amended and Restated Certificate of Incorporation of Upjohn Inc.,</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effective as of November 16, 2020, filed as Exhibit 3.3 to the Report on Form 8-K filed by Viatris Inc.</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 the SEC on November 19, 2020, and incorporated herein by reference.</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60" w:type="dxa"/>
            <w:vAlign w:val="bottom"/>
            <w:gridSpan w:val="2"/>
            <w:shd w:val="clear" w:color="auto" w:fill="CCEEFF"/>
          </w:tcPr>
          <w:p>
            <w:pPr>
              <w:spacing w:after="0" w:line="171" w:lineRule="exact"/>
              <w:rPr>
                <w:rFonts w:ascii="Times New Roman" w:cs="Times New Roman" w:eastAsia="Times New Roman" w:hAnsi="Times New Roman"/>
                <w:sz w:val="16"/>
                <w:szCs w:val="16"/>
                <w:color w:val="0000EE"/>
              </w:rPr>
            </w:pPr>
            <w:hyperlink r:id="rId74">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3</w:t>
              </w:r>
            </w:hyperlink>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7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Certificate of Amendment of Amended and Restated Certificate of Incorporation of Viatris Inc.,</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effective as of December 15, 2023, filed by Viatris Inc. as Exhibit 3.1(c) to Form 10-K for the fiscal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year ended December 31, 2023, and incorporated herein by reference.</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60" w:type="dxa"/>
            <w:vAlign w:val="bottom"/>
            <w:gridSpan w:val="2"/>
            <w:shd w:val="clear" w:color="auto" w:fill="CCEEFF"/>
          </w:tcPr>
          <w:p>
            <w:pPr>
              <w:spacing w:after="0" w:line="171" w:lineRule="exact"/>
              <w:rPr>
                <w:rFonts w:ascii="Times New Roman" w:cs="Times New Roman" w:eastAsia="Times New Roman" w:hAnsi="Times New Roman"/>
                <w:sz w:val="16"/>
                <w:szCs w:val="16"/>
                <w:color w:val="0000EE"/>
              </w:rPr>
            </w:pPr>
            <w:hyperlink r:id="rId75">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4</w:t>
              </w:r>
            </w:hyperlink>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7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Certificate of Amendment of Amended and Restated Certificate of Incorporation of Viatris Inc.,</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effective as of December 15, 2023, filed by Viatris Inc. as Exhibit 3.1(d) to Form 10-K for the fiscal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year ended December 31, 2023, and incorporated herein by reference.</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60" w:type="dxa"/>
            <w:vAlign w:val="bottom"/>
            <w:gridSpan w:val="2"/>
            <w:shd w:val="clear" w:color="auto" w:fill="CCEEFF"/>
          </w:tcPr>
          <w:p>
            <w:pPr>
              <w:spacing w:after="0" w:line="171" w:lineRule="exact"/>
              <w:rPr>
                <w:rFonts w:ascii="Times New Roman" w:cs="Times New Roman" w:eastAsia="Times New Roman" w:hAnsi="Times New Roman"/>
                <w:sz w:val="16"/>
                <w:szCs w:val="16"/>
                <w:color w:val="0000EE"/>
              </w:rPr>
            </w:pPr>
            <w:hyperlink r:id="rId76">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5</w:t>
              </w:r>
            </w:hyperlink>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7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Amended and Restated Bylaws of Viatris Inc., effective as of December 15, 2023, filed as Exhibit 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 the Report on Form 8-K filed by Viatris Inc. with the SEC on December 15, 2023, and incorporated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herein by reference.</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60" w:type="dxa"/>
            <w:vAlign w:val="bottom"/>
            <w:gridSpan w:val="2"/>
            <w:shd w:val="clear" w:color="auto" w:fill="CCEEFF"/>
          </w:tcPr>
          <w:p>
            <w:pPr>
              <w:spacing w:after="0" w:line="171" w:lineRule="exact"/>
              <w:rPr>
                <w:rFonts w:ascii="Times New Roman" w:cs="Times New Roman" w:eastAsia="Times New Roman" w:hAnsi="Times New Roman"/>
                <w:sz w:val="16"/>
                <w:szCs w:val="16"/>
                <w:color w:val="0000EE"/>
              </w:rPr>
            </w:pPr>
            <w:hyperlink r:id="rId77">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6</w:t>
              </w:r>
            </w:hyperlink>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7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Certificate of Incorporation of Utah Acquisition Sub Inc., filed as Exhibit 3.4 to the Registration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Statement on Form S-4 filed by Viatris Inc. with the SEC on September 10, 2021, and incorporated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herein by reference.</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60" w:type="dxa"/>
            <w:vAlign w:val="bottom"/>
            <w:gridSpan w:val="2"/>
            <w:shd w:val="clear" w:color="auto" w:fill="CCEEFF"/>
          </w:tcPr>
          <w:p>
            <w:pPr>
              <w:spacing w:after="0" w:line="171" w:lineRule="exact"/>
              <w:rPr>
                <w:rFonts w:ascii="Times New Roman" w:cs="Times New Roman" w:eastAsia="Times New Roman" w:hAnsi="Times New Roman"/>
                <w:sz w:val="16"/>
                <w:szCs w:val="16"/>
                <w:color w:val="0000EE"/>
              </w:rPr>
            </w:pPr>
            <w:hyperlink r:id="rId78">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7</w:t>
              </w:r>
            </w:hyperlink>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7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Bylaws of Utah Acquisition Sub Inc., filed as Exhibit 3.5 to the Registration Statement on Form S-4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filed by Viatris Inc. with the SEC on September 10, 2021, and incorporated herein by reference.</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60" w:type="dxa"/>
            <w:vAlign w:val="bottom"/>
            <w:gridSpan w:val="2"/>
            <w:shd w:val="clear" w:color="auto" w:fill="CCEEFF"/>
          </w:tcPr>
          <w:p>
            <w:pPr>
              <w:spacing w:after="0" w:line="171" w:lineRule="exact"/>
              <w:rPr>
                <w:rFonts w:ascii="Times New Roman" w:cs="Times New Roman" w:eastAsia="Times New Roman" w:hAnsi="Times New Roman"/>
                <w:sz w:val="16"/>
                <w:szCs w:val="16"/>
                <w:color w:val="0000EE"/>
              </w:rPr>
            </w:pPr>
            <w:hyperlink r:id="rId79">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8</w:t>
              </w:r>
            </w:hyperlink>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7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Deed of Incorporation of Mylan II B.V., filed as Exhibit 3.6 to the Registration Statement on Form S-4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filed by Viatris Inc. with the SEC on September 10, 2021, and incorporated herein by reference.</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60" w:type="dxa"/>
            <w:vAlign w:val="bottom"/>
            <w:gridSpan w:val="2"/>
            <w:shd w:val="clear" w:color="auto" w:fill="CCEEFF"/>
          </w:tcPr>
          <w:p>
            <w:pPr>
              <w:spacing w:after="0" w:line="171" w:lineRule="exact"/>
              <w:rPr>
                <w:rFonts w:ascii="Times New Roman" w:cs="Times New Roman" w:eastAsia="Times New Roman" w:hAnsi="Times New Roman"/>
                <w:sz w:val="16"/>
                <w:szCs w:val="16"/>
                <w:color w:val="0000EE"/>
              </w:rPr>
            </w:pPr>
            <w:hyperlink r:id="rId80">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9</w:t>
              </w:r>
            </w:hyperlink>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7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Amended and Restated Articles of Incorporation, as Amended, of Mylan Inc., filed as Exhibit 3.7 to</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Registration Statement on Form S-4 filed by Viatris Inc. with the SEC on September 10, 2021, and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incorporated herein by reference.</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760" w:type="dxa"/>
            <w:vAlign w:val="bottom"/>
            <w:gridSpan w:val="3"/>
            <w:shd w:val="clear" w:color="auto" w:fill="CCEEFF"/>
          </w:tcPr>
          <w:p>
            <w:pPr>
              <w:spacing w:after="0" w:line="171" w:lineRule="exact"/>
              <w:rPr>
                <w:rFonts w:ascii="Times New Roman" w:cs="Times New Roman" w:eastAsia="Times New Roman" w:hAnsi="Times New Roman"/>
                <w:sz w:val="16"/>
                <w:szCs w:val="16"/>
                <w:color w:val="0000EE"/>
              </w:rPr>
            </w:pPr>
            <w:hyperlink r:id="rId81">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10</w:t>
              </w:r>
            </w:hyperlink>
          </w:p>
        </w:tc>
        <w:tc>
          <w:tcPr>
            <w:tcW w:w="100" w:type="dxa"/>
            <w:vAlign w:val="bottom"/>
            <w:shd w:val="clear" w:color="auto" w:fill="CCEEFF"/>
          </w:tcPr>
          <w:p>
            <w:pPr>
              <w:spacing w:after="0"/>
              <w:rPr>
                <w:sz w:val="14"/>
                <w:szCs w:val="14"/>
                <w:color w:val="auto"/>
              </w:rPr>
            </w:pPr>
          </w:p>
        </w:tc>
        <w:tc>
          <w:tcPr>
            <w:tcW w:w="67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Third Amended and Restated Bylaws, as Amended, of Mylan Inc., filed as Exhibit 3.8 to the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Registration Statement on Form S-4 filed by Viatris Inc. with the SEC on September 10, 2021, and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incorporated herein by reference.</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76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11</w:t>
            </w:r>
            <w:r>
              <w:rPr>
                <w:rFonts w:ascii="Times New Roman" w:cs="Times New Roman" w:eastAsia="Times New Roman" w:hAnsi="Times New Roman"/>
                <w:sz w:val="16"/>
                <w:szCs w:val="16"/>
                <w:color w:val="000000"/>
              </w:rPr>
              <w:t>**</w:t>
            </w:r>
          </w:p>
        </w:tc>
        <w:tc>
          <w:tcPr>
            <w:tcW w:w="100" w:type="dxa"/>
            <w:vAlign w:val="bottom"/>
            <w:shd w:val="clear" w:color="auto" w:fill="CCEEFF"/>
          </w:tcPr>
          <w:p>
            <w:pPr>
              <w:spacing w:after="0"/>
              <w:rPr>
                <w:sz w:val="14"/>
                <w:szCs w:val="14"/>
                <w:color w:val="auto"/>
              </w:rPr>
            </w:pPr>
          </w:p>
        </w:tc>
        <w:tc>
          <w:tcPr>
            <w:tcW w:w="67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Form of Senior Indenture among Viatris Inc., as issuer, the guarantors party thereto and The Bank of</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York Mellon, as trustee (the “Form of Viatris Inc. Senior Indenture”).</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76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12</w:t>
            </w:r>
            <w:r>
              <w:rPr>
                <w:rFonts w:ascii="Times New Roman" w:cs="Times New Roman" w:eastAsia="Times New Roman" w:hAnsi="Times New Roman"/>
                <w:sz w:val="16"/>
                <w:szCs w:val="16"/>
                <w:color w:val="000000"/>
              </w:rPr>
              <w:t>**</w:t>
            </w:r>
          </w:p>
        </w:tc>
        <w:tc>
          <w:tcPr>
            <w:tcW w:w="100" w:type="dxa"/>
            <w:vAlign w:val="bottom"/>
            <w:shd w:val="clear" w:color="auto" w:fill="CCEEFF"/>
          </w:tcPr>
          <w:p>
            <w:pPr>
              <w:spacing w:after="0"/>
              <w:rPr>
                <w:sz w:val="14"/>
                <w:szCs w:val="14"/>
                <w:color w:val="auto"/>
              </w:rPr>
            </w:pPr>
          </w:p>
        </w:tc>
        <w:tc>
          <w:tcPr>
            <w:tcW w:w="67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Form of Subordinated Indenture among Viatris Inc., as issuer, the guarantors party thereto and The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of New York Mellon, as trustee (the “Form of Viatris Inc. Subordinated Indenture”).</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76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13</w:t>
            </w:r>
            <w:r>
              <w:rPr>
                <w:rFonts w:ascii="Times New Roman" w:cs="Times New Roman" w:eastAsia="Times New Roman" w:hAnsi="Times New Roman"/>
                <w:sz w:val="16"/>
                <w:szCs w:val="16"/>
                <w:color w:val="000000"/>
              </w:rPr>
              <w:t>**</w:t>
            </w:r>
          </w:p>
        </w:tc>
        <w:tc>
          <w:tcPr>
            <w:tcW w:w="100" w:type="dxa"/>
            <w:vAlign w:val="bottom"/>
            <w:shd w:val="clear" w:color="auto" w:fill="CCEEFF"/>
          </w:tcPr>
          <w:p>
            <w:pPr>
              <w:spacing w:after="0"/>
              <w:rPr>
                <w:sz w:val="14"/>
                <w:szCs w:val="14"/>
                <w:color w:val="auto"/>
              </w:rPr>
            </w:pPr>
          </w:p>
        </w:tc>
        <w:tc>
          <w:tcPr>
            <w:tcW w:w="67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Form of Junior Subordinated Indenture among Viatris Inc., as issuer, the guarantors party thereto and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Bank of New York Mellon, as trustee (the “Form of Viatris Inc. Junior Subordinated Indenture”).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118110</wp:posOffset>
            </wp:positionV>
            <wp:extent cx="631063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45" w:name="page46"/>
    <w:bookmarkEnd w:id="45"/>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4" w:lineRule="exact"/>
        <w:rPr>
          <w:sz w:val="20"/>
          <w:szCs w:val="20"/>
          <w:color w:val="auto"/>
        </w:rPr>
      </w:pPr>
    </w:p>
    <w:p>
      <w:pPr>
        <w:ind w:left="700"/>
        <w:spacing w:after="0"/>
        <w:tabs>
          <w:tab w:leader="none" w:pos="1560" w:val="left"/>
        </w:tabs>
        <w:rPr>
          <w:sz w:val="20"/>
          <w:szCs w:val="20"/>
          <w:color w:val="auto"/>
        </w:rPr>
      </w:pPr>
      <w:r>
        <w:rPr>
          <w:rFonts w:ascii="Times New Roman" w:cs="Times New Roman" w:eastAsia="Times New Roman" w:hAnsi="Times New Roman"/>
          <w:sz w:val="13"/>
          <w:szCs w:val="13"/>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19685</wp:posOffset>
            </wp:positionV>
            <wp:extent cx="4826000" cy="401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4826000" cy="401955"/>
                    </a:xfrm>
                    <a:prstGeom prst="rect">
                      <a:avLst/>
                    </a:prstGeom>
                    <a:noFill/>
                  </pic:spPr>
                </pic:pic>
              </a:graphicData>
            </a:graphic>
          </wp:anchor>
        </w:drawing>
      </w:r>
    </w:p>
    <w:p>
      <w:pPr>
        <w:spacing w:after="0" w:line="31" w:lineRule="exact"/>
        <w:rPr>
          <w:sz w:val="20"/>
          <w:szCs w:val="20"/>
          <w:color w:val="auto"/>
        </w:rPr>
      </w:pPr>
    </w:p>
    <w:p>
      <w:pPr>
        <w:jc w:val="both"/>
        <w:ind w:left="1580" w:right="719" w:hanging="876"/>
        <w:spacing w:after="0" w:line="271" w:lineRule="auto"/>
        <w:tabs>
          <w:tab w:leader="none" w:pos="1560" w:val="left"/>
        </w:tabs>
        <w:rPr>
          <w:rFonts w:ascii="Times New Roman" w:cs="Times New Roman" w:eastAsia="Times New Roman" w:hAnsi="Times New Roman"/>
          <w:sz w:val="16"/>
          <w:szCs w:val="16"/>
          <w:color w:val="0000EE"/>
        </w:rPr>
      </w:pPr>
      <w:hyperlink r:id="rId84">
        <w:r>
          <w:rPr>
            <w:rFonts w:ascii="Times New Roman" w:cs="Times New Roman" w:eastAsia="Times New Roman" w:hAnsi="Times New Roman"/>
            <w:sz w:val="16"/>
            <w:szCs w:val="16"/>
            <w:u w:val="single" w:color="auto"/>
            <w:color w:val="0000EE"/>
          </w:rPr>
          <w:t>4.14(a)</w:t>
        </w:r>
      </w:hyperlink>
      <w:r>
        <w:rPr>
          <w:rFonts w:ascii="Times New Roman" w:cs="Times New Roman" w:eastAsia="Times New Roman" w:hAnsi="Times New Roman"/>
          <w:sz w:val="16"/>
          <w:szCs w:val="16"/>
          <w:color w:val="0000EE"/>
        </w:rPr>
        <w:tab/>
        <w:t>Indenture, dated November 29, 2013, between Mylan Inc. and The Bank of New York Mellon, as trustee, filed as Exhibit 4.1 to the Report on Form 8-K filed by Mylan Inc. with the SEC on November 29, 2013, and incorporated herein by reference.</w:t>
      </w:r>
    </w:p>
    <w:p>
      <w:pPr>
        <w:spacing w:after="0" w:line="205" w:lineRule="exact"/>
        <w:rPr>
          <w:sz w:val="20"/>
          <w:szCs w:val="20"/>
          <w:color w:val="auto"/>
        </w:rPr>
      </w:pPr>
    </w:p>
    <w:p>
      <w:pPr>
        <w:jc w:val="both"/>
        <w:ind w:left="1580" w:right="719" w:hanging="876"/>
        <w:spacing w:after="0" w:line="271" w:lineRule="auto"/>
        <w:tabs>
          <w:tab w:leader="none" w:pos="1560" w:val="left"/>
        </w:tabs>
        <w:rPr>
          <w:rFonts w:ascii="Times New Roman" w:cs="Times New Roman" w:eastAsia="Times New Roman" w:hAnsi="Times New Roman"/>
          <w:sz w:val="16"/>
          <w:szCs w:val="16"/>
          <w:color w:val="0000EE"/>
        </w:rPr>
      </w:pPr>
      <w:hyperlink r:id="rId85">
        <w:r>
          <w:rPr>
            <w:rFonts w:ascii="Times New Roman" w:cs="Times New Roman" w:eastAsia="Times New Roman" w:hAnsi="Times New Roman"/>
            <w:sz w:val="16"/>
            <w:szCs w:val="16"/>
            <w:u w:val="single" w:color="auto"/>
            <w:color w:val="0000EE"/>
          </w:rPr>
          <w:t>4.14(b)</w:t>
        </w:r>
      </w:hyperlink>
      <w:r>
        <w:rPr>
          <w:rFonts w:ascii="Times New Roman" w:cs="Times New Roman" w:eastAsia="Times New Roman" w:hAnsi="Times New Roman"/>
          <w:sz w:val="16"/>
          <w:szCs w:val="16"/>
          <w:color w:val="0000EE"/>
        </w:rPr>
        <w:tab/>
        <w:t>First Supplemental Indenture, dated November 29, 2013, between Mylan Inc. and The Bank of New York Mellon, as trustee, filed as Exhibit 4.2 to the Report on Form 8-K filed by Mylan Inc. with the SEC on November 29, 2013,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-392430</wp:posOffset>
            </wp:positionV>
            <wp:extent cx="4826000" cy="386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4826000" cy="386715"/>
                    </a:xfrm>
                    <a:prstGeom prst="rect">
                      <a:avLst/>
                    </a:prstGeom>
                    <a:noFill/>
                  </pic:spPr>
                </pic:pic>
              </a:graphicData>
            </a:graphic>
          </wp:anchor>
        </w:drawing>
      </w:r>
    </w:p>
    <w:p>
      <w:pPr>
        <w:spacing w:after="0" w:line="185" w:lineRule="exact"/>
        <w:rPr>
          <w:sz w:val="20"/>
          <w:szCs w:val="20"/>
          <w:color w:val="auto"/>
        </w:rPr>
      </w:pPr>
    </w:p>
    <w:p>
      <w:pPr>
        <w:jc w:val="both"/>
        <w:ind w:left="1580" w:right="719" w:hanging="876"/>
        <w:spacing w:after="0" w:line="265" w:lineRule="auto"/>
        <w:tabs>
          <w:tab w:leader="none" w:pos="1560" w:val="left"/>
        </w:tabs>
        <w:rPr>
          <w:rFonts w:ascii="Times New Roman" w:cs="Times New Roman" w:eastAsia="Times New Roman" w:hAnsi="Times New Roman"/>
          <w:sz w:val="16"/>
          <w:szCs w:val="16"/>
          <w:color w:val="0000EE"/>
        </w:rPr>
      </w:pPr>
      <w:hyperlink r:id="rId87">
        <w:r>
          <w:rPr>
            <w:rFonts w:ascii="Times New Roman" w:cs="Times New Roman" w:eastAsia="Times New Roman" w:hAnsi="Times New Roman"/>
            <w:sz w:val="16"/>
            <w:szCs w:val="16"/>
            <w:u w:val="single" w:color="auto"/>
            <w:color w:val="0000EE"/>
          </w:rPr>
          <w:t>4.14(c)</w:t>
        </w:r>
      </w:hyperlink>
      <w:r>
        <w:rPr>
          <w:rFonts w:ascii="Times New Roman" w:cs="Times New Roman" w:eastAsia="Times New Roman" w:hAnsi="Times New Roman"/>
          <w:sz w:val="16"/>
          <w:szCs w:val="16"/>
          <w:color w:val="0000EE"/>
        </w:rPr>
        <w:tab/>
        <w:t>Second Supplemental Indenture, dated February 27, 2015, among Mylan Inc., as issuer, Mylan N.V., as guarantor, and The Bank of New York Mellon, as trustee, to the Indenture, dated November 29, 2013, filed as Exhibit 4.6 to the Report on Form 8-K filed by Mylan N.V. with the SEC on February 27, 2015,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-512445</wp:posOffset>
            </wp:positionV>
            <wp:extent cx="4826000" cy="5105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4826000" cy="510540"/>
                    </a:xfrm>
                    <a:prstGeom prst="rect">
                      <a:avLst/>
                    </a:prstGeom>
                    <a:noFill/>
                  </pic:spPr>
                </pic:pic>
              </a:graphicData>
            </a:graphic>
          </wp:anchor>
        </w:drawing>
      </w:r>
    </w:p>
    <w:p>
      <w:pPr>
        <w:spacing w:after="0" w:line="190" w:lineRule="exact"/>
        <w:rPr>
          <w:sz w:val="20"/>
          <w:szCs w:val="20"/>
          <w:color w:val="auto"/>
        </w:rPr>
      </w:pPr>
    </w:p>
    <w:p>
      <w:pPr>
        <w:jc w:val="both"/>
        <w:ind w:left="1580" w:right="719" w:hanging="876"/>
        <w:spacing w:after="0" w:line="265" w:lineRule="auto"/>
        <w:tabs>
          <w:tab w:leader="none" w:pos="1560" w:val="left"/>
        </w:tabs>
        <w:rPr>
          <w:rFonts w:ascii="Times New Roman" w:cs="Times New Roman" w:eastAsia="Times New Roman" w:hAnsi="Times New Roman"/>
          <w:sz w:val="16"/>
          <w:szCs w:val="16"/>
          <w:color w:val="0000EE"/>
        </w:rPr>
      </w:pPr>
      <w:hyperlink r:id="rId89">
        <w:r>
          <w:rPr>
            <w:rFonts w:ascii="Times New Roman" w:cs="Times New Roman" w:eastAsia="Times New Roman" w:hAnsi="Times New Roman"/>
            <w:sz w:val="16"/>
            <w:szCs w:val="16"/>
            <w:u w:val="single" w:color="auto"/>
            <w:color w:val="0000EE"/>
          </w:rPr>
          <w:t>4.14(d)</w:t>
        </w:r>
      </w:hyperlink>
      <w:r>
        <w:rPr>
          <w:rFonts w:ascii="Times New Roman" w:cs="Times New Roman" w:eastAsia="Times New Roman" w:hAnsi="Times New Roman"/>
          <w:sz w:val="16"/>
          <w:szCs w:val="16"/>
          <w:color w:val="0000EE"/>
        </w:rPr>
        <w:tab/>
        <w:t>Third Supplemental Indenture, dated March 12, 2015, between and among Mylan Inc., as issuer, Mylan N.V., as parent, and The Bank of New York Mellon, as trustee, to the Indenture, dated November 29, 2013, filed by Mylan N.V. as Exhibit 4.5(b) to Form 10-Q for the quarter ended March 31, 2015,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-512445</wp:posOffset>
            </wp:positionV>
            <wp:extent cx="4826000" cy="5105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4826000" cy="510540"/>
                    </a:xfrm>
                    <a:prstGeom prst="rect">
                      <a:avLst/>
                    </a:prstGeom>
                    <a:noFill/>
                  </pic:spPr>
                </pic:pic>
              </a:graphicData>
            </a:graphic>
          </wp:anchor>
        </w:drawing>
      </w:r>
    </w:p>
    <w:p>
      <w:pPr>
        <w:spacing w:after="0" w:line="190" w:lineRule="exact"/>
        <w:rPr>
          <w:sz w:val="20"/>
          <w:szCs w:val="20"/>
          <w:color w:val="auto"/>
        </w:rPr>
      </w:pPr>
    </w:p>
    <w:p>
      <w:pPr>
        <w:jc w:val="both"/>
        <w:ind w:left="1580" w:right="719" w:hanging="876"/>
        <w:spacing w:after="0" w:line="262" w:lineRule="auto"/>
        <w:tabs>
          <w:tab w:leader="none" w:pos="1560" w:val="left"/>
        </w:tabs>
        <w:rPr>
          <w:rFonts w:ascii="Times New Roman" w:cs="Times New Roman" w:eastAsia="Times New Roman" w:hAnsi="Times New Roman"/>
          <w:sz w:val="16"/>
          <w:szCs w:val="16"/>
          <w:color w:val="0000EE"/>
        </w:rPr>
      </w:pPr>
      <w:hyperlink r:id="rId91">
        <w:r>
          <w:rPr>
            <w:rFonts w:ascii="Times New Roman" w:cs="Times New Roman" w:eastAsia="Times New Roman" w:hAnsi="Times New Roman"/>
            <w:sz w:val="16"/>
            <w:szCs w:val="16"/>
            <w:u w:val="single" w:color="auto"/>
            <w:color w:val="0000EE"/>
          </w:rPr>
          <w:t>4.14(e)</w:t>
        </w:r>
      </w:hyperlink>
      <w:r>
        <w:rPr>
          <w:rFonts w:ascii="Times New Roman" w:cs="Times New Roman" w:eastAsia="Times New Roman" w:hAnsi="Times New Roman"/>
          <w:sz w:val="16"/>
          <w:szCs w:val="16"/>
          <w:color w:val="0000EE"/>
        </w:rPr>
        <w:tab/>
        <w:t>Fourth Supplemental Indenture dated November 16, 2020, by and among Mylan Inc., Viatris Inc., Utah Acquisition Sub Inc., Mylan II B.V. and The Bank of New York Mellon, as trustee, to the Indenture dated November 29, 2013, by and between Mylan Inc. and The Bank of New York Mellon, as trustee, filed as Exhibit 4.7 to the Report on Form 8-K/A filed by Viatris Inc. with the SEC on November 19, 2020,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-634365</wp:posOffset>
            </wp:positionV>
            <wp:extent cx="4826000" cy="6343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2">
                      <a:extLst>
                        <a:ext uri="{28A0092B-C50C-407E-A947-70E740481C1C}"/>
                      </a:extLst>
                    </a:blip>
                    <a:srcRect/>
                    <a:stretch>
                      <a:fillRect/>
                    </a:stretch>
                  </pic:blipFill>
                  <pic:spPr bwMode="auto">
                    <a:xfrm>
                      <a:off x="0" y="0"/>
                      <a:ext cx="4826000" cy="634365"/>
                    </a:xfrm>
                    <a:prstGeom prst="rect">
                      <a:avLst/>
                    </a:prstGeom>
                    <a:noFill/>
                  </pic:spPr>
                </pic:pic>
              </a:graphicData>
            </a:graphic>
          </wp:anchor>
        </w:drawing>
      </w:r>
    </w:p>
    <w:p>
      <w:pPr>
        <w:spacing w:after="0" w:line="194" w:lineRule="exact"/>
        <w:rPr>
          <w:sz w:val="20"/>
          <w:szCs w:val="20"/>
          <w:color w:val="auto"/>
        </w:rPr>
      </w:pPr>
    </w:p>
    <w:p>
      <w:pPr>
        <w:jc w:val="both"/>
        <w:ind w:left="1580" w:right="719" w:hanging="876"/>
        <w:spacing w:after="0" w:line="271" w:lineRule="auto"/>
        <w:tabs>
          <w:tab w:leader="none" w:pos="1560" w:val="left"/>
        </w:tabs>
        <w:rPr>
          <w:rFonts w:ascii="Times New Roman" w:cs="Times New Roman" w:eastAsia="Times New Roman" w:hAnsi="Times New Roman"/>
          <w:sz w:val="16"/>
          <w:szCs w:val="16"/>
          <w:color w:val="0000EE"/>
        </w:rPr>
      </w:pPr>
      <w:hyperlink r:id="rId93">
        <w:r>
          <w:rPr>
            <w:rFonts w:ascii="Times New Roman" w:cs="Times New Roman" w:eastAsia="Times New Roman" w:hAnsi="Times New Roman"/>
            <w:sz w:val="16"/>
            <w:szCs w:val="16"/>
            <w:u w:val="single" w:color="auto"/>
            <w:color w:val="0000EE"/>
          </w:rPr>
          <w:t>4.15(a)</w:t>
        </w:r>
      </w:hyperlink>
      <w:r>
        <w:rPr>
          <w:rFonts w:ascii="Times New Roman" w:cs="Times New Roman" w:eastAsia="Times New Roman" w:hAnsi="Times New Roman"/>
          <w:sz w:val="16"/>
          <w:szCs w:val="16"/>
          <w:color w:val="0000EE"/>
        </w:rPr>
        <w:tab/>
        <w:t>Indenture, dated as of June 9, 2016, among Mylan N.V., as issuer, Mylan Inc., as guarantor, and The Bank of New York Mellon, as trustee, filed as Exhibit 4.1 to the Report on Form 8-K filed by Mylan N.V. with the SEC on June 15, 2016,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-392430</wp:posOffset>
            </wp:positionV>
            <wp:extent cx="4826000" cy="386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4">
                      <a:extLst>
                        <a:ext uri="{28A0092B-C50C-407E-A947-70E740481C1C}"/>
                      </a:extLst>
                    </a:blip>
                    <a:srcRect/>
                    <a:stretch>
                      <a:fillRect/>
                    </a:stretch>
                  </pic:blipFill>
                  <pic:spPr bwMode="auto">
                    <a:xfrm>
                      <a:off x="0" y="0"/>
                      <a:ext cx="4826000" cy="386715"/>
                    </a:xfrm>
                    <a:prstGeom prst="rect">
                      <a:avLst/>
                    </a:prstGeom>
                    <a:noFill/>
                  </pic:spPr>
                </pic:pic>
              </a:graphicData>
            </a:graphic>
          </wp:anchor>
        </w:drawing>
      </w:r>
    </w:p>
    <w:p>
      <w:pPr>
        <w:spacing w:after="0" w:line="185" w:lineRule="exact"/>
        <w:rPr>
          <w:sz w:val="20"/>
          <w:szCs w:val="20"/>
          <w:color w:val="auto"/>
        </w:rPr>
      </w:pPr>
    </w:p>
    <w:p>
      <w:pPr>
        <w:jc w:val="both"/>
        <w:ind w:left="1580" w:right="719" w:hanging="876"/>
        <w:spacing w:after="0" w:line="262" w:lineRule="auto"/>
        <w:tabs>
          <w:tab w:leader="none" w:pos="1560" w:val="left"/>
        </w:tabs>
        <w:rPr>
          <w:rFonts w:ascii="Times New Roman" w:cs="Times New Roman" w:eastAsia="Times New Roman" w:hAnsi="Times New Roman"/>
          <w:sz w:val="16"/>
          <w:szCs w:val="16"/>
          <w:color w:val="0000EE"/>
        </w:rPr>
      </w:pPr>
      <w:hyperlink r:id="rId95">
        <w:r>
          <w:rPr>
            <w:rFonts w:ascii="Times New Roman" w:cs="Times New Roman" w:eastAsia="Times New Roman" w:hAnsi="Times New Roman"/>
            <w:sz w:val="16"/>
            <w:szCs w:val="16"/>
            <w:u w:val="single" w:color="auto"/>
            <w:color w:val="0000EE"/>
          </w:rPr>
          <w:t>4.15(b)</w:t>
        </w:r>
      </w:hyperlink>
      <w:r>
        <w:rPr>
          <w:rFonts w:ascii="Times New Roman" w:cs="Times New Roman" w:eastAsia="Times New Roman" w:hAnsi="Times New Roman"/>
          <w:sz w:val="16"/>
          <w:szCs w:val="16"/>
          <w:color w:val="0000EE"/>
        </w:rPr>
        <w:tab/>
        <w:t>First Supplemental Indenture dated November 16, 2020, by and among Viatris Inc., Utah Acquisition Sub Inc., Mylan II B.V., Mylan Inc. and The Bank of New York Mellon, as trustee, to the Indenture dated June 9, 2016, by and among Mylan N.V., Mylan Inc. and The Bank of New York Mellon, as trustee, filed as Exhibit 4.4 to the Report on Form 8-K/A filed by Viatris Inc. with the SEC on November 19, 2020,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-634365</wp:posOffset>
            </wp:positionV>
            <wp:extent cx="4826000" cy="6343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6">
                      <a:extLst>
                        <a:ext uri="{28A0092B-C50C-407E-A947-70E740481C1C}"/>
                      </a:extLst>
                    </a:blip>
                    <a:srcRect/>
                    <a:stretch>
                      <a:fillRect/>
                    </a:stretch>
                  </pic:blipFill>
                  <pic:spPr bwMode="auto">
                    <a:xfrm>
                      <a:off x="0" y="0"/>
                      <a:ext cx="4826000" cy="634365"/>
                    </a:xfrm>
                    <a:prstGeom prst="rect">
                      <a:avLst/>
                    </a:prstGeom>
                    <a:noFill/>
                  </pic:spPr>
                </pic:pic>
              </a:graphicData>
            </a:graphic>
          </wp:anchor>
        </w:drawing>
      </w:r>
    </w:p>
    <w:p>
      <w:pPr>
        <w:spacing w:after="0" w:line="194" w:lineRule="exact"/>
        <w:rPr>
          <w:sz w:val="20"/>
          <w:szCs w:val="20"/>
          <w:color w:val="auto"/>
        </w:rPr>
      </w:pPr>
    </w:p>
    <w:p>
      <w:pPr>
        <w:jc w:val="both"/>
        <w:ind w:left="1580" w:right="719" w:hanging="876"/>
        <w:spacing w:after="0" w:line="265" w:lineRule="auto"/>
        <w:tabs>
          <w:tab w:leader="none" w:pos="1560" w:val="left"/>
        </w:tabs>
        <w:rPr>
          <w:rFonts w:ascii="Times New Roman" w:cs="Times New Roman" w:eastAsia="Times New Roman" w:hAnsi="Times New Roman"/>
          <w:sz w:val="16"/>
          <w:szCs w:val="16"/>
          <w:color w:val="0000EE"/>
        </w:rPr>
      </w:pPr>
      <w:hyperlink r:id="rId97">
        <w:r>
          <w:rPr>
            <w:rFonts w:ascii="Times New Roman" w:cs="Times New Roman" w:eastAsia="Times New Roman" w:hAnsi="Times New Roman"/>
            <w:sz w:val="16"/>
            <w:szCs w:val="16"/>
            <w:u w:val="single" w:color="auto"/>
            <w:color w:val="0000EE"/>
          </w:rPr>
          <w:t>4.16(a)</w:t>
        </w:r>
      </w:hyperlink>
      <w:r>
        <w:rPr>
          <w:rFonts w:ascii="Times New Roman" w:cs="Times New Roman" w:eastAsia="Times New Roman" w:hAnsi="Times New Roman"/>
          <w:sz w:val="16"/>
          <w:szCs w:val="16"/>
          <w:color w:val="0000EE"/>
        </w:rPr>
        <w:tab/>
        <w:t>Indenture, dated November 22, 2016, among Mylan N.V., as issuer, Mylan Inc., as guarantor, and Citibank, N.A., London Branch, as trustee, paying agent, transfer agent, registrar and calculation agent, filed by Mylan N.V. as Exhibit 4.9 to Form 10-K for the fiscal year ended December 31, 2016,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-512445</wp:posOffset>
            </wp:positionV>
            <wp:extent cx="4826000" cy="5105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extLst>
                    </a:blip>
                    <a:srcRect/>
                    <a:stretch>
                      <a:fillRect/>
                    </a:stretch>
                  </pic:blipFill>
                  <pic:spPr bwMode="auto">
                    <a:xfrm>
                      <a:off x="0" y="0"/>
                      <a:ext cx="4826000" cy="510540"/>
                    </a:xfrm>
                    <a:prstGeom prst="rect">
                      <a:avLst/>
                    </a:prstGeom>
                    <a:noFill/>
                  </pic:spPr>
                </pic:pic>
              </a:graphicData>
            </a:graphic>
          </wp:anchor>
        </w:drawing>
      </w:r>
    </w:p>
    <w:p>
      <w:pPr>
        <w:spacing w:after="0" w:line="190" w:lineRule="exact"/>
        <w:rPr>
          <w:sz w:val="20"/>
          <w:szCs w:val="20"/>
          <w:color w:val="auto"/>
        </w:rPr>
      </w:pPr>
    </w:p>
    <w:p>
      <w:pPr>
        <w:jc w:val="both"/>
        <w:ind w:left="1580" w:right="719" w:hanging="876"/>
        <w:spacing w:after="0" w:line="261" w:lineRule="auto"/>
        <w:tabs>
          <w:tab w:leader="none" w:pos="1560" w:val="left"/>
        </w:tabs>
        <w:rPr>
          <w:rFonts w:ascii="Times New Roman" w:cs="Times New Roman" w:eastAsia="Times New Roman" w:hAnsi="Times New Roman"/>
          <w:sz w:val="16"/>
          <w:szCs w:val="16"/>
          <w:color w:val="0000EE"/>
        </w:rPr>
      </w:pPr>
      <w:hyperlink r:id="rId99">
        <w:r>
          <w:rPr>
            <w:rFonts w:ascii="Times New Roman" w:cs="Times New Roman" w:eastAsia="Times New Roman" w:hAnsi="Times New Roman"/>
            <w:sz w:val="16"/>
            <w:szCs w:val="16"/>
            <w:u w:val="single" w:color="auto"/>
            <w:color w:val="0000EE"/>
          </w:rPr>
          <w:t>4.16(b)</w:t>
        </w:r>
      </w:hyperlink>
      <w:r>
        <w:rPr>
          <w:rFonts w:ascii="Times New Roman" w:cs="Times New Roman" w:eastAsia="Times New Roman" w:hAnsi="Times New Roman"/>
          <w:sz w:val="16"/>
          <w:szCs w:val="16"/>
          <w:color w:val="0000EE"/>
        </w:rPr>
        <w:tab/>
        <w:t>First Supplemental Indenture dated November 16, 2020, by and among Viatris Inc., Utah Acquisition Sub Inc., Mylan II B.V., Mylan Inc. and Citibank, N.A., London Branch, as trustee, paying agent, transfer agent, and registrar to the Indenture dated November 22, 2016, by and among Mylan N.V., Mylan Inc. and Citibank, N.A., London Branch, as trustee, paying agent, transfer agent, registrar and calculation agent, filed as Exhibit 4.5 to the Report on Form 8-K/A filed by Viatris Inc. with the SEC on November 19, 2020,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-758825</wp:posOffset>
            </wp:positionV>
            <wp:extent cx="4826000" cy="7581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0">
                      <a:extLst>
                        <a:ext uri="{28A0092B-C50C-407E-A947-70E740481C1C}"/>
                      </a:extLst>
                    </a:blip>
                    <a:srcRect/>
                    <a:stretch>
                      <a:fillRect/>
                    </a:stretch>
                  </pic:blipFill>
                  <pic:spPr bwMode="auto">
                    <a:xfrm>
                      <a:off x="0" y="0"/>
                      <a:ext cx="4826000" cy="758190"/>
                    </a:xfrm>
                    <a:prstGeom prst="rect">
                      <a:avLst/>
                    </a:prstGeom>
                    <a:noFill/>
                  </pic:spPr>
                </pic:pic>
              </a:graphicData>
            </a:graphic>
          </wp:anchor>
        </w:drawing>
      </w:r>
    </w:p>
    <w:p>
      <w:pPr>
        <w:spacing w:after="0" w:line="192" w:lineRule="exact"/>
        <w:rPr>
          <w:sz w:val="20"/>
          <w:szCs w:val="20"/>
          <w:color w:val="auto"/>
        </w:rPr>
      </w:pPr>
    </w:p>
    <w:p>
      <w:pPr>
        <w:jc w:val="both"/>
        <w:ind w:left="1580" w:right="719" w:hanging="876"/>
        <w:spacing w:after="0" w:line="271" w:lineRule="auto"/>
        <w:tabs>
          <w:tab w:leader="none" w:pos="1560" w:val="left"/>
        </w:tabs>
        <w:rPr>
          <w:rFonts w:ascii="Times New Roman" w:cs="Times New Roman" w:eastAsia="Times New Roman" w:hAnsi="Times New Roman"/>
          <w:sz w:val="16"/>
          <w:szCs w:val="16"/>
          <w:color w:val="0000EE"/>
        </w:rPr>
      </w:pPr>
      <w:hyperlink r:id="rId101">
        <w:r>
          <w:rPr>
            <w:rFonts w:ascii="Times New Roman" w:cs="Times New Roman" w:eastAsia="Times New Roman" w:hAnsi="Times New Roman"/>
            <w:sz w:val="16"/>
            <w:szCs w:val="16"/>
            <w:u w:val="single" w:color="auto"/>
            <w:color w:val="0000EE"/>
          </w:rPr>
          <w:t>4.17(a)</w:t>
        </w:r>
      </w:hyperlink>
      <w:r>
        <w:rPr>
          <w:rFonts w:ascii="Times New Roman" w:cs="Times New Roman" w:eastAsia="Times New Roman" w:hAnsi="Times New Roman"/>
          <w:sz w:val="16"/>
          <w:szCs w:val="16"/>
          <w:color w:val="0000EE"/>
        </w:rPr>
        <w:tab/>
        <w:t>Indenture, dated as of April 9, 2018, among Mylan Inc., as issuer, Mylan N.V., as guarantor, and The Bank of New York Mellon, as trustee, filed as Exhibit 4.1 to the Report on Form 8-K filed by Mylan N.V. with the SEC on April 9, 2018,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-392430</wp:posOffset>
            </wp:positionV>
            <wp:extent cx="4826000" cy="386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2">
                      <a:extLst>
                        <a:ext uri="{28A0092B-C50C-407E-A947-70E740481C1C}"/>
                      </a:extLst>
                    </a:blip>
                    <a:srcRect/>
                    <a:stretch>
                      <a:fillRect/>
                    </a:stretch>
                  </pic:blipFill>
                  <pic:spPr bwMode="auto">
                    <a:xfrm>
                      <a:off x="0" y="0"/>
                      <a:ext cx="4826000" cy="3867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3">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46" w:name="page47"/>
    <w:bookmarkEnd w:id="46"/>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4" w:lineRule="exact"/>
        <w:rPr>
          <w:sz w:val="20"/>
          <w:szCs w:val="20"/>
          <w:color w:val="auto"/>
        </w:rPr>
      </w:pPr>
    </w:p>
    <w:p>
      <w:pPr>
        <w:ind w:left="700"/>
        <w:spacing w:after="0"/>
        <w:tabs>
          <w:tab w:leader="none" w:pos="1560" w:val="left"/>
        </w:tabs>
        <w:rPr>
          <w:sz w:val="20"/>
          <w:szCs w:val="20"/>
          <w:color w:val="auto"/>
        </w:rPr>
      </w:pPr>
      <w:r>
        <w:rPr>
          <w:rFonts w:ascii="Times New Roman" w:cs="Times New Roman" w:eastAsia="Times New Roman" w:hAnsi="Times New Roman"/>
          <w:sz w:val="13"/>
          <w:szCs w:val="13"/>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19685</wp:posOffset>
            </wp:positionV>
            <wp:extent cx="4826000" cy="649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4">
                      <a:extLst>
                        <a:ext uri="{28A0092B-C50C-407E-A947-70E740481C1C}"/>
                      </a:extLst>
                    </a:blip>
                    <a:srcRect/>
                    <a:stretch>
                      <a:fillRect/>
                    </a:stretch>
                  </pic:blipFill>
                  <pic:spPr bwMode="auto">
                    <a:xfrm>
                      <a:off x="0" y="0"/>
                      <a:ext cx="4826000" cy="649605"/>
                    </a:xfrm>
                    <a:prstGeom prst="rect">
                      <a:avLst/>
                    </a:prstGeom>
                    <a:noFill/>
                  </pic:spPr>
                </pic:pic>
              </a:graphicData>
            </a:graphic>
          </wp:anchor>
        </w:drawing>
      </w:r>
    </w:p>
    <w:p>
      <w:pPr>
        <w:spacing w:after="0" w:line="31" w:lineRule="exact"/>
        <w:rPr>
          <w:sz w:val="20"/>
          <w:szCs w:val="20"/>
          <w:color w:val="auto"/>
        </w:rPr>
      </w:pPr>
    </w:p>
    <w:p>
      <w:pPr>
        <w:jc w:val="both"/>
        <w:ind w:left="1580" w:right="719" w:hanging="876"/>
        <w:spacing w:after="0" w:line="262" w:lineRule="auto"/>
        <w:tabs>
          <w:tab w:leader="none" w:pos="1560" w:val="left"/>
        </w:tabs>
        <w:rPr>
          <w:rFonts w:ascii="Times New Roman" w:cs="Times New Roman" w:eastAsia="Times New Roman" w:hAnsi="Times New Roman"/>
          <w:sz w:val="16"/>
          <w:szCs w:val="16"/>
          <w:color w:val="0000EE"/>
        </w:rPr>
      </w:pPr>
      <w:hyperlink r:id="rId105">
        <w:r>
          <w:rPr>
            <w:rFonts w:ascii="Times New Roman" w:cs="Times New Roman" w:eastAsia="Times New Roman" w:hAnsi="Times New Roman"/>
            <w:sz w:val="16"/>
            <w:szCs w:val="16"/>
            <w:u w:val="single" w:color="auto"/>
            <w:color w:val="0000EE"/>
          </w:rPr>
          <w:t>4.17(b)</w:t>
        </w:r>
      </w:hyperlink>
      <w:r>
        <w:rPr>
          <w:rFonts w:ascii="Times New Roman" w:cs="Times New Roman" w:eastAsia="Times New Roman" w:hAnsi="Times New Roman"/>
          <w:sz w:val="16"/>
          <w:szCs w:val="16"/>
          <w:color w:val="0000EE"/>
        </w:rPr>
        <w:tab/>
        <w:t>First Supplemental Indenture dated November 16, 2020, by and among Mylan Inc., Viatris Inc., Utah Acquisition Sub Inc., Mylan II B.V. and The Bank of New York Mellon, as trustee, to the Indenture dated April 9, 2018, by and among Mylan Inc., Mylan N.V. and The Bank of New York Mellon, as trustee, filed as Exhibit 4.8 to the Report on Form 8-K/A filed by Viatris Inc. with the SEC on November 19, 2020, and incorporated herein by reference.</w:t>
      </w:r>
    </w:p>
    <w:p>
      <w:pPr>
        <w:spacing w:after="0" w:line="214" w:lineRule="exact"/>
        <w:rPr>
          <w:sz w:val="20"/>
          <w:szCs w:val="20"/>
          <w:color w:val="auto"/>
        </w:rPr>
      </w:pPr>
    </w:p>
    <w:p>
      <w:pPr>
        <w:jc w:val="both"/>
        <w:ind w:left="1580" w:right="719" w:hanging="876"/>
        <w:spacing w:after="0" w:line="265" w:lineRule="auto"/>
        <w:tabs>
          <w:tab w:leader="none" w:pos="1560" w:val="left"/>
        </w:tabs>
        <w:rPr>
          <w:rFonts w:ascii="Times New Roman" w:cs="Times New Roman" w:eastAsia="Times New Roman" w:hAnsi="Times New Roman"/>
          <w:sz w:val="16"/>
          <w:szCs w:val="16"/>
          <w:color w:val="0000EE"/>
        </w:rPr>
      </w:pPr>
      <w:hyperlink r:id="rId106">
        <w:r>
          <w:rPr>
            <w:rFonts w:ascii="Times New Roman" w:cs="Times New Roman" w:eastAsia="Times New Roman" w:hAnsi="Times New Roman"/>
            <w:sz w:val="16"/>
            <w:szCs w:val="16"/>
            <w:u w:val="single" w:color="auto"/>
            <w:color w:val="0000EE"/>
          </w:rPr>
          <w:t>4.18(a)</w:t>
        </w:r>
      </w:hyperlink>
      <w:r>
        <w:rPr>
          <w:rFonts w:ascii="Times New Roman" w:cs="Times New Roman" w:eastAsia="Times New Roman" w:hAnsi="Times New Roman"/>
          <w:sz w:val="16"/>
          <w:szCs w:val="16"/>
          <w:color w:val="0000EE"/>
        </w:rPr>
        <w:tab/>
        <w:t>Indenture, dated as of May 23, 2018, among Mylan Inc., as issuer, Mylan N.V., as guarantor and Citibank, N.A., London Branch, as trustee, paying agent, transfer agent and registrar, filed as Exhibit 4.1 to the Report on Form 8-K filed by Mylan N.V. with the SEC on May 23, 2018,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-512445</wp:posOffset>
            </wp:positionV>
            <wp:extent cx="4826000" cy="5105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7">
                      <a:extLst>
                        <a:ext uri="{28A0092B-C50C-407E-A947-70E740481C1C}"/>
                      </a:extLst>
                    </a:blip>
                    <a:srcRect/>
                    <a:stretch>
                      <a:fillRect/>
                    </a:stretch>
                  </pic:blipFill>
                  <pic:spPr bwMode="auto">
                    <a:xfrm>
                      <a:off x="0" y="0"/>
                      <a:ext cx="4826000" cy="510540"/>
                    </a:xfrm>
                    <a:prstGeom prst="rect">
                      <a:avLst/>
                    </a:prstGeom>
                    <a:noFill/>
                  </pic:spPr>
                </pic:pic>
              </a:graphicData>
            </a:graphic>
          </wp:anchor>
        </w:drawing>
      </w:r>
    </w:p>
    <w:p>
      <w:pPr>
        <w:spacing w:after="0" w:line="190" w:lineRule="exact"/>
        <w:rPr>
          <w:sz w:val="20"/>
          <w:szCs w:val="20"/>
          <w:color w:val="auto"/>
        </w:rPr>
      </w:pPr>
    </w:p>
    <w:p>
      <w:pPr>
        <w:jc w:val="both"/>
        <w:ind w:left="1580" w:right="719" w:hanging="876"/>
        <w:spacing w:after="0" w:line="261" w:lineRule="auto"/>
        <w:tabs>
          <w:tab w:leader="none" w:pos="1560" w:val="left"/>
        </w:tabs>
        <w:rPr>
          <w:rFonts w:ascii="Times New Roman" w:cs="Times New Roman" w:eastAsia="Times New Roman" w:hAnsi="Times New Roman"/>
          <w:sz w:val="16"/>
          <w:szCs w:val="16"/>
          <w:color w:val="0000EE"/>
        </w:rPr>
      </w:pPr>
      <w:hyperlink r:id="rId108">
        <w:r>
          <w:rPr>
            <w:rFonts w:ascii="Times New Roman" w:cs="Times New Roman" w:eastAsia="Times New Roman" w:hAnsi="Times New Roman"/>
            <w:sz w:val="16"/>
            <w:szCs w:val="16"/>
            <w:u w:val="single" w:color="auto"/>
            <w:color w:val="0000EE"/>
          </w:rPr>
          <w:t>4.18(b)</w:t>
        </w:r>
      </w:hyperlink>
      <w:r>
        <w:rPr>
          <w:rFonts w:ascii="Times New Roman" w:cs="Times New Roman" w:eastAsia="Times New Roman" w:hAnsi="Times New Roman"/>
          <w:sz w:val="16"/>
          <w:szCs w:val="16"/>
          <w:color w:val="0000EE"/>
        </w:rPr>
        <w:tab/>
        <w:t>First Supplemental Indenture dated November 16, 2020, by and among Mylan Inc., Utah Acquisition Sub Inc., Mylan II B.V., Viatris Inc. and Citibank, N.A., London Branch, as trustee, paying agent, transfer agent, and registrar, to the Indenture dated May 23, 2018, by and among Mylan Inc., Mylan N.V. and Citibank, N.A., London Branch, as trustee, paying agent, transfer agent, and registrar, filed as Exhibit 4.9 to the Report on Form 8-K/A filed by Viatris Inc. with the SEC on November 19, 2020,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-758825</wp:posOffset>
            </wp:positionV>
            <wp:extent cx="4826000" cy="7581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9">
                      <a:extLst>
                        <a:ext uri="{28A0092B-C50C-407E-A947-70E740481C1C}"/>
                      </a:extLst>
                    </a:blip>
                    <a:srcRect/>
                    <a:stretch>
                      <a:fillRect/>
                    </a:stretch>
                  </pic:blipFill>
                  <pic:spPr bwMode="auto">
                    <a:xfrm>
                      <a:off x="0" y="0"/>
                      <a:ext cx="4826000" cy="758190"/>
                    </a:xfrm>
                    <a:prstGeom prst="rect">
                      <a:avLst/>
                    </a:prstGeom>
                    <a:noFill/>
                  </pic:spPr>
                </pic:pic>
              </a:graphicData>
            </a:graphic>
          </wp:anchor>
        </w:drawing>
      </w:r>
    </w:p>
    <w:p>
      <w:pPr>
        <w:spacing w:after="0" w:line="192" w:lineRule="exact"/>
        <w:rPr>
          <w:sz w:val="20"/>
          <w:szCs w:val="20"/>
          <w:color w:val="auto"/>
        </w:rPr>
      </w:pPr>
    </w:p>
    <w:p>
      <w:pPr>
        <w:jc w:val="both"/>
        <w:ind w:left="1580" w:right="719" w:hanging="876"/>
        <w:spacing w:after="0" w:line="271" w:lineRule="auto"/>
        <w:tabs>
          <w:tab w:leader="none" w:pos="1560" w:val="left"/>
        </w:tabs>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u w:val="single" w:color="auto"/>
            <w:color w:val="0000EE"/>
          </w:rPr>
          <w:t>4.19(a)</w:t>
        </w:r>
      </w:hyperlink>
      <w:r>
        <w:rPr>
          <w:rFonts w:ascii="Times New Roman" w:cs="Times New Roman" w:eastAsia="Times New Roman" w:hAnsi="Times New Roman"/>
          <w:sz w:val="16"/>
          <w:szCs w:val="16"/>
          <w:color w:val="0000EE"/>
        </w:rPr>
        <w:tab/>
        <w:t>Indenture, dated as of June 22, 2020, between Upjohn Inc., as issuer, and The Bank of New York Mellon, as trustee, filed as Exhibit 4.1 to the Report on Form 8-K filed by Upjohn Inc. with the SEC on June 26, 2020,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-392430</wp:posOffset>
            </wp:positionV>
            <wp:extent cx="4826000" cy="386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1">
                      <a:extLst>
                        <a:ext uri="{28A0092B-C50C-407E-A947-70E740481C1C}"/>
                      </a:extLst>
                    </a:blip>
                    <a:srcRect/>
                    <a:stretch>
                      <a:fillRect/>
                    </a:stretch>
                  </pic:blipFill>
                  <pic:spPr bwMode="auto">
                    <a:xfrm>
                      <a:off x="0" y="0"/>
                      <a:ext cx="4826000" cy="386715"/>
                    </a:xfrm>
                    <a:prstGeom prst="rect">
                      <a:avLst/>
                    </a:prstGeom>
                    <a:noFill/>
                  </pic:spPr>
                </pic:pic>
              </a:graphicData>
            </a:graphic>
          </wp:anchor>
        </w:drawing>
      </w:r>
    </w:p>
    <w:p>
      <w:pPr>
        <w:spacing w:after="0" w:line="185" w:lineRule="exact"/>
        <w:rPr>
          <w:sz w:val="20"/>
          <w:szCs w:val="20"/>
          <w:color w:val="auto"/>
        </w:rPr>
      </w:pPr>
    </w:p>
    <w:p>
      <w:pPr>
        <w:jc w:val="both"/>
        <w:ind w:left="1580" w:right="719" w:hanging="876"/>
        <w:spacing w:after="0" w:line="262" w:lineRule="auto"/>
        <w:tabs>
          <w:tab w:leader="none" w:pos="1560" w:val="left"/>
        </w:tabs>
        <w:rPr>
          <w:rFonts w:ascii="Times New Roman" w:cs="Times New Roman" w:eastAsia="Times New Roman" w:hAnsi="Times New Roman"/>
          <w:sz w:val="16"/>
          <w:szCs w:val="16"/>
          <w:color w:val="0000EE"/>
        </w:rPr>
      </w:pPr>
      <w:hyperlink r:id="rId112">
        <w:r>
          <w:rPr>
            <w:rFonts w:ascii="Times New Roman" w:cs="Times New Roman" w:eastAsia="Times New Roman" w:hAnsi="Times New Roman"/>
            <w:sz w:val="16"/>
            <w:szCs w:val="16"/>
            <w:u w:val="single" w:color="auto"/>
            <w:color w:val="0000EE"/>
          </w:rPr>
          <w:t>4.19(b)</w:t>
        </w:r>
      </w:hyperlink>
      <w:r>
        <w:rPr>
          <w:rFonts w:ascii="Times New Roman" w:cs="Times New Roman" w:eastAsia="Times New Roman" w:hAnsi="Times New Roman"/>
          <w:sz w:val="16"/>
          <w:szCs w:val="16"/>
          <w:color w:val="0000EE"/>
        </w:rPr>
        <w:tab/>
        <w:t>First Supplemental Indenture dated November 16, 2020, by and among Viatris Inc., Utah Acquisition Sub Inc., Mylan II B.V., Mylan Inc. and The Bank of New York Mellon, as trustee, to the Indenture dated June 22, 2020, by and among Viatris Inc. and The Bank of New York Mellon, as trustee, filed as Exhibit 4.1 to the Report on Form 8-K/A filed by Viatris Inc. with the SEC on November 19, 2020,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-634365</wp:posOffset>
            </wp:positionV>
            <wp:extent cx="4826000" cy="6343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3">
                      <a:extLst>
                        <a:ext uri="{28A0092B-C50C-407E-A947-70E740481C1C}"/>
                      </a:extLst>
                    </a:blip>
                    <a:srcRect/>
                    <a:stretch>
                      <a:fillRect/>
                    </a:stretch>
                  </pic:blipFill>
                  <pic:spPr bwMode="auto">
                    <a:xfrm>
                      <a:off x="0" y="0"/>
                      <a:ext cx="4826000" cy="634365"/>
                    </a:xfrm>
                    <a:prstGeom prst="rect">
                      <a:avLst/>
                    </a:prstGeom>
                    <a:noFill/>
                  </pic:spPr>
                </pic:pic>
              </a:graphicData>
            </a:graphic>
          </wp:anchor>
        </w:drawing>
      </w:r>
    </w:p>
    <w:p>
      <w:pPr>
        <w:spacing w:after="0" w:line="194" w:lineRule="exact"/>
        <w:rPr>
          <w:sz w:val="20"/>
          <w:szCs w:val="20"/>
          <w:color w:val="auto"/>
        </w:rPr>
      </w:pPr>
    </w:p>
    <w:p>
      <w:pPr>
        <w:jc w:val="both"/>
        <w:ind w:left="1580" w:right="719" w:hanging="876"/>
        <w:spacing w:after="0" w:line="265" w:lineRule="auto"/>
        <w:tabs>
          <w:tab w:leader="none" w:pos="1560" w:val="left"/>
        </w:tabs>
        <w:rPr>
          <w:rFonts w:ascii="Times New Roman" w:cs="Times New Roman" w:eastAsia="Times New Roman" w:hAnsi="Times New Roman"/>
          <w:sz w:val="16"/>
          <w:szCs w:val="16"/>
          <w:color w:val="0000EE"/>
        </w:rPr>
      </w:pPr>
      <w:hyperlink r:id="rId114">
        <w:r>
          <w:rPr>
            <w:rFonts w:ascii="Times New Roman" w:cs="Times New Roman" w:eastAsia="Times New Roman" w:hAnsi="Times New Roman"/>
            <w:sz w:val="16"/>
            <w:szCs w:val="16"/>
            <w:u w:val="single" w:color="auto"/>
            <w:color w:val="0000EE"/>
          </w:rPr>
          <w:t>4.20(a)</w:t>
        </w:r>
      </w:hyperlink>
      <w:r>
        <w:rPr>
          <w:rFonts w:ascii="Times New Roman" w:cs="Times New Roman" w:eastAsia="Times New Roman" w:hAnsi="Times New Roman"/>
          <w:sz w:val="16"/>
          <w:szCs w:val="16"/>
          <w:color w:val="0000EE"/>
        </w:rPr>
        <w:tab/>
        <w:t>Indenture, dated as of June 23, 2020, among Upjohn Finance B.V., as issuer, Upjohn Inc., as guarantor, and Citibank, N.A., London Branch, as trustee, transfer agent, paying agent and registrar, filed as Exhibit 4.9 to the Report on Form 8-K filed by Upjohn Inc. with the SEC on June 26, 2020,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-512445</wp:posOffset>
            </wp:positionV>
            <wp:extent cx="4826000" cy="5105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5">
                      <a:extLst>
                        <a:ext uri="{28A0092B-C50C-407E-A947-70E740481C1C}"/>
                      </a:extLst>
                    </a:blip>
                    <a:srcRect/>
                    <a:stretch>
                      <a:fillRect/>
                    </a:stretch>
                  </pic:blipFill>
                  <pic:spPr bwMode="auto">
                    <a:xfrm>
                      <a:off x="0" y="0"/>
                      <a:ext cx="4826000" cy="510540"/>
                    </a:xfrm>
                    <a:prstGeom prst="rect">
                      <a:avLst/>
                    </a:prstGeom>
                    <a:noFill/>
                  </pic:spPr>
                </pic:pic>
              </a:graphicData>
            </a:graphic>
          </wp:anchor>
        </w:drawing>
      </w:r>
    </w:p>
    <w:p>
      <w:pPr>
        <w:spacing w:after="0" w:line="190" w:lineRule="exact"/>
        <w:rPr>
          <w:sz w:val="20"/>
          <w:szCs w:val="20"/>
          <w:color w:val="auto"/>
        </w:rPr>
      </w:pPr>
    </w:p>
    <w:p>
      <w:pPr>
        <w:jc w:val="both"/>
        <w:ind w:left="1580" w:right="719" w:hanging="876"/>
        <w:spacing w:after="0" w:line="261" w:lineRule="auto"/>
        <w:tabs>
          <w:tab w:leader="none" w:pos="1560" w:val="left"/>
        </w:tabs>
        <w:rPr>
          <w:rFonts w:ascii="Times New Roman" w:cs="Times New Roman" w:eastAsia="Times New Roman" w:hAnsi="Times New Roman"/>
          <w:sz w:val="16"/>
          <w:szCs w:val="16"/>
          <w:color w:val="0000EE"/>
        </w:rPr>
      </w:pPr>
      <w:hyperlink r:id="rId116">
        <w:r>
          <w:rPr>
            <w:rFonts w:ascii="Times New Roman" w:cs="Times New Roman" w:eastAsia="Times New Roman" w:hAnsi="Times New Roman"/>
            <w:sz w:val="16"/>
            <w:szCs w:val="16"/>
            <w:u w:val="single" w:color="auto"/>
            <w:color w:val="0000EE"/>
          </w:rPr>
          <w:t>4.20(b)</w:t>
        </w:r>
      </w:hyperlink>
      <w:r>
        <w:rPr>
          <w:rFonts w:ascii="Times New Roman" w:cs="Times New Roman" w:eastAsia="Times New Roman" w:hAnsi="Times New Roman"/>
          <w:sz w:val="16"/>
          <w:szCs w:val="16"/>
          <w:color w:val="0000EE"/>
        </w:rPr>
        <w:tab/>
        <w:t>First Supplemental Indenture dated November 16, 2020, by and among Upjohn Finance B.V., Viatris Inc., Utah Acquisition Sub Inc., Mylan II B.V., Mylan Inc. and Citibank, N.A., London Branch, as trustee, paying agent, transfer agent, and registrar, to the Indenture dated June 23, 2020, by and among Upjohn Finance B.V., Viatris Inc. and Citibank, N.A., London Branch, as trustee, paying agent, transfer agent, and registrar, filed as Exhibit 4.2 to the Report on Form 8-K/A filed by Viatris Inc. with the SEC on November 19, 2020,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-758825</wp:posOffset>
            </wp:positionV>
            <wp:extent cx="4826000" cy="7581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7">
                      <a:extLst>
                        <a:ext uri="{28A0092B-C50C-407E-A947-70E740481C1C}"/>
                      </a:extLst>
                    </a:blip>
                    <a:srcRect/>
                    <a:stretch>
                      <a:fillRect/>
                    </a:stretch>
                  </pic:blipFill>
                  <pic:spPr bwMode="auto">
                    <a:xfrm>
                      <a:off x="0" y="0"/>
                      <a:ext cx="4826000" cy="758190"/>
                    </a:xfrm>
                    <a:prstGeom prst="rect">
                      <a:avLst/>
                    </a:prstGeom>
                    <a:noFill/>
                  </pic:spPr>
                </pic:pic>
              </a:graphicData>
            </a:graphic>
          </wp:anchor>
        </w:drawing>
      </w:r>
    </w:p>
    <w:p>
      <w:pPr>
        <w:spacing w:after="0" w:line="192" w:lineRule="exact"/>
        <w:rPr>
          <w:sz w:val="20"/>
          <w:szCs w:val="20"/>
          <w:color w:val="auto"/>
        </w:rPr>
      </w:pPr>
    </w:p>
    <w:p>
      <w:pPr>
        <w:ind w:left="700"/>
        <w:spacing w:after="0"/>
        <w:tabs>
          <w:tab w:leader="none" w:pos="1560" w:val="left"/>
        </w:tabs>
        <w:rPr>
          <w:sz w:val="20"/>
          <w:szCs w:val="20"/>
          <w:color w:val="auto"/>
        </w:rPr>
      </w:pPr>
      <w:r>
        <w:rPr>
          <w:rFonts w:ascii="Times New Roman" w:cs="Times New Roman" w:eastAsia="Times New Roman" w:hAnsi="Times New Roman"/>
          <w:sz w:val="16"/>
          <w:szCs w:val="16"/>
          <w:color w:val="auto"/>
        </w:rPr>
        <w:t>4.21*</w:t>
      </w:r>
      <w:r>
        <w:rPr>
          <w:sz w:val="20"/>
          <w:szCs w:val="20"/>
          <w:color w:val="auto"/>
        </w:rPr>
        <w:tab/>
      </w:r>
      <w:r>
        <w:rPr>
          <w:rFonts w:ascii="Times New Roman" w:cs="Times New Roman" w:eastAsia="Times New Roman" w:hAnsi="Times New Roman"/>
          <w:sz w:val="16"/>
          <w:szCs w:val="16"/>
          <w:color w:val="auto"/>
        </w:rPr>
        <w:t>Form of Viatris Inc. Debt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-113665</wp:posOffset>
            </wp:positionV>
            <wp:extent cx="4826000" cy="1390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8">
                      <a:extLst>
                        <a:ext uri="{28A0092B-C50C-407E-A947-70E740481C1C}"/>
                      </a:extLst>
                    </a:blip>
                    <a:srcRect/>
                    <a:stretch>
                      <a:fillRect/>
                    </a:stretch>
                  </pic:blipFill>
                  <pic:spPr bwMode="auto">
                    <a:xfrm>
                      <a:off x="0" y="0"/>
                      <a:ext cx="4826000" cy="139065"/>
                    </a:xfrm>
                    <a:prstGeom prst="rect">
                      <a:avLst/>
                    </a:prstGeom>
                    <a:noFill/>
                  </pic:spPr>
                </pic:pic>
              </a:graphicData>
            </a:graphic>
          </wp:anchor>
        </w:drawing>
      </w:r>
    </w:p>
    <w:p>
      <w:pPr>
        <w:spacing w:after="0" w:line="234" w:lineRule="exact"/>
        <w:rPr>
          <w:sz w:val="20"/>
          <w:szCs w:val="20"/>
          <w:color w:val="auto"/>
        </w:rPr>
      </w:pPr>
    </w:p>
    <w:p>
      <w:pPr>
        <w:ind w:left="700"/>
        <w:spacing w:after="0"/>
        <w:tabs>
          <w:tab w:leader="none" w:pos="1560" w:val="left"/>
        </w:tabs>
        <w:rPr>
          <w:sz w:val="20"/>
          <w:szCs w:val="20"/>
          <w:color w:val="auto"/>
        </w:rPr>
      </w:pPr>
      <w:r>
        <w:rPr>
          <w:rFonts w:ascii="Times New Roman" w:cs="Times New Roman" w:eastAsia="Times New Roman" w:hAnsi="Times New Roman"/>
          <w:sz w:val="16"/>
          <w:szCs w:val="16"/>
          <w:color w:val="auto"/>
        </w:rPr>
        <w:t>4.22*</w:t>
      </w:r>
      <w:r>
        <w:rPr>
          <w:sz w:val="20"/>
          <w:szCs w:val="20"/>
          <w:color w:val="auto"/>
        </w:rPr>
        <w:tab/>
      </w:r>
      <w:r>
        <w:rPr>
          <w:rFonts w:ascii="Times New Roman" w:cs="Times New Roman" w:eastAsia="Times New Roman" w:hAnsi="Times New Roman"/>
          <w:sz w:val="16"/>
          <w:szCs w:val="16"/>
          <w:color w:val="auto"/>
        </w:rPr>
        <w:t>Form of Certificate for Preferred Stock of Viatris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-113665</wp:posOffset>
            </wp:positionV>
            <wp:extent cx="4826000" cy="1390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9">
                      <a:extLst>
                        <a:ext uri="{28A0092B-C50C-407E-A947-70E740481C1C}"/>
                      </a:extLst>
                    </a:blip>
                    <a:srcRect/>
                    <a:stretch>
                      <a:fillRect/>
                    </a:stretch>
                  </pic:blipFill>
                  <pic:spPr bwMode="auto">
                    <a:xfrm>
                      <a:off x="0" y="0"/>
                      <a:ext cx="4826000" cy="139065"/>
                    </a:xfrm>
                    <a:prstGeom prst="rect">
                      <a:avLst/>
                    </a:prstGeom>
                    <a:noFill/>
                  </pic:spPr>
                </pic:pic>
              </a:graphicData>
            </a:graphic>
          </wp:anchor>
        </w:drawing>
      </w:r>
    </w:p>
    <w:p>
      <w:pPr>
        <w:spacing w:after="0" w:line="234" w:lineRule="exact"/>
        <w:rPr>
          <w:sz w:val="20"/>
          <w:szCs w:val="20"/>
          <w:color w:val="auto"/>
        </w:rPr>
      </w:pPr>
    </w:p>
    <w:p>
      <w:pPr>
        <w:ind w:left="700"/>
        <w:spacing w:after="0"/>
        <w:tabs>
          <w:tab w:leader="none" w:pos="1560" w:val="left"/>
        </w:tabs>
        <w:rPr>
          <w:sz w:val="20"/>
          <w:szCs w:val="20"/>
          <w:color w:val="auto"/>
        </w:rPr>
      </w:pPr>
      <w:r>
        <w:rPr>
          <w:rFonts w:ascii="Times New Roman" w:cs="Times New Roman" w:eastAsia="Times New Roman" w:hAnsi="Times New Roman"/>
          <w:sz w:val="16"/>
          <w:szCs w:val="16"/>
          <w:color w:val="auto"/>
        </w:rPr>
        <w:t>4.23*</w:t>
      </w:r>
      <w:r>
        <w:rPr>
          <w:sz w:val="20"/>
          <w:szCs w:val="20"/>
          <w:color w:val="auto"/>
        </w:rPr>
        <w:tab/>
      </w:r>
      <w:r>
        <w:rPr>
          <w:rFonts w:ascii="Times New Roman" w:cs="Times New Roman" w:eastAsia="Times New Roman" w:hAnsi="Times New Roman"/>
          <w:sz w:val="16"/>
          <w:szCs w:val="16"/>
          <w:color w:val="auto"/>
        </w:rPr>
        <w:t>Form of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-113665</wp:posOffset>
            </wp:positionV>
            <wp:extent cx="4826000" cy="1390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0">
                      <a:extLst>
                        <a:ext uri="{28A0092B-C50C-407E-A947-70E740481C1C}"/>
                      </a:extLst>
                    </a:blip>
                    <a:srcRect/>
                    <a:stretch>
                      <a:fillRect/>
                    </a:stretch>
                  </pic:blipFill>
                  <pic:spPr bwMode="auto">
                    <a:xfrm>
                      <a:off x="0" y="0"/>
                      <a:ext cx="4826000" cy="139065"/>
                    </a:xfrm>
                    <a:prstGeom prst="rect">
                      <a:avLst/>
                    </a:prstGeom>
                    <a:noFill/>
                  </pic:spPr>
                </pic:pic>
              </a:graphicData>
            </a:graphic>
          </wp:anchor>
        </w:drawing>
      </w:r>
    </w:p>
    <w:p>
      <w:pPr>
        <w:spacing w:after="0" w:line="234" w:lineRule="exact"/>
        <w:rPr>
          <w:sz w:val="20"/>
          <w:szCs w:val="20"/>
          <w:color w:val="auto"/>
        </w:rPr>
      </w:pPr>
    </w:p>
    <w:p>
      <w:pPr>
        <w:ind w:left="700"/>
        <w:spacing w:after="0"/>
        <w:tabs>
          <w:tab w:leader="none" w:pos="1560" w:val="left"/>
        </w:tabs>
        <w:rPr>
          <w:sz w:val="20"/>
          <w:szCs w:val="20"/>
          <w:color w:val="auto"/>
        </w:rPr>
      </w:pPr>
      <w:r>
        <w:rPr>
          <w:rFonts w:ascii="Times New Roman" w:cs="Times New Roman" w:eastAsia="Times New Roman" w:hAnsi="Times New Roman"/>
          <w:sz w:val="16"/>
          <w:szCs w:val="16"/>
          <w:color w:val="auto"/>
        </w:rPr>
        <w:t>4.24*</w:t>
      </w:r>
      <w:r>
        <w:rPr>
          <w:sz w:val="20"/>
          <w:szCs w:val="20"/>
          <w:color w:val="auto"/>
        </w:rPr>
        <w:tab/>
      </w:r>
      <w:r>
        <w:rPr>
          <w:rFonts w:ascii="Times New Roman" w:cs="Times New Roman" w:eastAsia="Times New Roman" w:hAnsi="Times New Roman"/>
          <w:sz w:val="16"/>
          <w:szCs w:val="16"/>
          <w:color w:val="auto"/>
        </w:rPr>
        <w:t>Form of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-113665</wp:posOffset>
            </wp:positionV>
            <wp:extent cx="4826000" cy="1390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1">
                      <a:extLst>
                        <a:ext uri="{28A0092B-C50C-407E-A947-70E740481C1C}"/>
                      </a:extLst>
                    </a:blip>
                    <a:srcRect/>
                    <a:stretch>
                      <a:fillRect/>
                    </a:stretch>
                  </pic:blipFill>
                  <pic:spPr bwMode="auto">
                    <a:xfrm>
                      <a:off x="0" y="0"/>
                      <a:ext cx="4826000" cy="139065"/>
                    </a:xfrm>
                    <a:prstGeom prst="rect">
                      <a:avLst/>
                    </a:prstGeom>
                    <a:noFill/>
                  </pic:spPr>
                </pic:pic>
              </a:graphicData>
            </a:graphic>
          </wp:anchor>
        </w:drawing>
      </w:r>
    </w:p>
    <w:p>
      <w:pPr>
        <w:spacing w:after="0" w:line="234" w:lineRule="exact"/>
        <w:rPr>
          <w:sz w:val="20"/>
          <w:szCs w:val="20"/>
          <w:color w:val="auto"/>
        </w:rPr>
      </w:pPr>
    </w:p>
    <w:p>
      <w:pPr>
        <w:ind w:left="700"/>
        <w:spacing w:after="0"/>
        <w:tabs>
          <w:tab w:leader="none" w:pos="1560" w:val="left"/>
        </w:tabs>
        <w:rPr>
          <w:sz w:val="20"/>
          <w:szCs w:val="20"/>
          <w:color w:val="auto"/>
        </w:rPr>
      </w:pPr>
      <w:r>
        <w:rPr>
          <w:rFonts w:ascii="Times New Roman" w:cs="Times New Roman" w:eastAsia="Times New Roman" w:hAnsi="Times New Roman"/>
          <w:sz w:val="16"/>
          <w:szCs w:val="16"/>
          <w:color w:val="auto"/>
        </w:rPr>
        <w:t>4.25*</w:t>
      </w:r>
      <w:r>
        <w:rPr>
          <w:sz w:val="20"/>
          <w:szCs w:val="20"/>
          <w:color w:val="auto"/>
        </w:rPr>
        <w:tab/>
      </w:r>
      <w:r>
        <w:rPr>
          <w:rFonts w:ascii="Times New Roman" w:cs="Times New Roman" w:eastAsia="Times New Roman" w:hAnsi="Times New Roman"/>
          <w:sz w:val="16"/>
          <w:szCs w:val="16"/>
          <w:color w:val="auto"/>
        </w:rPr>
        <w:t>Form of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-113665</wp:posOffset>
            </wp:positionV>
            <wp:extent cx="4826000" cy="1390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2">
                      <a:extLst>
                        <a:ext uri="{28A0092B-C50C-407E-A947-70E740481C1C}"/>
                      </a:extLst>
                    </a:blip>
                    <a:srcRect/>
                    <a:stretch>
                      <a:fillRect/>
                    </a:stretch>
                  </pic:blipFill>
                  <pic:spPr bwMode="auto">
                    <a:xfrm>
                      <a:off x="0" y="0"/>
                      <a:ext cx="4826000" cy="139065"/>
                    </a:xfrm>
                    <a:prstGeom prst="rect">
                      <a:avLst/>
                    </a:prstGeom>
                    <a:noFill/>
                  </pic:spPr>
                </pic:pic>
              </a:graphicData>
            </a:graphic>
          </wp:anchor>
        </w:drawing>
      </w:r>
    </w:p>
    <w:p>
      <w:pPr>
        <w:spacing w:after="0" w:line="234" w:lineRule="exact"/>
        <w:rPr>
          <w:sz w:val="20"/>
          <w:szCs w:val="20"/>
          <w:color w:val="auto"/>
        </w:rPr>
      </w:pPr>
    </w:p>
    <w:p>
      <w:pPr>
        <w:ind w:left="700"/>
        <w:spacing w:after="0"/>
        <w:tabs>
          <w:tab w:leader="none" w:pos="1560" w:val="left"/>
        </w:tabs>
        <w:rPr>
          <w:sz w:val="20"/>
          <w:szCs w:val="20"/>
          <w:color w:val="auto"/>
        </w:rPr>
      </w:pPr>
      <w:r>
        <w:rPr>
          <w:rFonts w:ascii="Times New Roman" w:cs="Times New Roman" w:eastAsia="Times New Roman" w:hAnsi="Times New Roman"/>
          <w:sz w:val="16"/>
          <w:szCs w:val="16"/>
          <w:u w:val="single" w:color="auto"/>
          <w:color w:val="0000EE"/>
        </w:rPr>
        <w:t>5.1**</w:t>
      </w:r>
      <w:r>
        <w:rPr>
          <w:sz w:val="20"/>
          <w:szCs w:val="20"/>
          <w:color w:val="auto"/>
        </w:rPr>
        <w:tab/>
      </w:r>
      <w:r>
        <w:rPr>
          <w:rFonts w:ascii="Times New Roman" w:cs="Times New Roman" w:eastAsia="Times New Roman" w:hAnsi="Times New Roman"/>
          <w:sz w:val="16"/>
          <w:szCs w:val="16"/>
          <w:color w:val="auto"/>
        </w:rPr>
        <w:t>Opinion of Cravath, Swaine &amp; Moore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-113665</wp:posOffset>
            </wp:positionV>
            <wp:extent cx="4826000" cy="1390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3">
                      <a:extLst>
                        <a:ext uri="{28A0092B-C50C-407E-A947-70E740481C1C}"/>
                      </a:extLst>
                    </a:blip>
                    <a:srcRect/>
                    <a:stretch>
                      <a:fillRect/>
                    </a:stretch>
                  </pic:blipFill>
                  <pic:spPr bwMode="auto">
                    <a:xfrm>
                      <a:off x="0" y="0"/>
                      <a:ext cx="4826000" cy="139065"/>
                    </a:xfrm>
                    <a:prstGeom prst="rect">
                      <a:avLst/>
                    </a:prstGeom>
                    <a:noFill/>
                  </pic:spPr>
                </pic:pic>
              </a:graphicData>
            </a:graphic>
          </wp:anchor>
        </w:drawing>
      </w:r>
    </w:p>
    <w:p>
      <w:pPr>
        <w:spacing w:after="0" w:line="234" w:lineRule="exact"/>
        <w:rPr>
          <w:sz w:val="20"/>
          <w:szCs w:val="20"/>
          <w:color w:val="auto"/>
        </w:rPr>
      </w:pPr>
    </w:p>
    <w:p>
      <w:pPr>
        <w:ind w:left="700"/>
        <w:spacing w:after="0"/>
        <w:tabs>
          <w:tab w:leader="none" w:pos="1560" w:val="left"/>
        </w:tabs>
        <w:rPr>
          <w:sz w:val="20"/>
          <w:szCs w:val="20"/>
          <w:color w:val="auto"/>
        </w:rPr>
      </w:pPr>
      <w:r>
        <w:rPr>
          <w:rFonts w:ascii="Times New Roman" w:cs="Times New Roman" w:eastAsia="Times New Roman" w:hAnsi="Times New Roman"/>
          <w:sz w:val="16"/>
          <w:szCs w:val="16"/>
          <w:u w:val="single" w:color="auto"/>
          <w:color w:val="0000EE"/>
        </w:rPr>
        <w:t>5.2</w:t>
      </w:r>
      <w:r>
        <w:rPr>
          <w:rFonts w:ascii="Times New Roman" w:cs="Times New Roman" w:eastAsia="Times New Roman" w:hAnsi="Times New Roman"/>
          <w:sz w:val="16"/>
          <w:szCs w:val="16"/>
          <w:color w:val="000000"/>
        </w:rPr>
        <w:t>**</w:t>
      </w:r>
      <w:r>
        <w:rPr>
          <w:sz w:val="20"/>
          <w:szCs w:val="20"/>
          <w:color w:val="auto"/>
        </w:rPr>
        <w:tab/>
      </w:r>
      <w:r>
        <w:rPr>
          <w:rFonts w:ascii="Times New Roman" w:cs="Times New Roman" w:eastAsia="Times New Roman" w:hAnsi="Times New Roman"/>
          <w:sz w:val="15"/>
          <w:szCs w:val="15"/>
          <w:color w:val="auto"/>
        </w:rPr>
        <w:t>Opinion of NautaDutilh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-113665</wp:posOffset>
            </wp:positionV>
            <wp:extent cx="4826000"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4">
                      <a:extLst>
                        <a:ext uri="{28A0092B-C50C-407E-A947-70E740481C1C}"/>
                      </a:extLst>
                    </a:blip>
                    <a:srcRect/>
                    <a:stretch>
                      <a:fillRect/>
                    </a:stretch>
                  </pic:blipFill>
                  <pic:spPr bwMode="auto">
                    <a:xfrm>
                      <a:off x="0" y="0"/>
                      <a:ext cx="4826000" cy="162560"/>
                    </a:xfrm>
                    <a:prstGeom prst="rect">
                      <a:avLst/>
                    </a:prstGeom>
                    <a:noFill/>
                  </pic:spPr>
                </pic:pic>
              </a:graphicData>
            </a:graphic>
          </wp:anchor>
        </w:drawing>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5">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47" w:name="page48"/>
    <w:bookmarkEnd w:id="47"/>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4" w:lineRule="exact"/>
        <w:rPr>
          <w:sz w:val="20"/>
          <w:szCs w:val="20"/>
          <w:color w:val="auto"/>
        </w:rPr>
      </w:pPr>
    </w:p>
    <w:tbl>
      <w:tblPr>
        <w:tblLayout w:type="fixed"/>
        <w:tblInd w:w="700" w:type="dxa"/>
        <w:tblCellMar>
          <w:top w:w="0" w:type="dxa"/>
          <w:left w:w="0" w:type="dxa"/>
          <w:bottom w:w="0" w:type="dxa"/>
          <w:right w:w="0" w:type="dxa"/>
        </w:tblCellMar>
      </w:tblPr>
      <w:tr>
        <w:trPr>
          <w:trHeight w:val="175"/>
        </w:trPr>
        <w:tc>
          <w:tcPr>
            <w:tcW w:w="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00" w:type="dxa"/>
            <w:vAlign w:val="bottom"/>
          </w:tcPr>
          <w:p>
            <w:pPr>
              <w:spacing w:after="0"/>
              <w:rPr>
                <w:sz w:val="15"/>
                <w:szCs w:val="15"/>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340" w:type="dxa"/>
            <w:vAlign w:val="bottom"/>
            <w:tcBorders>
              <w:bottom w:val="single" w:sz="8" w:color="0000EE"/>
            </w:tcBorders>
            <w:gridSpan w:val="2"/>
          </w:tcPr>
          <w:p>
            <w:pPr>
              <w:spacing w:after="0" w:line="171" w:lineRule="exact"/>
              <w:rPr>
                <w:sz w:val="20"/>
                <w:szCs w:val="20"/>
                <w:color w:val="auto"/>
              </w:rPr>
            </w:pPr>
            <w:r>
              <w:rPr>
                <w:rFonts w:ascii="Times New Roman" w:cs="Times New Roman" w:eastAsia="Times New Roman" w:hAnsi="Times New Roman"/>
                <w:sz w:val="16"/>
                <w:szCs w:val="16"/>
                <w:color w:val="0000EE"/>
                <w:w w:val="88"/>
              </w:rPr>
              <w:t>5.</w:t>
            </w:r>
            <w:r>
              <w:rPr>
                <w:rFonts w:ascii="Times New Roman" w:cs="Times New Roman" w:eastAsia="Times New Roman" w:hAnsi="Times New Roman"/>
                <w:sz w:val="16"/>
                <w:szCs w:val="16"/>
                <w:u w:val="single" w:color="auto"/>
                <w:color w:val="0000EE"/>
                <w:w w:val="88"/>
              </w:rPr>
              <w:t>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Opinion of Parker Poe Adams &amp; Bernstein LLP.</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restart"/>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340" w:type="dxa"/>
            <w:vAlign w:val="bottom"/>
            <w:gridSpan w:val="2"/>
          </w:tcPr>
          <w:p>
            <w:pPr>
              <w:spacing w:after="0" w:line="171" w:lineRule="exact"/>
              <w:rPr>
                <w:rFonts w:ascii="Times New Roman" w:cs="Times New Roman" w:eastAsia="Times New Roman" w:hAnsi="Times New Roman"/>
                <w:sz w:val="16"/>
                <w:szCs w:val="16"/>
                <w:color w:val="0000EE"/>
              </w:rPr>
            </w:pPr>
            <w:hyperlink r:id="rId126">
              <w:r>
                <w:rPr>
                  <w:rFonts w:ascii="Times New Roman" w:cs="Times New Roman" w:eastAsia="Times New Roman" w:hAnsi="Times New Roman"/>
                  <w:sz w:val="16"/>
                  <w:szCs w:val="16"/>
                  <w:color w:val="0000EE"/>
                </w:rPr>
                <w:t>22.</w:t>
              </w:r>
              <w:r>
                <w:rPr>
                  <w:rFonts w:ascii="Times New Roman" w:cs="Times New Roman" w:eastAsia="Times New Roman" w:hAnsi="Times New Roman"/>
                  <w:sz w:val="16"/>
                  <w:szCs w:val="16"/>
                  <w:u w:val="single" w:color="auto"/>
                  <w:color w:val="0000EE"/>
                </w:rPr>
                <w:t>1</w:t>
              </w:r>
            </w:hyperlink>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List of subsidiary guarantors and issuers of guaranteed securities, filed as Exhibit 22 to the Report 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Form 10-K filed by Viatris Inc. with the SEC on February 27, 2025, and incorporated herein by</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reference.</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440" w:type="dxa"/>
            <w:vAlign w:val="bottom"/>
            <w:gridSpan w:val="3"/>
          </w:tcPr>
          <w:p>
            <w:pPr>
              <w:spacing w:after="0" w:line="171" w:lineRule="exact"/>
              <w:rPr>
                <w:sz w:val="20"/>
                <w:szCs w:val="20"/>
                <w:color w:val="auto"/>
              </w:rPr>
            </w:pPr>
            <w:r>
              <w:rPr>
                <w:rFonts w:ascii="Times New Roman" w:cs="Times New Roman" w:eastAsia="Times New Roman" w:hAnsi="Times New Roman"/>
                <w:sz w:val="16"/>
                <w:szCs w:val="16"/>
                <w:color w:val="0000EE"/>
                <w:w w:val="95"/>
              </w:rPr>
              <w:t>23.</w:t>
            </w:r>
            <w:r>
              <w:rPr>
                <w:rFonts w:ascii="Times New Roman" w:cs="Times New Roman" w:eastAsia="Times New Roman" w:hAnsi="Times New Roman"/>
                <w:sz w:val="16"/>
                <w:szCs w:val="16"/>
                <w:u w:val="single" w:color="auto"/>
                <w:color w:val="0000EE"/>
                <w:w w:val="95"/>
              </w:rPr>
              <w:t>1</w:t>
            </w:r>
            <w:r>
              <w:rPr>
                <w:rFonts w:ascii="Times New Roman" w:cs="Times New Roman" w:eastAsia="Times New Roman" w:hAnsi="Times New Roman"/>
                <w:sz w:val="16"/>
                <w:szCs w:val="16"/>
                <w:color w:val="000000"/>
                <w:w w:val="95"/>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Consent of Deloitte &amp; Touche LLP, independent registered public accounting firm.</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restart"/>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76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0000EE"/>
              </w:rPr>
              <w:t>23.</w:t>
            </w:r>
            <w:r>
              <w:rPr>
                <w:rFonts w:ascii="Times New Roman" w:cs="Times New Roman" w:eastAsia="Times New Roman" w:hAnsi="Times New Roman"/>
                <w:sz w:val="16"/>
                <w:szCs w:val="16"/>
                <w:u w:val="single" w:color="auto"/>
                <w:color w:val="0000EE"/>
              </w:rPr>
              <w:t>2**</w:t>
            </w:r>
          </w:p>
        </w:tc>
        <w:tc>
          <w:tcPr>
            <w:tcW w:w="100" w:type="dxa"/>
            <w:vAlign w:val="bottom"/>
          </w:tcPr>
          <w:p>
            <w:pPr>
              <w:spacing w:after="0"/>
              <w:rPr>
                <w:sz w:val="14"/>
                <w:szCs w:val="14"/>
                <w:color w:val="auto"/>
              </w:rPr>
            </w:pPr>
          </w:p>
        </w:tc>
        <w:tc>
          <w:tcPr>
            <w:tcW w:w="67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Consent of Cravath, Swaine &amp; Moore LLP (included as part of Exhibit 5.1).</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restart"/>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440" w:type="dxa"/>
            <w:vAlign w:val="bottom"/>
            <w:gridSpan w:val="3"/>
          </w:tcPr>
          <w:p>
            <w:pPr>
              <w:spacing w:after="0" w:line="171" w:lineRule="exact"/>
              <w:rPr>
                <w:sz w:val="20"/>
                <w:szCs w:val="20"/>
                <w:color w:val="auto"/>
              </w:rPr>
            </w:pPr>
            <w:r>
              <w:rPr>
                <w:rFonts w:ascii="Times New Roman" w:cs="Times New Roman" w:eastAsia="Times New Roman" w:hAnsi="Times New Roman"/>
                <w:sz w:val="16"/>
                <w:szCs w:val="16"/>
                <w:color w:val="0000EE"/>
                <w:w w:val="95"/>
              </w:rPr>
              <w:t>23.</w:t>
            </w:r>
            <w:r>
              <w:rPr>
                <w:rFonts w:ascii="Times New Roman" w:cs="Times New Roman" w:eastAsia="Times New Roman" w:hAnsi="Times New Roman"/>
                <w:sz w:val="16"/>
                <w:szCs w:val="16"/>
                <w:u w:val="single" w:color="auto"/>
                <w:color w:val="0000EE"/>
                <w:w w:val="95"/>
              </w:rPr>
              <w:t>3</w:t>
            </w:r>
            <w:r>
              <w:rPr>
                <w:rFonts w:ascii="Times New Roman" w:cs="Times New Roman" w:eastAsia="Times New Roman" w:hAnsi="Times New Roman"/>
                <w:sz w:val="16"/>
                <w:szCs w:val="16"/>
                <w:color w:val="000000"/>
                <w:w w:val="95"/>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Consent of NautaDutilh N.V. (included as part of Exhibit 5.2).</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restart"/>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76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0000EE"/>
              </w:rPr>
              <w:t>23.</w:t>
            </w:r>
            <w:r>
              <w:rPr>
                <w:rFonts w:ascii="Times New Roman" w:cs="Times New Roman" w:eastAsia="Times New Roman" w:hAnsi="Times New Roman"/>
                <w:sz w:val="16"/>
                <w:szCs w:val="16"/>
                <w:u w:val="single" w:color="auto"/>
                <w:color w:val="0000EE"/>
              </w:rPr>
              <w:t>4**</w:t>
            </w:r>
          </w:p>
        </w:tc>
        <w:tc>
          <w:tcPr>
            <w:tcW w:w="100" w:type="dxa"/>
            <w:vAlign w:val="bottom"/>
          </w:tcPr>
          <w:p>
            <w:pPr>
              <w:spacing w:after="0"/>
              <w:rPr>
                <w:sz w:val="14"/>
                <w:szCs w:val="14"/>
                <w:color w:val="auto"/>
              </w:rPr>
            </w:pPr>
          </w:p>
        </w:tc>
        <w:tc>
          <w:tcPr>
            <w:tcW w:w="67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Consent of Parker Poe Adams &amp; Bernstein LLP (included as part of Exhibit 5.3).</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restart"/>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440" w:type="dxa"/>
            <w:vAlign w:val="bottom"/>
            <w:gridSpan w:val="3"/>
          </w:tcPr>
          <w:p>
            <w:pPr>
              <w:spacing w:after="0" w:line="171" w:lineRule="exact"/>
              <w:rPr>
                <w:sz w:val="20"/>
                <w:szCs w:val="20"/>
                <w:color w:val="auto"/>
              </w:rPr>
            </w:pPr>
            <w:r>
              <w:rPr>
                <w:rFonts w:ascii="Times New Roman" w:cs="Times New Roman" w:eastAsia="Times New Roman" w:hAnsi="Times New Roman"/>
                <w:sz w:val="16"/>
                <w:szCs w:val="16"/>
                <w:color w:val="0000EE"/>
                <w:w w:val="95"/>
              </w:rPr>
              <w:t>24.</w:t>
            </w:r>
            <w:r>
              <w:rPr>
                <w:rFonts w:ascii="Times New Roman" w:cs="Times New Roman" w:eastAsia="Times New Roman" w:hAnsi="Times New Roman"/>
                <w:sz w:val="16"/>
                <w:szCs w:val="16"/>
                <w:u w:val="single" w:color="auto"/>
                <w:color w:val="0000EE"/>
                <w:w w:val="95"/>
              </w:rPr>
              <w:t>1</w:t>
            </w:r>
            <w:r>
              <w:rPr>
                <w:rFonts w:ascii="Times New Roman" w:cs="Times New Roman" w:eastAsia="Times New Roman" w:hAnsi="Times New Roman"/>
                <w:sz w:val="16"/>
                <w:szCs w:val="16"/>
                <w:color w:val="000000"/>
                <w:w w:val="95"/>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Powers of Attorney (included in signature pages).</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restart"/>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76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0000EE"/>
              </w:rPr>
              <w:t>25.</w:t>
            </w:r>
            <w:r>
              <w:rPr>
                <w:rFonts w:ascii="Times New Roman" w:cs="Times New Roman" w:eastAsia="Times New Roman" w:hAnsi="Times New Roman"/>
                <w:sz w:val="16"/>
                <w:szCs w:val="16"/>
                <w:u w:val="single" w:color="auto"/>
                <w:color w:val="0000EE"/>
              </w:rPr>
              <w:t>1**</w:t>
            </w:r>
          </w:p>
        </w:tc>
        <w:tc>
          <w:tcPr>
            <w:tcW w:w="100" w:type="dxa"/>
            <w:vAlign w:val="bottom"/>
          </w:tcPr>
          <w:p>
            <w:pPr>
              <w:spacing w:after="0"/>
              <w:rPr>
                <w:sz w:val="14"/>
                <w:szCs w:val="14"/>
                <w:color w:val="auto"/>
              </w:rPr>
            </w:pPr>
          </w:p>
        </w:tc>
        <w:tc>
          <w:tcPr>
            <w:tcW w:w="67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Statement of Eligibility on Form T-1 under the Trust Indenture Act of 1939, as amended, of The Bank</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of New York Mellon, as trustee, with respect to the Form of Viatris Inc. Senior Indenture.</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76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0000EE"/>
              </w:rPr>
              <w:t>25.</w:t>
            </w:r>
            <w:r>
              <w:rPr>
                <w:rFonts w:ascii="Times New Roman" w:cs="Times New Roman" w:eastAsia="Times New Roman" w:hAnsi="Times New Roman"/>
                <w:sz w:val="16"/>
                <w:szCs w:val="16"/>
                <w:u w:val="single" w:color="auto"/>
                <w:color w:val="0000EE"/>
              </w:rPr>
              <w:t>2**</w:t>
            </w:r>
          </w:p>
        </w:tc>
        <w:tc>
          <w:tcPr>
            <w:tcW w:w="100" w:type="dxa"/>
            <w:vAlign w:val="bottom"/>
          </w:tcPr>
          <w:p>
            <w:pPr>
              <w:spacing w:after="0"/>
              <w:rPr>
                <w:sz w:val="14"/>
                <w:szCs w:val="14"/>
                <w:color w:val="auto"/>
              </w:rPr>
            </w:pPr>
          </w:p>
        </w:tc>
        <w:tc>
          <w:tcPr>
            <w:tcW w:w="67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Statement of Eligibility on Form T-1 under the Trust Indenture Act of 1939, as amended, of The Bank</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of New York Mellon, as trustee, with respect to the Form of Viatris Inc. Subordinated Indenture.</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76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0000EE"/>
              </w:rPr>
              <w:t>25.</w:t>
            </w:r>
            <w:r>
              <w:rPr>
                <w:rFonts w:ascii="Times New Roman" w:cs="Times New Roman" w:eastAsia="Times New Roman" w:hAnsi="Times New Roman"/>
                <w:sz w:val="16"/>
                <w:szCs w:val="16"/>
                <w:u w:val="single" w:color="auto"/>
                <w:color w:val="0000EE"/>
              </w:rPr>
              <w:t>3**</w:t>
            </w:r>
          </w:p>
        </w:tc>
        <w:tc>
          <w:tcPr>
            <w:tcW w:w="100" w:type="dxa"/>
            <w:vAlign w:val="bottom"/>
          </w:tcPr>
          <w:p>
            <w:pPr>
              <w:spacing w:after="0"/>
              <w:rPr>
                <w:sz w:val="14"/>
                <w:szCs w:val="14"/>
                <w:color w:val="auto"/>
              </w:rPr>
            </w:pPr>
          </w:p>
        </w:tc>
        <w:tc>
          <w:tcPr>
            <w:tcW w:w="67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Statement of Eligibility on Form T-1 under the Trust Indenture Act of 1939, as amended, of The Bank</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of New York Mellon, as trustee, with respect to the Form of Viatris Inc. Junior Subordinated Indenture.</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76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0000EE"/>
              </w:rPr>
              <w:t>107.</w:t>
            </w:r>
            <w:r>
              <w:rPr>
                <w:rFonts w:ascii="Times New Roman" w:cs="Times New Roman" w:eastAsia="Times New Roman" w:hAnsi="Times New Roman"/>
                <w:sz w:val="16"/>
                <w:szCs w:val="16"/>
                <w:u w:val="single" w:color="auto"/>
                <w:color w:val="0000EE"/>
              </w:rPr>
              <w:t>1</w:t>
            </w:r>
            <w:r>
              <w:rPr>
                <w:rFonts w:ascii="Times New Roman" w:cs="Times New Roman" w:eastAsia="Times New Roman" w:hAnsi="Times New Roman"/>
                <w:sz w:val="16"/>
                <w:szCs w:val="16"/>
                <w:color w:val="000000"/>
              </w:rPr>
              <w:t>**</w:t>
            </w:r>
          </w:p>
        </w:tc>
        <w:tc>
          <w:tcPr>
            <w:tcW w:w="100" w:type="dxa"/>
            <w:vAlign w:val="bottom"/>
          </w:tcPr>
          <w:p>
            <w:pPr>
              <w:spacing w:after="0"/>
              <w:rPr>
                <w:sz w:val="14"/>
                <w:szCs w:val="14"/>
                <w:color w:val="auto"/>
              </w:rPr>
            </w:pPr>
          </w:p>
        </w:tc>
        <w:tc>
          <w:tcPr>
            <w:tcW w:w="67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Filing Fee Table.</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208915</wp:posOffset>
            </wp:positionV>
            <wp:extent cx="74231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7">
                      <a:extLst>
                        <a:ext uri="{28A0092B-C50C-407E-A947-70E740481C1C}"/>
                      </a:extLst>
                    </a:blip>
                    <a:srcRect/>
                    <a:stretch>
                      <a:fillRect/>
                    </a:stretch>
                  </pic:blipFill>
                  <pic:spPr bwMode="auto">
                    <a:xfrm>
                      <a:off x="0" y="0"/>
                      <a:ext cx="742315" cy="7620"/>
                    </a:xfrm>
                    <a:prstGeom prst="rect">
                      <a:avLst/>
                    </a:prstGeom>
                    <a:noFill/>
                  </pic:spPr>
                </pic:pic>
              </a:graphicData>
            </a:graphic>
          </wp:anchor>
        </w:drawing>
      </w:r>
    </w:p>
    <w:p>
      <w:pPr>
        <w:spacing w:after="0" w:line="350" w:lineRule="exact"/>
        <w:rPr>
          <w:sz w:val="20"/>
          <w:szCs w:val="20"/>
          <w:color w:val="auto"/>
        </w:rPr>
      </w:pPr>
    </w:p>
    <w:p>
      <w:pPr>
        <w:ind w:left="700" w:right="1279" w:firstLine="4"/>
        <w:spacing w:after="0" w:line="322" w:lineRule="auto"/>
        <w:tabs>
          <w:tab w:leader="none" w:pos="1017"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be filed by amendment or incorporated by reference in connection with the offering of a particular class or series of securities. ** Filed herewith.</w:t>
      </w:r>
    </w:p>
    <w:p>
      <w:pPr>
        <w:spacing w:after="0" w:line="110" w:lineRule="exact"/>
        <w:rPr>
          <w:sz w:val="20"/>
          <w:szCs w:val="20"/>
          <w:color w:val="auto"/>
        </w:rPr>
      </w:pPr>
    </w:p>
    <w:p>
      <w:pPr>
        <w:ind w:left="700"/>
        <w:spacing w:after="0"/>
        <w:tabs>
          <w:tab w:leader="none" w:pos="1480" w:val="left"/>
        </w:tabs>
        <w:rPr>
          <w:sz w:val="20"/>
          <w:szCs w:val="20"/>
          <w:color w:val="auto"/>
        </w:rPr>
      </w:pPr>
      <w:r>
        <w:rPr>
          <w:rFonts w:ascii="Times New Roman" w:cs="Times New Roman" w:eastAsia="Times New Roman" w:hAnsi="Times New Roman"/>
          <w:sz w:val="16"/>
          <w:szCs w:val="16"/>
          <w:b w:val="1"/>
          <w:bCs w:val="1"/>
          <w:color w:val="auto"/>
        </w:rPr>
        <w:t>Item 17.</w:t>
      </w:r>
      <w:r>
        <w:rPr>
          <w:sz w:val="20"/>
          <w:szCs w:val="20"/>
          <w:color w:val="auto"/>
        </w:rPr>
        <w:tab/>
      </w:r>
      <w:r>
        <w:rPr>
          <w:rFonts w:ascii="Times New Roman" w:cs="Times New Roman" w:eastAsia="Times New Roman" w:hAnsi="Times New Roman"/>
          <w:sz w:val="16"/>
          <w:szCs w:val="16"/>
          <w:b w:val="1"/>
          <w:bCs w:val="1"/>
          <w:i w:val="1"/>
          <w:iCs w:val="1"/>
          <w:color w:val="auto"/>
        </w:rPr>
        <w:t>Undertakings</w:t>
      </w:r>
    </w:p>
    <w:p>
      <w:pPr>
        <w:spacing w:after="0" w:line="112" w:lineRule="exact"/>
        <w:rPr>
          <w:sz w:val="20"/>
          <w:szCs w:val="20"/>
          <w:color w:val="auto"/>
        </w:rPr>
      </w:pPr>
    </w:p>
    <w:p>
      <w:pPr>
        <w:ind w:left="1020" w:hanging="316"/>
        <w:spacing w:after="0"/>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undersigned registrants hereby undertakes:</w:t>
      </w:r>
    </w:p>
    <w:p>
      <w:pPr>
        <w:spacing w:after="0" w:line="108" w:lineRule="exact"/>
        <w:rPr>
          <w:rFonts w:ascii="Times New Roman" w:cs="Times New Roman" w:eastAsia="Times New Roman" w:hAnsi="Times New Roman"/>
          <w:sz w:val="16"/>
          <w:szCs w:val="16"/>
          <w:color w:val="auto"/>
        </w:rPr>
      </w:pPr>
    </w:p>
    <w:p>
      <w:pPr>
        <w:ind w:left="1340" w:right="719" w:hanging="311"/>
        <w:spacing w:after="0" w:line="288" w:lineRule="auto"/>
        <w:tabs>
          <w:tab w:leader="none" w:pos="134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during any period in which offers or sales are being made, a post-effective amendment to this registration statement:</w:t>
      </w:r>
    </w:p>
    <w:p>
      <w:pPr>
        <w:spacing w:after="0" w:line="45" w:lineRule="exact"/>
        <w:rPr>
          <w:rFonts w:ascii="Times New Roman" w:cs="Times New Roman" w:eastAsia="Times New Roman" w:hAnsi="Times New Roman"/>
          <w:sz w:val="16"/>
          <w:szCs w:val="16"/>
          <w:color w:val="auto"/>
        </w:rPr>
      </w:pPr>
    </w:p>
    <w:p>
      <w:pPr>
        <w:ind w:left="1680" w:hanging="326"/>
        <w:spacing w:after="0"/>
        <w:tabs>
          <w:tab w:leader="none" w:pos="1680" w:val="left"/>
        </w:tabs>
        <w:numPr>
          <w:ilvl w:val="2"/>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prospectus required by Section 10(a)(3) of the Securities Act;</w:t>
      </w:r>
    </w:p>
    <w:p>
      <w:pPr>
        <w:spacing w:after="0" w:line="108" w:lineRule="exact"/>
        <w:rPr>
          <w:rFonts w:ascii="Times New Roman" w:cs="Times New Roman" w:eastAsia="Times New Roman" w:hAnsi="Times New Roman"/>
          <w:sz w:val="16"/>
          <w:szCs w:val="16"/>
          <w:color w:val="auto"/>
        </w:rPr>
      </w:pPr>
    </w:p>
    <w:p>
      <w:pPr>
        <w:jc w:val="both"/>
        <w:ind w:left="1680" w:right="719" w:hanging="326"/>
        <w:spacing w:after="0" w:line="258" w:lineRule="auto"/>
        <w:tabs>
          <w:tab w:leader="none" w:pos="1680" w:val="left"/>
        </w:tabs>
        <w:numPr>
          <w:ilvl w:val="2"/>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71" w:lineRule="exact"/>
        <w:rPr>
          <w:rFonts w:ascii="Times New Roman" w:cs="Times New Roman" w:eastAsia="Times New Roman" w:hAnsi="Times New Roman"/>
          <w:sz w:val="16"/>
          <w:szCs w:val="16"/>
          <w:color w:val="auto"/>
        </w:rPr>
      </w:pPr>
    </w:p>
    <w:p>
      <w:pPr>
        <w:ind w:left="1680" w:right="739" w:hanging="326"/>
        <w:spacing w:after="0" w:line="288" w:lineRule="auto"/>
        <w:tabs>
          <w:tab w:leader="none" w:pos="1680" w:val="left"/>
        </w:tabs>
        <w:numPr>
          <w:ilvl w:val="2"/>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44" w:lineRule="exact"/>
        <w:rPr>
          <w:sz w:val="20"/>
          <w:szCs w:val="20"/>
          <w:color w:val="auto"/>
        </w:rPr>
      </w:pPr>
    </w:p>
    <w:p>
      <w:pPr>
        <w:jc w:val="both"/>
        <w:ind w:left="700" w:right="719"/>
        <w:spacing w:after="0" w:line="272" w:lineRule="auto"/>
        <w:rPr>
          <w:sz w:val="20"/>
          <w:szCs w:val="20"/>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paragraphs (i), (ii) and (iii) above do not apply if the information required to be included in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post-effective amendment by those paragraphs is contained in reports filed with or furnished to the SEC by the registrants pursuant to Section 13 or Section 15(d) of the Securities Exchange Act of 1934, as amended (the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8">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48" w:name="page49"/>
    <w:bookmarkEnd w:id="48"/>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2" w:lineRule="exact"/>
        <w:rPr>
          <w:sz w:val="20"/>
          <w:szCs w:val="20"/>
          <w:color w:val="auto"/>
        </w:rPr>
      </w:pPr>
    </w:p>
    <w:p>
      <w:pPr>
        <w:ind w:left="700" w:right="719"/>
        <w:spacing w:after="0" w:line="288" w:lineRule="auto"/>
        <w:rPr>
          <w:sz w:val="20"/>
          <w:szCs w:val="20"/>
          <w:color w:val="auto"/>
        </w:rPr>
      </w:pPr>
      <w:r>
        <w:rPr>
          <w:rFonts w:ascii="Times New Roman" w:cs="Times New Roman" w:eastAsia="Times New Roman" w:hAnsi="Times New Roman"/>
          <w:sz w:val="16"/>
          <w:szCs w:val="16"/>
          <w:color w:val="auto"/>
        </w:rPr>
        <w:t>“Exchange Act”), that are incorporated by reference in the registration statement, or is contained in a form of prospectus filed pursuant to Rule 424(b) that is part of the registration statement.</w:t>
      </w:r>
    </w:p>
    <w:p>
      <w:pPr>
        <w:spacing w:after="0" w:line="46" w:lineRule="exact"/>
        <w:rPr>
          <w:sz w:val="20"/>
          <w:szCs w:val="20"/>
          <w:color w:val="auto"/>
        </w:rPr>
      </w:pPr>
    </w:p>
    <w:p>
      <w:pPr>
        <w:jc w:val="both"/>
        <w:ind w:left="1340" w:right="719" w:hanging="311"/>
        <w:spacing w:after="0" w:line="271" w:lineRule="auto"/>
        <w:tabs>
          <w:tab w:leader="none" w:pos="13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58" w:lineRule="exact"/>
        <w:rPr>
          <w:rFonts w:ascii="Times New Roman" w:cs="Times New Roman" w:eastAsia="Times New Roman" w:hAnsi="Times New Roman"/>
          <w:sz w:val="16"/>
          <w:szCs w:val="16"/>
          <w:color w:val="auto"/>
        </w:rPr>
      </w:pPr>
    </w:p>
    <w:p>
      <w:pPr>
        <w:ind w:left="1340" w:right="739" w:hanging="311"/>
        <w:spacing w:after="0" w:line="288" w:lineRule="auto"/>
        <w:tabs>
          <w:tab w:leader="none" w:pos="13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from registration by means of a post-effective amendment any of the securities being registered which remain unsold at the termination of the offering.</w:t>
      </w:r>
    </w:p>
    <w:p>
      <w:pPr>
        <w:spacing w:after="0" w:line="45"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liability under the Securities Act to any purchaser:</w:t>
      </w:r>
    </w:p>
    <w:p>
      <w:pPr>
        <w:spacing w:after="0" w:line="108" w:lineRule="exact"/>
        <w:rPr>
          <w:rFonts w:ascii="Times New Roman" w:cs="Times New Roman" w:eastAsia="Times New Roman" w:hAnsi="Times New Roman"/>
          <w:sz w:val="16"/>
          <w:szCs w:val="16"/>
          <w:color w:val="auto"/>
        </w:rPr>
      </w:pPr>
    </w:p>
    <w:p>
      <w:pPr>
        <w:jc w:val="both"/>
        <w:ind w:left="1680" w:right="719" w:hanging="326"/>
        <w:spacing w:after="0" w:line="271" w:lineRule="auto"/>
        <w:tabs>
          <w:tab w:leader="none" w:pos="168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prospectus filed by the registrants pursuant to Rule 424(b)(3) shall be deemed to be part of the registration statement as of the date the filed prospectus was deemed part of and included in the registration statement; and</w:t>
      </w:r>
    </w:p>
    <w:p>
      <w:pPr>
        <w:spacing w:after="0" w:line="58" w:lineRule="exact"/>
        <w:rPr>
          <w:rFonts w:ascii="Times New Roman" w:cs="Times New Roman" w:eastAsia="Times New Roman" w:hAnsi="Times New Roman"/>
          <w:sz w:val="16"/>
          <w:szCs w:val="16"/>
          <w:color w:val="auto"/>
        </w:rPr>
      </w:pPr>
    </w:p>
    <w:p>
      <w:pPr>
        <w:jc w:val="both"/>
        <w:ind w:left="1680" w:right="719" w:hanging="326"/>
        <w:spacing w:after="0" w:line="264" w:lineRule="auto"/>
        <w:tabs>
          <w:tab w:leader="none" w:pos="168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prospectus required to be filed pursuant to Rule 424(b)(2), (b)(5), or (b)(7) as part of a registration statement in reliance on Rule 430B relating to an offering made pursuant to Rule 415(a)</w:t>
      </w:r>
    </w:p>
    <w:p>
      <w:pPr>
        <w:jc w:val="both"/>
        <w:ind w:left="1680" w:right="719"/>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2" w:lineRule="exact"/>
        <w:rPr>
          <w:rFonts w:ascii="Times New Roman" w:cs="Times New Roman" w:eastAsia="Times New Roman" w:hAnsi="Times New Roman"/>
          <w:sz w:val="16"/>
          <w:szCs w:val="16"/>
          <w:color w:val="auto"/>
        </w:rPr>
      </w:pPr>
    </w:p>
    <w:p>
      <w:pPr>
        <w:jc w:val="both"/>
        <w:ind w:left="1340" w:right="719" w:hanging="311"/>
        <w:spacing w:after="0" w:line="261" w:lineRule="auto"/>
        <w:tabs>
          <w:tab w:leader="none" w:pos="13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liability of the registrants under the Securities Act to any purchaser in the initial distribution of the securities, the undersigned registrants undertake that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the undersigned registrants will be sellers to the purchaser and will be considered to offer or sell such securities to such purchaser:</w:t>
      </w:r>
    </w:p>
    <w:p>
      <w:pPr>
        <w:spacing w:after="0" w:line="66" w:lineRule="exact"/>
        <w:rPr>
          <w:rFonts w:ascii="Times New Roman" w:cs="Times New Roman" w:eastAsia="Times New Roman" w:hAnsi="Times New Roman"/>
          <w:sz w:val="16"/>
          <w:szCs w:val="16"/>
          <w:color w:val="auto"/>
        </w:rPr>
      </w:pPr>
    </w:p>
    <w:p>
      <w:pPr>
        <w:ind w:left="1680" w:right="739" w:hanging="326"/>
        <w:spacing w:after="0" w:line="288" w:lineRule="auto"/>
        <w:tabs>
          <w:tab w:leader="none" w:pos="168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preliminary prospectus or prospectus of the undersigned registrants relating to the offering required to be filed pursuant to Rule 424 under the Securities Act;</w:t>
      </w:r>
    </w:p>
    <w:p>
      <w:pPr>
        <w:spacing w:after="0" w:line="45" w:lineRule="exact"/>
        <w:rPr>
          <w:rFonts w:ascii="Times New Roman" w:cs="Times New Roman" w:eastAsia="Times New Roman" w:hAnsi="Times New Roman"/>
          <w:sz w:val="16"/>
          <w:szCs w:val="16"/>
          <w:color w:val="auto"/>
        </w:rPr>
      </w:pPr>
    </w:p>
    <w:p>
      <w:pPr>
        <w:ind w:left="1680" w:right="739" w:hanging="326"/>
        <w:spacing w:after="0" w:line="288" w:lineRule="auto"/>
        <w:tabs>
          <w:tab w:leader="none" w:pos="168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free writing prospectus relating to the offering prepared by or on behalf of the undersigned registrants or used or referred to by the undersigned registrants;</w:t>
      </w:r>
    </w:p>
    <w:p>
      <w:pPr>
        <w:spacing w:after="0" w:line="45" w:lineRule="exact"/>
        <w:rPr>
          <w:rFonts w:ascii="Times New Roman" w:cs="Times New Roman" w:eastAsia="Times New Roman" w:hAnsi="Times New Roman"/>
          <w:sz w:val="16"/>
          <w:szCs w:val="16"/>
          <w:color w:val="auto"/>
        </w:rPr>
      </w:pPr>
    </w:p>
    <w:p>
      <w:pPr>
        <w:jc w:val="both"/>
        <w:ind w:left="1680" w:right="719" w:hanging="326"/>
        <w:spacing w:after="0" w:line="271" w:lineRule="auto"/>
        <w:tabs>
          <w:tab w:leader="none" w:pos="168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portion of any other free writing prospectus relating to the offering containing material information about the undersigned registrants or their securities provided by or on behalf of the undersigned registrants; and</w:t>
      </w:r>
    </w:p>
    <w:p>
      <w:pPr>
        <w:spacing w:after="0" w:line="58" w:lineRule="exact"/>
        <w:rPr>
          <w:rFonts w:ascii="Times New Roman" w:cs="Times New Roman" w:eastAsia="Times New Roman" w:hAnsi="Times New Roman"/>
          <w:sz w:val="16"/>
          <w:szCs w:val="16"/>
          <w:color w:val="auto"/>
        </w:rPr>
      </w:pPr>
    </w:p>
    <w:p>
      <w:pPr>
        <w:ind w:left="1680" w:right="719" w:hanging="326"/>
        <w:spacing w:after="0" w:line="288" w:lineRule="auto"/>
        <w:tabs>
          <w:tab w:leader="none" w:pos="168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communication that is an offer in the offering made by the undersigned registrants to the purchaser.</w:t>
      </w:r>
    </w:p>
    <w:p>
      <w:pPr>
        <w:spacing w:after="0" w:line="45" w:lineRule="exact"/>
        <w:rPr>
          <w:rFonts w:ascii="Times New Roman" w:cs="Times New Roman" w:eastAsia="Times New Roman" w:hAnsi="Times New Roman"/>
          <w:sz w:val="16"/>
          <w:szCs w:val="16"/>
          <w:color w:val="auto"/>
        </w:rPr>
      </w:pPr>
    </w:p>
    <w:p>
      <w:pPr>
        <w:jc w:val="both"/>
        <w:ind w:left="1340" w:right="719" w:hanging="311"/>
        <w:spacing w:after="0" w:line="261" w:lineRule="auto"/>
        <w:tabs>
          <w:tab w:leader="none" w:pos="13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purposes of determining any liability under the Securities Act, each filing of the registrants’ annual reports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9">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49" w:name="page50"/>
    <w:bookmarkEnd w:id="49"/>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2" w:lineRule="exact"/>
        <w:rPr>
          <w:sz w:val="20"/>
          <w:szCs w:val="20"/>
          <w:color w:val="auto"/>
        </w:rPr>
      </w:pPr>
    </w:p>
    <w:p>
      <w:pPr>
        <w:jc w:val="both"/>
        <w:ind w:left="1340" w:right="719" w:hanging="311"/>
        <w:spacing w:after="0" w:line="257" w:lineRule="auto"/>
        <w:tabs>
          <w:tab w:leader="none" w:pos="1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may be permitted to directors, officers and controlling persons of the registrants pursuant to the foregoing provisions, or otherwise, the registrants have been advised that in the opinion of the SEC such indemnification is against public policy as expressed in the Securities Act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70" w:lineRule="exact"/>
        <w:rPr>
          <w:rFonts w:ascii="Times New Roman" w:cs="Times New Roman" w:eastAsia="Times New Roman" w:hAnsi="Times New Roman"/>
          <w:sz w:val="16"/>
          <w:szCs w:val="16"/>
          <w:color w:val="auto"/>
        </w:rPr>
      </w:pPr>
    </w:p>
    <w:p>
      <w:pPr>
        <w:ind w:left="1340" w:hanging="311"/>
        <w:spacing w:after="0"/>
        <w:tabs>
          <w:tab w:leader="none" w:pos="1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purposes of determining any liability under the Securities Act:</w:t>
      </w:r>
    </w:p>
    <w:p>
      <w:pPr>
        <w:spacing w:after="0" w:line="108" w:lineRule="exact"/>
        <w:rPr>
          <w:rFonts w:ascii="Times New Roman" w:cs="Times New Roman" w:eastAsia="Times New Roman" w:hAnsi="Times New Roman"/>
          <w:sz w:val="16"/>
          <w:szCs w:val="16"/>
          <w:color w:val="auto"/>
        </w:rPr>
      </w:pPr>
    </w:p>
    <w:p>
      <w:pPr>
        <w:jc w:val="both"/>
        <w:ind w:left="1680" w:right="719" w:hanging="326"/>
        <w:spacing w:after="0" w:line="265" w:lineRule="auto"/>
        <w:tabs>
          <w:tab w:leader="none" w:pos="168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omitted from the form of prospectus filed as part of this registration statement in reliance upon Rule 430A and contained in a form of prospectus filed by the registrants pursuant to Rule 424(b)(1) or (4) or 497(h) under the Securities Act shall be deemed to be part of this registration statement as of the time it was declared effective; and</w:t>
      </w:r>
    </w:p>
    <w:p>
      <w:pPr>
        <w:spacing w:after="0" w:line="64" w:lineRule="exact"/>
        <w:rPr>
          <w:rFonts w:ascii="Times New Roman" w:cs="Times New Roman" w:eastAsia="Times New Roman" w:hAnsi="Times New Roman"/>
          <w:sz w:val="16"/>
          <w:szCs w:val="16"/>
          <w:color w:val="auto"/>
        </w:rPr>
      </w:pPr>
    </w:p>
    <w:p>
      <w:pPr>
        <w:jc w:val="both"/>
        <w:ind w:left="1680" w:right="739" w:hanging="326"/>
        <w:spacing w:after="0" w:line="271" w:lineRule="auto"/>
        <w:tabs>
          <w:tab w:leader="none" w:pos="168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58" w:lineRule="exact"/>
        <w:rPr>
          <w:rFonts w:ascii="Times New Roman" w:cs="Times New Roman" w:eastAsia="Times New Roman" w:hAnsi="Times New Roman"/>
          <w:sz w:val="16"/>
          <w:szCs w:val="16"/>
          <w:color w:val="auto"/>
        </w:rPr>
      </w:pPr>
    </w:p>
    <w:p>
      <w:pPr>
        <w:jc w:val="both"/>
        <w:ind w:left="1340" w:right="719" w:hanging="311"/>
        <w:spacing w:after="0" w:line="269" w:lineRule="auto"/>
        <w:tabs>
          <w:tab w:leader="none" w:pos="1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an application for the purpose of determining the eligibility of the trustee to act under subsection (a) of Section 310 of the Trust Indenture Act of 1939, as amended (the “Trust Indenture Act”), in accordance with the rules and regulations prescribed by the SEC under Section 305(b)(2) of the Trust Indenture Act.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125730</wp:posOffset>
            </wp:positionV>
            <wp:extent cx="631063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0">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50" w:name="page51"/>
    <w:bookmarkEnd w:id="50"/>
    <w:p>
      <w:pPr>
        <w:ind w:left="11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10" w:lineRule="exact"/>
        <w:rPr>
          <w:sz w:val="20"/>
          <w:szCs w:val="20"/>
          <w:color w:val="auto"/>
        </w:rPr>
      </w:pPr>
    </w:p>
    <w:p>
      <w:pPr>
        <w:jc w:val="both"/>
        <w:ind w:left="1160" w:right="1180"/>
        <w:spacing w:after="0" w:line="265"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Pittsburgh, Commonwealth of Pennsylvania, on May 8, 2025.</w:t>
      </w:r>
    </w:p>
    <w:p>
      <w:pPr>
        <w:spacing w:after="0" w:line="19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VIATRIS INC.</w:t>
      </w:r>
    </w:p>
    <w:p>
      <w:pPr>
        <w:spacing w:after="0" w:line="256" w:lineRule="exact"/>
        <w:rPr>
          <w:sz w:val="20"/>
          <w:szCs w:val="20"/>
          <w:color w:val="auto"/>
        </w:rPr>
      </w:pPr>
    </w:p>
    <w:p>
      <w:pPr>
        <w:ind w:left="1160"/>
        <w:spacing w:after="0"/>
        <w:tabs>
          <w:tab w:leader="none" w:pos="17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33020</wp:posOffset>
            </wp:positionV>
            <wp:extent cx="197993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1">
                      <a:extLst>
                        <a:ext uri="{28A0092B-C50C-407E-A947-70E740481C1C}"/>
                      </a:extLst>
                    </a:blip>
                    <a:srcRect/>
                    <a:stretch>
                      <a:fillRect/>
                    </a:stretch>
                  </pic:blipFill>
                  <pic:spPr bwMode="auto">
                    <a:xfrm>
                      <a:off x="0" y="0"/>
                      <a:ext cx="1979930" cy="7620"/>
                    </a:xfrm>
                    <a:prstGeom prst="rect">
                      <a:avLst/>
                    </a:prstGeom>
                    <a:noFill/>
                  </pic:spPr>
                </pic:pic>
              </a:graphicData>
            </a:graphic>
          </wp:anchor>
        </w:drawing>
      </w:r>
    </w:p>
    <w:p>
      <w:pPr>
        <w:spacing w:after="0" w:line="5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6"/>
          <w:szCs w:val="16"/>
          <w:color w:val="auto"/>
        </w:rPr>
        <w:t>Name: Theodora Mistras</w:t>
      </w:r>
    </w:p>
    <w:p>
      <w:pPr>
        <w:spacing w:after="0" w:line="3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6"/>
          <w:szCs w:val="16"/>
          <w:color w:val="auto"/>
        </w:rPr>
        <w:t>Title: Chief Financial Officer</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10" w:lineRule="exact"/>
        <w:rPr>
          <w:sz w:val="20"/>
          <w:szCs w:val="20"/>
          <w:color w:val="auto"/>
        </w:rPr>
      </w:pPr>
    </w:p>
    <w:p>
      <w:pPr>
        <w:jc w:val="both"/>
        <w:ind w:left="1160" w:right="1180"/>
        <w:spacing w:after="0" w:line="258" w:lineRule="auto"/>
        <w:rPr>
          <w:sz w:val="20"/>
          <w:szCs w:val="20"/>
          <w:color w:val="auto"/>
        </w:rPr>
      </w:pPr>
      <w:r>
        <w:rPr>
          <w:rFonts w:ascii="Times New Roman" w:cs="Times New Roman" w:eastAsia="Times New Roman" w:hAnsi="Times New Roman"/>
          <w:sz w:val="16"/>
          <w:szCs w:val="16"/>
          <w:color w:val="auto"/>
        </w:rPr>
        <w:t>Each of the undersigned officers and directors of Viatris Inc., a Delaware corporation, hereby constitutes and appoints each of Theodora Mistras and Paul B. Campbell as their true and lawful attorney-in-fact and agent, with full power of substitution and resubstitution, in their name and on their behalf,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of authority to do and perform each and every act and thing requisite or necessary to be done in and about the premises, as fully to all intents and purposes as they might or could do in person, thereby ratifying and confirming all that said attorney-in-fact and agent, or their substitute, may lawfully do or cause to be done.</w:t>
      </w:r>
    </w:p>
    <w:p>
      <w:pPr>
        <w:spacing w:after="0" w:line="71" w:lineRule="exact"/>
        <w:rPr>
          <w:sz w:val="20"/>
          <w:szCs w:val="20"/>
          <w:color w:val="auto"/>
        </w:rPr>
      </w:pPr>
    </w:p>
    <w:p>
      <w:pPr>
        <w:jc w:val="both"/>
        <w:ind w:left="1160" w:right="1180"/>
        <w:spacing w:after="0" w:line="288"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this registration statement has been signed by the following persons in the capacities and on the dates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Signature</w:t>
            </w:r>
          </w:p>
        </w:tc>
        <w:tc>
          <w:tcPr>
            <w:tcW w:w="180" w:type="dxa"/>
            <w:vAlign w:val="bottom"/>
          </w:tcPr>
          <w:p>
            <w:pPr>
              <w:spacing w:after="0"/>
              <w:rPr>
                <w:sz w:val="14"/>
                <w:szCs w:val="1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1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Scott A. Smith</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Executive Officer and Director</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8, 2025</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160" w:type="dxa"/>
            <w:vAlign w:val="bottom"/>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Executive Officer</w:t>
            </w:r>
            <w:r>
              <w:rPr>
                <w:rFonts w:ascii="Times New Roman" w:cs="Times New Roman" w:eastAsia="Times New Roman" w:hAnsi="Times New Roman"/>
                <w:sz w:val="16"/>
                <w:szCs w:val="16"/>
                <w:color w:val="auto"/>
              </w:rPr>
              <w:t>)</w:t>
            </w: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16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Scott A. Smith</w:t>
            </w:r>
          </w:p>
        </w:tc>
        <w:tc>
          <w:tcPr>
            <w:tcW w:w="18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Theodora Mistras</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Financial Officer</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8, 2025</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160" w:type="dxa"/>
            <w:vAlign w:val="bottom"/>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Financial Officer</w:t>
            </w:r>
            <w:r>
              <w:rPr>
                <w:rFonts w:ascii="Times New Roman" w:cs="Times New Roman" w:eastAsia="Times New Roman" w:hAnsi="Times New Roman"/>
                <w:sz w:val="16"/>
                <w:szCs w:val="16"/>
                <w:color w:val="auto"/>
              </w:rPr>
              <w:t>)</w:t>
            </w: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16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Theodora Mistras</w:t>
            </w:r>
          </w:p>
        </w:tc>
        <w:tc>
          <w:tcPr>
            <w:tcW w:w="18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Paul Campbell</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Accounting Officer and Corporate Controller</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8, 2025</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160" w:type="dxa"/>
            <w:vAlign w:val="bottom"/>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Accounting Officer</w:t>
            </w:r>
            <w:r>
              <w:rPr>
                <w:rFonts w:ascii="Times New Roman" w:cs="Times New Roman" w:eastAsia="Times New Roman" w:hAnsi="Times New Roman"/>
                <w:sz w:val="16"/>
                <w:szCs w:val="16"/>
                <w:color w:val="auto"/>
              </w:rPr>
              <w:t>)</w:t>
            </w: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16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Paul Campbell</w:t>
            </w:r>
          </w:p>
        </w:tc>
        <w:tc>
          <w:tcPr>
            <w:tcW w:w="18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8"/>
        </w:trPr>
        <w:tc>
          <w:tcPr>
            <w:tcW w:w="116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Melina Higgins</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Chair of the Board of Directors</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8, 2025</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16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Melina Higgins</w:t>
            </w:r>
          </w:p>
        </w:tc>
        <w:tc>
          <w:tcPr>
            <w:tcW w:w="1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16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W. Don Cornwell</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8, 2025</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16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 Don Cornwell</w:t>
            </w:r>
          </w:p>
        </w:tc>
        <w:tc>
          <w:tcPr>
            <w:tcW w:w="1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16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 JoEllen Lyons Dillon</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8, 2025</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16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JoEllen Lyons Dillon</w:t>
            </w:r>
          </w:p>
        </w:tc>
        <w:tc>
          <w:tcPr>
            <w:tcW w:w="1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16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Elisha Finney</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8, 2025</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16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Elisha Finney</w:t>
            </w:r>
          </w:p>
        </w:tc>
        <w:tc>
          <w:tcPr>
            <w:tcW w:w="1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16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 Leo Groothuis</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8, 2025</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16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Leo Groothuis</w:t>
            </w:r>
          </w:p>
        </w:tc>
        <w:tc>
          <w:tcPr>
            <w:tcW w:w="1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6"/>
        </w:trPr>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2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II-10</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251" w:right="97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2"/>
                <w:szCs w:val="12"/>
                <w:color w:val="auto"/>
              </w:rPr>
            </w:pPr>
          </w:p>
        </w:tc>
        <w:tc>
          <w:tcPr>
            <w:tcW w:w="14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b w:val="1"/>
                <w:bCs w:val="1"/>
                <w:color w:val="0000EE"/>
                <w:w w:val="98"/>
              </w:rPr>
              <w:t>TABLE OF CONTENTS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359"/>
        </w:trPr>
        <w:tc>
          <w:tcPr>
            <w:tcW w:w="1160" w:type="dxa"/>
            <w:vAlign w:val="bottom"/>
          </w:tcPr>
          <w:p>
            <w:pPr>
              <w:spacing w:after="0"/>
              <w:rPr>
                <w:sz w:val="24"/>
                <w:szCs w:val="24"/>
                <w:color w:val="auto"/>
              </w:rPr>
            </w:pPr>
          </w:p>
        </w:tc>
        <w:tc>
          <w:tcPr>
            <w:tcW w:w="196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Signature</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180" w:type="dxa"/>
            <w:vAlign w:val="bottom"/>
          </w:tcPr>
          <w:p>
            <w:pPr>
              <w:spacing w:after="0"/>
              <w:rPr>
                <w:sz w:val="24"/>
                <w:szCs w:val="24"/>
                <w:color w:val="auto"/>
              </w:rPr>
            </w:pPr>
          </w:p>
        </w:tc>
      </w:tr>
      <w:tr>
        <w:trPr>
          <w:trHeight w:val="23"/>
        </w:trPr>
        <w:tc>
          <w:tcPr>
            <w:tcW w:w="1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1"/>
        </w:trPr>
        <w:tc>
          <w:tcPr>
            <w:tcW w:w="116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/s/ James M. Kilts</w:t>
            </w:r>
          </w:p>
        </w:tc>
        <w:tc>
          <w:tcPr>
            <w:tcW w:w="18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8, 2025</w:t>
            </w:r>
          </w:p>
        </w:tc>
        <w:tc>
          <w:tcPr>
            <w:tcW w:w="1180" w:type="dxa"/>
            <w:vAlign w:val="bottom"/>
          </w:tcPr>
          <w:p>
            <w:pPr>
              <w:spacing w:after="0"/>
              <w:rPr>
                <w:sz w:val="18"/>
                <w:szCs w:val="18"/>
                <w:color w:val="auto"/>
              </w:rPr>
            </w:pPr>
          </w:p>
        </w:tc>
      </w:tr>
      <w:tr>
        <w:trPr>
          <w:trHeight w:val="25"/>
        </w:trPr>
        <w:tc>
          <w:tcPr>
            <w:tcW w:w="11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1"/>
        </w:trPr>
        <w:tc>
          <w:tcPr>
            <w:tcW w:w="1160" w:type="dxa"/>
            <w:vAlign w:val="bottom"/>
          </w:tcPr>
          <w:p>
            <w:pPr>
              <w:spacing w:after="0"/>
              <w:rPr>
                <w:sz w:val="18"/>
                <w:szCs w:val="18"/>
                <w:color w:val="auto"/>
              </w:rPr>
            </w:pPr>
          </w:p>
        </w:tc>
        <w:tc>
          <w:tcPr>
            <w:tcW w:w="19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James M. Kilts</w:t>
            </w:r>
          </w:p>
        </w:tc>
        <w:tc>
          <w:tcPr>
            <w:tcW w:w="1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38"/>
        </w:trPr>
        <w:tc>
          <w:tcPr>
            <w:tcW w:w="1160" w:type="dxa"/>
            <w:vAlign w:val="bottom"/>
          </w:tcPr>
          <w:p>
            <w:pPr>
              <w:spacing w:after="0"/>
              <w:rPr>
                <w:sz w:val="24"/>
                <w:szCs w:val="24"/>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/s/ Harry A. Korman</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8, 2025</w:t>
            </w:r>
          </w:p>
        </w:tc>
        <w:tc>
          <w:tcPr>
            <w:tcW w:w="1180" w:type="dxa"/>
            <w:vAlign w:val="bottom"/>
          </w:tcPr>
          <w:p>
            <w:pPr>
              <w:spacing w:after="0"/>
              <w:rPr>
                <w:sz w:val="24"/>
                <w:szCs w:val="24"/>
                <w:color w:val="auto"/>
              </w:rPr>
            </w:pPr>
          </w:p>
        </w:tc>
      </w:tr>
      <w:tr>
        <w:trPr>
          <w:trHeight w:val="25"/>
        </w:trPr>
        <w:tc>
          <w:tcPr>
            <w:tcW w:w="11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1"/>
        </w:trPr>
        <w:tc>
          <w:tcPr>
            <w:tcW w:w="116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Harry A. Korman</w:t>
            </w:r>
          </w:p>
        </w:tc>
        <w:tc>
          <w:tcPr>
            <w:tcW w:w="1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38"/>
        </w:trPr>
        <w:tc>
          <w:tcPr>
            <w:tcW w:w="1160" w:type="dxa"/>
            <w:vAlign w:val="bottom"/>
          </w:tcPr>
          <w:p>
            <w:pPr>
              <w:spacing w:after="0"/>
              <w:rPr>
                <w:sz w:val="24"/>
                <w:szCs w:val="24"/>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/s/ Rajiv Malik</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8, 2025</w:t>
            </w:r>
          </w:p>
        </w:tc>
        <w:tc>
          <w:tcPr>
            <w:tcW w:w="1180" w:type="dxa"/>
            <w:vAlign w:val="bottom"/>
          </w:tcPr>
          <w:p>
            <w:pPr>
              <w:spacing w:after="0"/>
              <w:rPr>
                <w:sz w:val="24"/>
                <w:szCs w:val="24"/>
                <w:color w:val="auto"/>
              </w:rPr>
            </w:pPr>
          </w:p>
        </w:tc>
      </w:tr>
      <w:tr>
        <w:trPr>
          <w:trHeight w:val="25"/>
        </w:trPr>
        <w:tc>
          <w:tcPr>
            <w:tcW w:w="11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1"/>
        </w:trPr>
        <w:tc>
          <w:tcPr>
            <w:tcW w:w="1160" w:type="dxa"/>
            <w:vAlign w:val="bottom"/>
          </w:tcPr>
          <w:p>
            <w:pPr>
              <w:spacing w:after="0"/>
              <w:rPr>
                <w:sz w:val="18"/>
                <w:szCs w:val="18"/>
                <w:color w:val="auto"/>
              </w:rPr>
            </w:pPr>
          </w:p>
        </w:tc>
        <w:tc>
          <w:tcPr>
            <w:tcW w:w="19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Rajiv Malik</w:t>
            </w:r>
          </w:p>
        </w:tc>
        <w:tc>
          <w:tcPr>
            <w:tcW w:w="1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38"/>
        </w:trPr>
        <w:tc>
          <w:tcPr>
            <w:tcW w:w="1160" w:type="dxa"/>
            <w:vAlign w:val="bottom"/>
          </w:tcPr>
          <w:p>
            <w:pPr>
              <w:spacing w:after="0"/>
              <w:rPr>
                <w:sz w:val="24"/>
                <w:szCs w:val="24"/>
                <w:color w:val="auto"/>
              </w:rPr>
            </w:pPr>
          </w:p>
        </w:tc>
        <w:tc>
          <w:tcPr>
            <w:tcW w:w="19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/s/ Richard A. Mark</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8, 2025</w:t>
            </w:r>
          </w:p>
        </w:tc>
        <w:tc>
          <w:tcPr>
            <w:tcW w:w="1180" w:type="dxa"/>
            <w:vAlign w:val="bottom"/>
          </w:tcPr>
          <w:p>
            <w:pPr>
              <w:spacing w:after="0"/>
              <w:rPr>
                <w:sz w:val="24"/>
                <w:szCs w:val="24"/>
                <w:color w:val="auto"/>
              </w:rPr>
            </w:pPr>
          </w:p>
        </w:tc>
      </w:tr>
      <w:tr>
        <w:trPr>
          <w:trHeight w:val="25"/>
        </w:trPr>
        <w:tc>
          <w:tcPr>
            <w:tcW w:w="11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1"/>
        </w:trPr>
        <w:tc>
          <w:tcPr>
            <w:tcW w:w="116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Richard A. Mark</w:t>
            </w:r>
          </w:p>
        </w:tc>
        <w:tc>
          <w:tcPr>
            <w:tcW w:w="1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38"/>
        </w:trPr>
        <w:tc>
          <w:tcPr>
            <w:tcW w:w="1160" w:type="dxa"/>
            <w:vAlign w:val="bottom"/>
          </w:tcPr>
          <w:p>
            <w:pPr>
              <w:spacing w:after="0"/>
              <w:rPr>
                <w:sz w:val="24"/>
                <w:szCs w:val="24"/>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/s/ Mark W. Parrish</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Vice Chair and Director</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8, 2025</w:t>
            </w:r>
          </w:p>
        </w:tc>
        <w:tc>
          <w:tcPr>
            <w:tcW w:w="1180" w:type="dxa"/>
            <w:vAlign w:val="bottom"/>
          </w:tcPr>
          <w:p>
            <w:pPr>
              <w:spacing w:after="0"/>
              <w:rPr>
                <w:sz w:val="24"/>
                <w:szCs w:val="24"/>
                <w:color w:val="auto"/>
              </w:rPr>
            </w:pPr>
          </w:p>
        </w:tc>
      </w:tr>
      <w:tr>
        <w:trPr>
          <w:trHeight w:val="25"/>
        </w:trPr>
        <w:tc>
          <w:tcPr>
            <w:tcW w:w="11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1"/>
        </w:trPr>
        <w:tc>
          <w:tcPr>
            <w:tcW w:w="116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Mark W. Parrish</w:t>
            </w:r>
          </w:p>
        </w:tc>
        <w:tc>
          <w:tcPr>
            <w:tcW w:w="1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38"/>
        </w:trPr>
        <w:tc>
          <w:tcPr>
            <w:tcW w:w="1160" w:type="dxa"/>
            <w:vAlign w:val="bottom"/>
          </w:tcPr>
          <w:p>
            <w:pPr>
              <w:spacing w:after="0"/>
              <w:rPr>
                <w:sz w:val="24"/>
                <w:szCs w:val="24"/>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/s/ Rogério V. Coelho</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8, 2025</w:t>
            </w:r>
          </w:p>
        </w:tc>
        <w:tc>
          <w:tcPr>
            <w:tcW w:w="1180" w:type="dxa"/>
            <w:vAlign w:val="bottom"/>
          </w:tcPr>
          <w:p>
            <w:pPr>
              <w:spacing w:after="0"/>
              <w:rPr>
                <w:sz w:val="24"/>
                <w:szCs w:val="24"/>
                <w:color w:val="auto"/>
              </w:rPr>
            </w:pPr>
          </w:p>
        </w:tc>
      </w:tr>
      <w:tr>
        <w:trPr>
          <w:trHeight w:val="25"/>
        </w:trPr>
        <w:tc>
          <w:tcPr>
            <w:tcW w:w="11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1"/>
        </w:trPr>
        <w:tc>
          <w:tcPr>
            <w:tcW w:w="116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Rogério V. Coelho</w:t>
            </w:r>
          </w:p>
        </w:tc>
        <w:tc>
          <w:tcPr>
            <w:tcW w:w="1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38"/>
        </w:trPr>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2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II-11</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6"/>
        </w:trPr>
        <w:tc>
          <w:tcPr>
            <w:tcW w:w="1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bl>
    <w:p>
      <w:pPr>
        <w:sectPr>
          <w:pgSz w:w="11900" w:h="16838" w:orient="portrait"/>
          <w:cols w:equalWidth="0" w:num="1">
            <w:col w:w="9940"/>
          </w:cols>
          <w:pgMar w:left="980" w:top="246" w:right="979" w:bottom="1440" w:gutter="0" w:footer="0" w:header="0"/>
        </w:sectPr>
      </w:pPr>
    </w:p>
    <w:bookmarkStart w:id="52" w:name="page53"/>
    <w:bookmarkEnd w:id="52"/>
    <w:p>
      <w:pPr>
        <w:ind w:left="11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10" w:lineRule="exact"/>
        <w:rPr>
          <w:sz w:val="20"/>
          <w:szCs w:val="20"/>
          <w:color w:val="auto"/>
        </w:rPr>
      </w:pPr>
    </w:p>
    <w:p>
      <w:pPr>
        <w:jc w:val="both"/>
        <w:ind w:left="1160" w:right="1180"/>
        <w:spacing w:after="0" w:line="265"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Pittsburgh, Commonwealth of Pennsylvania, on May 8, 2025.</w:t>
      </w:r>
    </w:p>
    <w:p>
      <w:pPr>
        <w:spacing w:after="0" w:line="19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MYLAN INC.</w:t>
      </w:r>
    </w:p>
    <w:p>
      <w:pPr>
        <w:spacing w:after="0" w:line="256" w:lineRule="exact"/>
        <w:rPr>
          <w:sz w:val="20"/>
          <w:szCs w:val="20"/>
          <w:color w:val="auto"/>
        </w:rPr>
      </w:pPr>
    </w:p>
    <w:p>
      <w:pPr>
        <w:ind w:left="1160"/>
        <w:spacing w:after="0"/>
        <w:tabs>
          <w:tab w:leader="none" w:pos="17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33020</wp:posOffset>
            </wp:positionV>
            <wp:extent cx="197993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2">
                      <a:extLst>
                        <a:ext uri="{28A0092B-C50C-407E-A947-70E740481C1C}"/>
                      </a:extLst>
                    </a:blip>
                    <a:srcRect/>
                    <a:stretch>
                      <a:fillRect/>
                    </a:stretch>
                  </pic:blipFill>
                  <pic:spPr bwMode="auto">
                    <a:xfrm>
                      <a:off x="0" y="0"/>
                      <a:ext cx="1979930" cy="7620"/>
                    </a:xfrm>
                    <a:prstGeom prst="rect">
                      <a:avLst/>
                    </a:prstGeom>
                    <a:noFill/>
                  </pic:spPr>
                </pic:pic>
              </a:graphicData>
            </a:graphic>
          </wp:anchor>
        </w:drawing>
      </w:r>
    </w:p>
    <w:p>
      <w:pPr>
        <w:spacing w:after="0" w:line="5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6"/>
          <w:szCs w:val="16"/>
          <w:color w:val="auto"/>
        </w:rPr>
        <w:t>Name: John Miraglia</w:t>
      </w:r>
    </w:p>
    <w:p>
      <w:pPr>
        <w:spacing w:after="0" w:line="3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6"/>
          <w:szCs w:val="16"/>
          <w:color w:val="auto"/>
        </w:rPr>
        <w:t>Title: President and Treasurer</w:t>
      </w: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10" w:lineRule="exact"/>
        <w:rPr>
          <w:sz w:val="20"/>
          <w:szCs w:val="20"/>
          <w:color w:val="auto"/>
        </w:rPr>
      </w:pPr>
    </w:p>
    <w:p>
      <w:pPr>
        <w:jc w:val="both"/>
        <w:ind w:left="1160" w:right="1180"/>
        <w:spacing w:after="0" w:line="258" w:lineRule="auto"/>
        <w:rPr>
          <w:sz w:val="20"/>
          <w:szCs w:val="20"/>
          <w:color w:val="auto"/>
        </w:rPr>
      </w:pPr>
      <w:r>
        <w:rPr>
          <w:rFonts w:ascii="Times New Roman" w:cs="Times New Roman" w:eastAsia="Times New Roman" w:hAnsi="Times New Roman"/>
          <w:sz w:val="16"/>
          <w:szCs w:val="16"/>
          <w:color w:val="auto"/>
        </w:rPr>
        <w:t>Each of the undersigned officers and directors of Mylan Inc., a Pennsylvania corporation, hereby constitutes and appoints each of Theodora Mistras and Paul B. Campbell as their true and lawful attorney-in-fact and agent, with full power of substitution and resubstitution, in their name and on their behalf,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of authority to do and perform each and every act and thing requisite or necessary to be done in and about the premises, as fully to all intents and purposes as they might or could do in person, thereby ratifying and confirming all that said attorney-in-fact and agent, or their substitute, may lawfully do or cause to be done.</w:t>
      </w:r>
    </w:p>
    <w:p>
      <w:pPr>
        <w:spacing w:after="0" w:line="71" w:lineRule="exact"/>
        <w:rPr>
          <w:sz w:val="20"/>
          <w:szCs w:val="20"/>
          <w:color w:val="auto"/>
        </w:rPr>
      </w:pPr>
    </w:p>
    <w:p>
      <w:pPr>
        <w:jc w:val="both"/>
        <w:ind w:left="1160" w:right="1180"/>
        <w:spacing w:after="0" w:line="288"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this registration statement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Signature</w:t>
            </w:r>
          </w:p>
        </w:tc>
        <w:tc>
          <w:tcPr>
            <w:tcW w:w="180" w:type="dxa"/>
            <w:vAlign w:val="bottom"/>
          </w:tcPr>
          <w:p>
            <w:pPr>
              <w:spacing w:after="0"/>
              <w:rPr>
                <w:sz w:val="14"/>
                <w:szCs w:val="1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1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John Miraglia</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President, Treasurer and Director</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8, 2025</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160" w:type="dxa"/>
            <w:vAlign w:val="bottom"/>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Executive Officer</w:t>
            </w:r>
            <w:r>
              <w:rPr>
                <w:rFonts w:ascii="Times New Roman" w:cs="Times New Roman" w:eastAsia="Times New Roman" w:hAnsi="Times New Roman"/>
                <w:sz w:val="16"/>
                <w:szCs w:val="16"/>
                <w:color w:val="auto"/>
              </w:rPr>
              <w:t>)</w:t>
            </w: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16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John Miraglia</w:t>
            </w:r>
          </w:p>
        </w:tc>
        <w:tc>
          <w:tcPr>
            <w:tcW w:w="18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Theodora Mistras</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Financial Officer</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8, 2025</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160" w:type="dxa"/>
            <w:vAlign w:val="bottom"/>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Financial Officer</w:t>
            </w:r>
            <w:r>
              <w:rPr>
                <w:rFonts w:ascii="Times New Roman" w:cs="Times New Roman" w:eastAsia="Times New Roman" w:hAnsi="Times New Roman"/>
                <w:sz w:val="16"/>
                <w:szCs w:val="16"/>
                <w:color w:val="auto"/>
              </w:rPr>
              <w:t>)</w:t>
            </w: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16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Theodora Mistras</w:t>
            </w:r>
          </w:p>
        </w:tc>
        <w:tc>
          <w:tcPr>
            <w:tcW w:w="18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Paul Campbell</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Accounting Officer and Corporate Controller</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8, 2025</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160" w:type="dxa"/>
            <w:vAlign w:val="bottom"/>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Accounting Officer</w:t>
            </w:r>
            <w:r>
              <w:rPr>
                <w:rFonts w:ascii="Times New Roman" w:cs="Times New Roman" w:eastAsia="Times New Roman" w:hAnsi="Times New Roman"/>
                <w:sz w:val="16"/>
                <w:szCs w:val="16"/>
                <w:color w:val="auto"/>
              </w:rPr>
              <w:t>)</w:t>
            </w: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16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Paul Campbell</w:t>
            </w:r>
          </w:p>
        </w:tc>
        <w:tc>
          <w:tcPr>
            <w:tcW w:w="18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8"/>
        </w:trPr>
        <w:tc>
          <w:tcPr>
            <w:tcW w:w="116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Michael Rainerman</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8, 2025</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16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Michael Rainerman</w:t>
            </w:r>
          </w:p>
        </w:tc>
        <w:tc>
          <w:tcPr>
            <w:tcW w:w="1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2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II-12</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251" w:right="979" w:bottom="1440" w:gutter="0" w:footer="0" w:header="0"/>
        </w:sectPr>
      </w:pPr>
    </w:p>
    <w:bookmarkStart w:id="53" w:name="page54"/>
    <w:bookmarkEnd w:id="53"/>
    <w:p>
      <w:pPr>
        <w:ind w:left="11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10" w:lineRule="exact"/>
        <w:rPr>
          <w:sz w:val="20"/>
          <w:szCs w:val="20"/>
          <w:color w:val="auto"/>
        </w:rPr>
      </w:pPr>
    </w:p>
    <w:p>
      <w:pPr>
        <w:jc w:val="both"/>
        <w:ind w:left="1160" w:right="1180"/>
        <w:spacing w:after="0" w:line="265"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Pittsburgh, Commonwealth of Pennsylvania, on May 8, 2025.</w:t>
      </w:r>
    </w:p>
    <w:p>
      <w:pPr>
        <w:spacing w:after="0" w:line="19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MYLAN II B.V.</w:t>
      </w:r>
    </w:p>
    <w:p>
      <w:pPr>
        <w:spacing w:after="0" w:line="256" w:lineRule="exact"/>
        <w:rPr>
          <w:sz w:val="20"/>
          <w:szCs w:val="20"/>
          <w:color w:val="auto"/>
        </w:rPr>
      </w:pPr>
    </w:p>
    <w:p>
      <w:pPr>
        <w:ind w:left="1160"/>
        <w:spacing w:after="0"/>
        <w:tabs>
          <w:tab w:leader="none" w:pos="17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33020</wp:posOffset>
            </wp:positionV>
            <wp:extent cx="197993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3">
                      <a:extLst>
                        <a:ext uri="{28A0092B-C50C-407E-A947-70E740481C1C}"/>
                      </a:extLst>
                    </a:blip>
                    <a:srcRect/>
                    <a:stretch>
                      <a:fillRect/>
                    </a:stretch>
                  </pic:blipFill>
                  <pic:spPr bwMode="auto">
                    <a:xfrm>
                      <a:off x="0" y="0"/>
                      <a:ext cx="1979930" cy="7620"/>
                    </a:xfrm>
                    <a:prstGeom prst="rect">
                      <a:avLst/>
                    </a:prstGeom>
                    <a:noFill/>
                  </pic:spPr>
                </pic:pic>
              </a:graphicData>
            </a:graphic>
          </wp:anchor>
        </w:drawing>
      </w:r>
    </w:p>
    <w:p>
      <w:pPr>
        <w:spacing w:after="0" w:line="5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6"/>
          <w:szCs w:val="16"/>
          <w:color w:val="auto"/>
        </w:rPr>
        <w:t>Name: John Miraglia</w:t>
      </w:r>
    </w:p>
    <w:p>
      <w:pPr>
        <w:spacing w:after="0" w:line="3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6"/>
          <w:szCs w:val="16"/>
          <w:color w:val="auto"/>
        </w:rPr>
        <w:t>Title: Director</w:t>
      </w: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AUTHORIZED REPRESENTATIVE IN THE UNITED STATES</w:t>
      </w:r>
    </w:p>
    <w:p>
      <w:pPr>
        <w:spacing w:after="0" w:line="110" w:lineRule="exact"/>
        <w:rPr>
          <w:sz w:val="20"/>
          <w:szCs w:val="20"/>
          <w:color w:val="auto"/>
        </w:rPr>
      </w:pPr>
    </w:p>
    <w:p>
      <w:pPr>
        <w:jc w:val="both"/>
        <w:ind w:left="1160" w:right="1180"/>
        <w:spacing w:after="0" w:line="288"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as amended, Mylan II B.V. has duly caused this registration statement to be signed by the following duly authorized representative in the United States.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MYLAN II B.V.</w:t>
      </w:r>
    </w:p>
    <w:p>
      <w:pPr>
        <w:spacing w:after="0" w:line="256" w:lineRule="exact"/>
        <w:rPr>
          <w:sz w:val="20"/>
          <w:szCs w:val="20"/>
          <w:color w:val="auto"/>
        </w:rPr>
      </w:pPr>
    </w:p>
    <w:p>
      <w:pPr>
        <w:ind w:left="1160"/>
        <w:spacing w:after="0"/>
        <w:tabs>
          <w:tab w:leader="none" w:pos="17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33020</wp:posOffset>
            </wp:positionV>
            <wp:extent cx="197993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4">
                      <a:extLst>
                        <a:ext uri="{28A0092B-C50C-407E-A947-70E740481C1C}"/>
                      </a:extLst>
                    </a:blip>
                    <a:srcRect/>
                    <a:stretch>
                      <a:fillRect/>
                    </a:stretch>
                  </pic:blipFill>
                  <pic:spPr bwMode="auto">
                    <a:xfrm>
                      <a:off x="0" y="0"/>
                      <a:ext cx="1979930" cy="7620"/>
                    </a:xfrm>
                    <a:prstGeom prst="rect">
                      <a:avLst/>
                    </a:prstGeom>
                    <a:noFill/>
                  </pic:spPr>
                </pic:pic>
              </a:graphicData>
            </a:graphic>
          </wp:anchor>
        </w:drawing>
      </w:r>
    </w:p>
    <w:p>
      <w:pPr>
        <w:spacing w:after="0" w:line="5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6"/>
          <w:szCs w:val="16"/>
          <w:color w:val="auto"/>
        </w:rPr>
        <w:t>Name: John Miraglia</w:t>
      </w:r>
    </w:p>
    <w:p>
      <w:pPr>
        <w:spacing w:after="0" w:line="3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6"/>
          <w:szCs w:val="16"/>
          <w:color w:val="auto"/>
        </w:rPr>
        <w:t>Title: Director</w:t>
      </w: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10" w:lineRule="exact"/>
        <w:rPr>
          <w:sz w:val="20"/>
          <w:szCs w:val="20"/>
          <w:color w:val="auto"/>
        </w:rPr>
      </w:pPr>
    </w:p>
    <w:p>
      <w:pPr>
        <w:jc w:val="both"/>
        <w:ind w:left="1160" w:right="1180"/>
        <w:spacing w:after="0" w:line="258" w:lineRule="auto"/>
        <w:rPr>
          <w:sz w:val="20"/>
          <w:szCs w:val="20"/>
          <w:color w:val="auto"/>
        </w:rPr>
      </w:pPr>
      <w:r>
        <w:rPr>
          <w:rFonts w:ascii="Times New Roman" w:cs="Times New Roman" w:eastAsia="Times New Roman" w:hAnsi="Times New Roman"/>
          <w:sz w:val="16"/>
          <w:szCs w:val="16"/>
          <w:color w:val="auto"/>
        </w:rPr>
        <w:t>Each of the undersigned officers and directors of Mylan II B.V., a private limited liability company organized and existing under the laws of the Netherlands, hereby constitutes and appoints each of Theodora Mistras and Paul B. Campbell as their true and lawful attorney-in-fact and agent, with full power of substitution and resubstitution, in their name and on their behalf,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of authority to do and perform each and every act and thing requisite or necessary to be done in and about the premises, as fully to all intents and purposes as they might or could do in person, thereby ratifying and confirming all that said attorney-in-fact and agent, or their substitute, may lawfully do or cause to be done.</w:t>
      </w:r>
    </w:p>
    <w:p>
      <w:pPr>
        <w:spacing w:after="0" w:line="266" w:lineRule="exact"/>
        <w:rPr>
          <w:sz w:val="20"/>
          <w:szCs w:val="20"/>
          <w:color w:val="auto"/>
        </w:rPr>
      </w:pPr>
    </w:p>
    <w:p>
      <w:pPr>
        <w:jc w:val="both"/>
        <w:ind w:left="1160" w:right="1180"/>
        <w:spacing w:after="0" w:line="288"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this registration statement has been signed by the following persons in the capacities and on the dates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Signature</w:t>
            </w:r>
          </w:p>
        </w:tc>
        <w:tc>
          <w:tcPr>
            <w:tcW w:w="180" w:type="dxa"/>
            <w:vAlign w:val="bottom"/>
          </w:tcPr>
          <w:p>
            <w:pPr>
              <w:spacing w:after="0"/>
              <w:rPr>
                <w:sz w:val="14"/>
                <w:szCs w:val="1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1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180" w:type="dxa"/>
            <w:vAlign w:val="bottom"/>
          </w:tcPr>
          <w:p>
            <w:pPr>
              <w:spacing w:after="0"/>
              <w:rPr>
                <w:sz w:val="14"/>
                <w:szCs w:val="14"/>
                <w:color w:val="auto"/>
              </w:rPr>
            </w:pPr>
          </w:p>
        </w:tc>
      </w:tr>
      <w:tr>
        <w:trPr>
          <w:trHeight w:val="23"/>
        </w:trPr>
        <w:tc>
          <w:tcPr>
            <w:tcW w:w="11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30"/>
        </w:trPr>
        <w:tc>
          <w:tcPr>
            <w:tcW w:w="116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John Miraglia</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8, 2025</w:t>
            </w:r>
          </w:p>
        </w:tc>
        <w:tc>
          <w:tcPr>
            <w:tcW w:w="1180" w:type="dxa"/>
            <w:vAlign w:val="bottom"/>
          </w:tcPr>
          <w:p>
            <w:pPr>
              <w:spacing w:after="0"/>
              <w:rPr>
                <w:sz w:val="24"/>
                <w:szCs w:val="24"/>
                <w:color w:val="auto"/>
              </w:rPr>
            </w:pPr>
          </w:p>
        </w:tc>
      </w:tr>
      <w:tr>
        <w:trPr>
          <w:trHeight w:val="25"/>
        </w:trPr>
        <w:tc>
          <w:tcPr>
            <w:tcW w:w="116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1"/>
        </w:trPr>
        <w:tc>
          <w:tcPr>
            <w:tcW w:w="11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John Miraglia</w:t>
            </w:r>
          </w:p>
        </w:tc>
        <w:tc>
          <w:tcPr>
            <w:tcW w:w="1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38"/>
        </w:trPr>
        <w:tc>
          <w:tcPr>
            <w:tcW w:w="116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Michael Rainerman</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8, 2025</w:t>
            </w:r>
          </w:p>
        </w:tc>
        <w:tc>
          <w:tcPr>
            <w:tcW w:w="1180" w:type="dxa"/>
            <w:vAlign w:val="bottom"/>
          </w:tcPr>
          <w:p>
            <w:pPr>
              <w:spacing w:after="0"/>
              <w:rPr>
                <w:sz w:val="24"/>
                <w:szCs w:val="24"/>
                <w:color w:val="auto"/>
              </w:rPr>
            </w:pPr>
          </w:p>
        </w:tc>
      </w:tr>
      <w:tr>
        <w:trPr>
          <w:trHeight w:val="25"/>
        </w:trPr>
        <w:tc>
          <w:tcPr>
            <w:tcW w:w="116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1"/>
        </w:trPr>
        <w:tc>
          <w:tcPr>
            <w:tcW w:w="11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Michael Rainerman</w:t>
            </w:r>
          </w:p>
        </w:tc>
        <w:tc>
          <w:tcPr>
            <w:tcW w:w="1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38"/>
        </w:trPr>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2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II-13</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3"/>
        </w:trPr>
        <w:tc>
          <w:tcPr>
            <w:tcW w:w="1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bl>
    <w:p>
      <w:pPr>
        <w:sectPr>
          <w:pgSz w:w="11900" w:h="16838" w:orient="portrait"/>
          <w:cols w:equalWidth="0" w:num="1">
            <w:col w:w="9940"/>
          </w:cols>
          <w:pgMar w:left="980" w:top="251" w:right="979" w:bottom="1440" w:gutter="0" w:footer="0" w:header="0"/>
        </w:sectPr>
      </w:pPr>
    </w:p>
    <w:bookmarkStart w:id="54" w:name="page55"/>
    <w:bookmarkEnd w:id="54"/>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10" w:lineRule="exact"/>
        <w:rPr>
          <w:sz w:val="20"/>
          <w:szCs w:val="20"/>
          <w:color w:val="auto"/>
        </w:rPr>
      </w:pPr>
    </w:p>
    <w:p>
      <w:pPr>
        <w:jc w:val="both"/>
        <w:ind w:left="700" w:right="719"/>
        <w:spacing w:after="0" w:line="265"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Pittsburgh, Commonwealth of Pennsylvania, on May 8, 2025.</w:t>
      </w:r>
    </w:p>
    <w:p>
      <w:pPr>
        <w:spacing w:after="0" w:line="1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UTAH ACQUISITION SUB INC.</w:t>
      </w:r>
    </w:p>
    <w:p>
      <w:pPr>
        <w:spacing w:after="0" w:line="256" w:lineRule="exact"/>
        <w:rPr>
          <w:sz w:val="20"/>
          <w:szCs w:val="20"/>
          <w:color w:val="auto"/>
        </w:rPr>
      </w:pPr>
    </w:p>
    <w:p>
      <w:pPr>
        <w:ind w:left="700"/>
        <w:spacing w:after="0"/>
        <w:tabs>
          <w:tab w:leader="none" w:pos="12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Michael Rainerman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33020</wp:posOffset>
            </wp:positionV>
            <wp:extent cx="197993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5">
                      <a:extLst>
                        <a:ext uri="{28A0092B-C50C-407E-A947-70E740481C1C}"/>
                      </a:extLst>
                    </a:blip>
                    <a:srcRect/>
                    <a:stretch>
                      <a:fillRect/>
                    </a:stretch>
                  </pic:blipFill>
                  <pic:spPr bwMode="auto">
                    <a:xfrm>
                      <a:off x="0" y="0"/>
                      <a:ext cx="1979930" cy="7620"/>
                    </a:xfrm>
                    <a:prstGeom prst="rect">
                      <a:avLst/>
                    </a:prstGeom>
                    <a:noFill/>
                  </pic:spPr>
                </pic:pic>
              </a:graphicData>
            </a:graphic>
          </wp:anchor>
        </w:drawing>
      </w:r>
    </w:p>
    <w:p>
      <w:pPr>
        <w:spacing w:after="0" w:line="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Name: Michael Rainerman</w:t>
      </w:r>
    </w:p>
    <w:p>
      <w:pPr>
        <w:spacing w:after="0" w:line="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Title: President and Secretary</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10" w:lineRule="exact"/>
        <w:rPr>
          <w:sz w:val="20"/>
          <w:szCs w:val="20"/>
          <w:color w:val="auto"/>
        </w:rPr>
      </w:pPr>
    </w:p>
    <w:p>
      <w:pPr>
        <w:jc w:val="both"/>
        <w:ind w:left="700" w:right="719"/>
        <w:spacing w:after="0" w:line="258" w:lineRule="auto"/>
        <w:rPr>
          <w:sz w:val="20"/>
          <w:szCs w:val="20"/>
          <w:color w:val="auto"/>
        </w:rPr>
      </w:pPr>
      <w:r>
        <w:rPr>
          <w:rFonts w:ascii="Times New Roman" w:cs="Times New Roman" w:eastAsia="Times New Roman" w:hAnsi="Times New Roman"/>
          <w:sz w:val="16"/>
          <w:szCs w:val="16"/>
          <w:color w:val="auto"/>
        </w:rPr>
        <w:t>Each of the undersigned officers and directors of Utah Acquisition Sub Inc., a Delaware corporation, hereby constitutes and appoints each of Theodora Mistras and Paul B. Campbell as their true and lawful attorney-in-fact and agent, with full power of substitution and resubstitution, in their name and on their behalf,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of authority to do and perform each and every act and thing requisite or necessary to be done in and about the premises, as fully to all intents and purposes as they might or could do in person, thereby ratifying and confirming all that said attorney-in-fact and agent, or their substitute, may lawfully do or cause to be done.</w:t>
      </w:r>
    </w:p>
    <w:p>
      <w:pPr>
        <w:spacing w:after="0" w:line="71" w:lineRule="exact"/>
        <w:rPr>
          <w:sz w:val="20"/>
          <w:szCs w:val="20"/>
          <w:color w:val="auto"/>
        </w:rPr>
      </w:pPr>
    </w:p>
    <w:p>
      <w:pPr>
        <w:jc w:val="both"/>
        <w:ind w:left="700" w:right="719"/>
        <w:spacing w:after="0" w:line="288"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this registration statement has been signed by the following persons in the capacities and on the dates indicated.</w:t>
      </w:r>
    </w:p>
    <w:p>
      <w:pPr>
        <w:spacing w:after="0" w:line="162"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Signature</w:t>
            </w:r>
          </w:p>
        </w:tc>
        <w:tc>
          <w:tcPr>
            <w:tcW w:w="180" w:type="dxa"/>
            <w:vAlign w:val="bottom"/>
          </w:tcPr>
          <w:p>
            <w:pPr>
              <w:spacing w:after="0"/>
              <w:rPr>
                <w:sz w:val="14"/>
                <w:szCs w:val="1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1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0" w:type="dxa"/>
            <w:vAlign w:val="bottom"/>
          </w:tcPr>
          <w:p>
            <w:pPr>
              <w:spacing w:after="0"/>
              <w:rPr>
                <w:sz w:val="1"/>
                <w:szCs w:val="1"/>
                <w:color w:val="auto"/>
              </w:rPr>
            </w:pPr>
          </w:p>
        </w:tc>
      </w:tr>
      <w:tr>
        <w:trPr>
          <w:trHeight w:val="23"/>
        </w:trPr>
        <w:tc>
          <w:tcPr>
            <w:tcW w:w="1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Michael Rainerman</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President, Secretary and Director</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8, 2025</w:t>
            </w:r>
          </w:p>
        </w:tc>
        <w:tc>
          <w:tcPr>
            <w:tcW w:w="0" w:type="dxa"/>
            <w:vAlign w:val="bottom"/>
          </w:tcPr>
          <w:p>
            <w:pPr>
              <w:spacing w:after="0"/>
              <w:rPr>
                <w:sz w:val="1"/>
                <w:szCs w:val="1"/>
                <w:color w:val="auto"/>
              </w:rPr>
            </w:pPr>
          </w:p>
        </w:tc>
      </w:tr>
      <w:tr>
        <w:trPr>
          <w:trHeight w:val="43"/>
        </w:trPr>
        <w:tc>
          <w:tcPr>
            <w:tcW w:w="19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Executive Officer</w:t>
            </w:r>
            <w:r>
              <w:rPr>
                <w:rFonts w:ascii="Times New Roman" w:cs="Times New Roman" w:eastAsia="Times New Roman" w:hAnsi="Times New Roman"/>
                <w:sz w:val="16"/>
                <w:szCs w:val="16"/>
                <w:color w:val="auto"/>
              </w:rPr>
              <w:t>)</w:t>
            </w: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Michael Rainerman</w:t>
            </w:r>
          </w:p>
        </w:tc>
        <w:tc>
          <w:tcPr>
            <w:tcW w:w="18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9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1"/>
        </w:trPr>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Howard Meyer</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Treasurer, Vice President and Director</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8, 2025</w:t>
            </w:r>
          </w:p>
        </w:tc>
        <w:tc>
          <w:tcPr>
            <w:tcW w:w="0" w:type="dxa"/>
            <w:vAlign w:val="bottom"/>
          </w:tcPr>
          <w:p>
            <w:pPr>
              <w:spacing w:after="0"/>
              <w:rPr>
                <w:sz w:val="1"/>
                <w:szCs w:val="1"/>
                <w:color w:val="auto"/>
              </w:rPr>
            </w:pPr>
          </w:p>
        </w:tc>
      </w:tr>
      <w:tr>
        <w:trPr>
          <w:trHeight w:val="43"/>
        </w:trPr>
        <w:tc>
          <w:tcPr>
            <w:tcW w:w="19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Financial Officer and</w:t>
            </w: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Howard Meyer</w:t>
            </w:r>
          </w:p>
        </w:tc>
        <w:tc>
          <w:tcPr>
            <w:tcW w:w="180" w:type="dxa"/>
            <w:vAlign w:val="bottom"/>
          </w:tcPr>
          <w:p>
            <w:pPr>
              <w:spacing w:after="0"/>
              <w:rPr>
                <w:sz w:val="11"/>
                <w:szCs w:val="11"/>
                <w:color w:val="auto"/>
              </w:rPr>
            </w:pPr>
          </w:p>
        </w:tc>
        <w:tc>
          <w:tcPr>
            <w:tcW w:w="3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9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i w:val="1"/>
                <w:iCs w:val="1"/>
                <w:color w:val="auto"/>
              </w:rPr>
              <w:t>Principal Accounting Officer</w:t>
            </w:r>
            <w:r>
              <w:rPr>
                <w:rFonts w:ascii="Times New Roman" w:cs="Times New Roman" w:eastAsia="Times New Roman" w:hAnsi="Times New Roman"/>
                <w:sz w:val="16"/>
                <w:szCs w:val="16"/>
                <w:color w:val="auto"/>
              </w:rPr>
              <w:t>)</w:t>
            </w:r>
          </w:p>
        </w:tc>
        <w:tc>
          <w:tcPr>
            <w:tcW w:w="1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8"/>
        </w:trPr>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2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II-14</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1" w:right="1440"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11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6">
                      <a:extLst>
                        <a:ext uri="{28A0092B-C50C-407E-A947-70E740481C1C}"/>
                      </a:extLst>
                    </a:blip>
                    <a:srcRect/>
                    <a:stretch>
                      <a:fillRect/>
                    </a:stretch>
                  </pic:blipFill>
                  <pic:spPr bwMode="auto">
                    <a:xfrm>
                      <a:off x="0" y="0"/>
                      <a:ext cx="7145655" cy="31115"/>
                    </a:xfrm>
                    <a:prstGeom prst="rect">
                      <a:avLst/>
                    </a:prstGeom>
                    <a:noFill/>
                  </pic:spPr>
                </pic:pic>
              </a:graphicData>
            </a:graphic>
          </wp:anchor>
        </w:drawing>
        <w:t>Exhibit 4.11</w:t>
      </w:r>
    </w:p>
    <w:p>
      <w:pPr>
        <w:spacing w:after="0" w:line="20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VIATRIS INC.</w:t>
      </w:r>
    </w:p>
    <w:p>
      <w:pPr>
        <w:spacing w:after="0" w:line="20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SENIOR INDENTURE</w:t>
      </w:r>
    </w:p>
    <w:p>
      <w:pPr>
        <w:spacing w:after="0" w:line="206" w:lineRule="exact"/>
        <w:rPr>
          <w:sz w:val="20"/>
          <w:szCs w:val="20"/>
          <w:color w:val="auto"/>
        </w:rPr>
      </w:pPr>
    </w:p>
    <w:p>
      <w:pPr>
        <w:ind w:left="3900"/>
        <w:spacing w:after="0"/>
        <w:tabs>
          <w:tab w:leader="none" w:pos="5060" w:val="left"/>
        </w:tabs>
        <w:rPr>
          <w:sz w:val="20"/>
          <w:szCs w:val="20"/>
          <w:color w:val="auto"/>
        </w:rPr>
      </w:pPr>
      <w:r>
        <w:rPr>
          <w:rFonts w:ascii="Times New Roman" w:cs="Times New Roman" w:eastAsia="Times New Roman" w:hAnsi="Times New Roman"/>
          <w:sz w:val="16"/>
          <w:szCs w:val="16"/>
          <w:b w:val="1"/>
          <w:bCs w:val="1"/>
          <w:color w:val="auto"/>
        </w:rPr>
        <w:t>Dated as of</w:t>
      </w:r>
      <w:r>
        <w:rPr>
          <w:sz w:val="20"/>
          <w:szCs w:val="20"/>
          <w:color w:val="auto"/>
        </w:rPr>
        <w:tab/>
      </w:r>
      <w:r>
        <w:rPr>
          <w:rFonts w:ascii="Times New Roman" w:cs="Times New Roman" w:eastAsia="Times New Roman" w:hAnsi="Times New Roman"/>
          <w:sz w:val="16"/>
          <w:szCs w:val="16"/>
          <w:b w:val="1"/>
          <w:bCs w:val="1"/>
          <w:color w:val="auto"/>
        </w:rPr>
        <w:t>,</w:t>
      </w:r>
    </w:p>
    <w:p>
      <w:pPr>
        <w:spacing w:after="0" w:line="20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THE BANK OF NEW YORK MELLON</w:t>
      </w:r>
    </w:p>
    <w:p>
      <w:pPr>
        <w:spacing w:after="0" w:line="20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243205</wp:posOffset>
            </wp:positionV>
            <wp:extent cx="714565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140"/>
          </w:cols>
          <w:pgMar w:left="1440" w:top="255"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960" w:type="dxa"/>
            <w:vAlign w:val="bottom"/>
            <w:gridSpan w:val="3"/>
          </w:tcPr>
          <w:p>
            <w:pPr>
              <w:jc w:val="right"/>
              <w:ind w:right="2319"/>
              <w:spacing w:after="0"/>
              <w:rPr>
                <w:sz w:val="20"/>
                <w:szCs w:val="20"/>
                <w:color w:val="auto"/>
              </w:rPr>
            </w:pPr>
            <w:r>
              <w:rPr>
                <w:rFonts w:ascii="Times New Roman" w:cs="Times New Roman" w:eastAsia="Times New Roman" w:hAnsi="Times New Roman"/>
                <w:sz w:val="16"/>
                <w:szCs w:val="16"/>
                <w:color w:val="auto"/>
              </w:rPr>
              <w:t>Table Showing Reflection in Indenture of Certain Provisions of Trust Indenture Act of 1939, as</w:t>
            </w:r>
          </w:p>
        </w:tc>
      </w:tr>
      <w:tr>
        <w:trPr>
          <w:trHeight w:val="211"/>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960" w:type="dxa"/>
            <w:vAlign w:val="bottom"/>
            <w:gridSpan w:val="3"/>
          </w:tcPr>
          <w:p>
            <w:pPr>
              <w:jc w:val="right"/>
              <w:ind w:right="5079"/>
              <w:spacing w:after="0"/>
              <w:rPr>
                <w:sz w:val="20"/>
                <w:szCs w:val="20"/>
                <w:color w:val="auto"/>
              </w:rPr>
            </w:pPr>
            <w:r>
              <w:rPr>
                <w:rFonts w:ascii="Times New Roman" w:cs="Times New Roman" w:eastAsia="Times New Roman" w:hAnsi="Times New Roman"/>
                <w:sz w:val="16"/>
                <w:szCs w:val="16"/>
                <w:color w:val="auto"/>
              </w:rPr>
              <w:t>amended*</w:t>
            </w:r>
          </w:p>
        </w:tc>
      </w:tr>
      <w:tr>
        <w:trPr>
          <w:trHeight w:val="200"/>
        </w:trPr>
        <w:tc>
          <w:tcPr>
            <w:tcW w:w="20" w:type="dxa"/>
            <w:vAlign w:val="bottom"/>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6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r>
      <w:tr>
        <w:trPr>
          <w:trHeight w:val="389"/>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960" w:type="dxa"/>
            <w:vAlign w:val="bottom"/>
            <w:gridSpan w:val="3"/>
          </w:tcPr>
          <w:p>
            <w:pPr>
              <w:jc w:val="right"/>
              <w:ind w:right="4839"/>
              <w:spacing w:after="0"/>
              <w:rPr>
                <w:sz w:val="20"/>
                <w:szCs w:val="20"/>
                <w:color w:val="auto"/>
              </w:rPr>
            </w:pPr>
            <w:r>
              <w:rPr>
                <w:rFonts w:ascii="Times New Roman" w:cs="Times New Roman" w:eastAsia="Times New Roman" w:hAnsi="Times New Roman"/>
                <w:sz w:val="16"/>
                <w:szCs w:val="16"/>
                <w:color w:val="auto"/>
              </w:rPr>
              <w:t>Reflected in Indenture</w:t>
            </w:r>
          </w:p>
        </w:tc>
      </w:tr>
      <w:tr>
        <w:trPr>
          <w:trHeight w:val="200"/>
        </w:trPr>
        <w:tc>
          <w:tcPr>
            <w:tcW w:w="2300" w:type="dxa"/>
            <w:vAlign w:val="bottom"/>
            <w:gridSpan w:val="2"/>
          </w:tcPr>
          <w:p>
            <w:pPr>
              <w:spacing w:after="0"/>
              <w:rPr>
                <w:sz w:val="17"/>
                <w:szCs w:val="17"/>
                <w:color w:val="auto"/>
              </w:rPr>
            </w:pPr>
          </w:p>
        </w:tc>
        <w:tc>
          <w:tcPr>
            <w:tcW w:w="6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2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Trust Indenture Act Section</w:t>
            </w:r>
          </w:p>
        </w:tc>
        <w:tc>
          <w:tcPr>
            <w:tcW w:w="62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246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rPr>
              <w:t>Indenture Section</w:t>
            </w:r>
          </w:p>
        </w:tc>
      </w:tr>
      <w:tr>
        <w:trPr>
          <w:trHeight w:val="195"/>
        </w:trPr>
        <w:tc>
          <w:tcPr>
            <w:tcW w:w="20" w:type="dxa"/>
            <w:vAlign w:val="bottom"/>
          </w:tcPr>
          <w:p>
            <w:pPr>
              <w:spacing w:after="0"/>
              <w:rPr>
                <w:sz w:val="16"/>
                <w:szCs w:val="16"/>
                <w:color w:val="auto"/>
              </w:rPr>
            </w:pPr>
          </w:p>
        </w:tc>
        <w:tc>
          <w:tcPr>
            <w:tcW w:w="2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310 (a) (1)</w:t>
            </w:r>
          </w:p>
        </w:tc>
        <w:tc>
          <w:tcPr>
            <w:tcW w:w="6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7.09</w:t>
            </w:r>
          </w:p>
        </w:tc>
      </w:tr>
      <w:tr>
        <w:trPr>
          <w:trHeight w:val="195"/>
        </w:trPr>
        <w:tc>
          <w:tcPr>
            <w:tcW w:w="20" w:type="dxa"/>
            <w:vAlign w:val="bottom"/>
          </w:tcPr>
          <w:p>
            <w:pPr>
              <w:spacing w:after="0"/>
              <w:rPr>
                <w:sz w:val="16"/>
                <w:szCs w:val="16"/>
                <w:color w:val="auto"/>
              </w:rPr>
            </w:pPr>
          </w:p>
        </w:tc>
        <w:tc>
          <w:tcPr>
            <w:tcW w:w="2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 (2)</w:t>
            </w:r>
          </w:p>
        </w:tc>
        <w:tc>
          <w:tcPr>
            <w:tcW w:w="896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7.09</w:t>
            </w:r>
          </w:p>
        </w:tc>
      </w:tr>
      <w:tr>
        <w:trPr>
          <w:trHeight w:val="195"/>
        </w:trPr>
        <w:tc>
          <w:tcPr>
            <w:tcW w:w="20" w:type="dxa"/>
            <w:vAlign w:val="bottom"/>
          </w:tcPr>
          <w:p>
            <w:pPr>
              <w:spacing w:after="0"/>
              <w:rPr>
                <w:sz w:val="16"/>
                <w:szCs w:val="16"/>
                <w:color w:val="auto"/>
              </w:rPr>
            </w:pPr>
          </w:p>
        </w:tc>
        <w:tc>
          <w:tcPr>
            <w:tcW w:w="2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 (3)</w:t>
            </w:r>
          </w:p>
        </w:tc>
        <w:tc>
          <w:tcPr>
            <w:tcW w:w="6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N.A.</w:t>
            </w:r>
          </w:p>
        </w:tc>
      </w:tr>
      <w:tr>
        <w:trPr>
          <w:trHeight w:val="195"/>
        </w:trPr>
        <w:tc>
          <w:tcPr>
            <w:tcW w:w="20" w:type="dxa"/>
            <w:vAlign w:val="bottom"/>
          </w:tcPr>
          <w:p>
            <w:pPr>
              <w:spacing w:after="0"/>
              <w:rPr>
                <w:sz w:val="16"/>
                <w:szCs w:val="16"/>
                <w:color w:val="auto"/>
              </w:rPr>
            </w:pPr>
          </w:p>
        </w:tc>
        <w:tc>
          <w:tcPr>
            <w:tcW w:w="2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 (4)</w:t>
            </w:r>
          </w:p>
        </w:tc>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N.A.</w:t>
            </w:r>
          </w:p>
        </w:tc>
      </w:tr>
      <w:tr>
        <w:trPr>
          <w:trHeight w:val="195"/>
        </w:trPr>
        <w:tc>
          <w:tcPr>
            <w:tcW w:w="20" w:type="dxa"/>
            <w:vAlign w:val="bottom"/>
          </w:tcPr>
          <w:p>
            <w:pPr>
              <w:spacing w:after="0"/>
              <w:rPr>
                <w:sz w:val="16"/>
                <w:szCs w:val="16"/>
                <w:color w:val="auto"/>
              </w:rPr>
            </w:pPr>
          </w:p>
        </w:tc>
        <w:tc>
          <w:tcPr>
            <w:tcW w:w="2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 (5)</w:t>
            </w:r>
          </w:p>
        </w:tc>
        <w:tc>
          <w:tcPr>
            <w:tcW w:w="89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7.09</w:t>
            </w:r>
          </w:p>
        </w:tc>
      </w:tr>
      <w:tr>
        <w:trPr>
          <w:trHeight w:val="195"/>
        </w:trPr>
        <w:tc>
          <w:tcPr>
            <w:tcW w:w="20" w:type="dxa"/>
            <w:vAlign w:val="bottom"/>
          </w:tcPr>
          <w:p>
            <w:pPr>
              <w:spacing w:after="0"/>
              <w:rPr>
                <w:sz w:val="16"/>
                <w:szCs w:val="16"/>
                <w:color w:val="auto"/>
              </w:rPr>
            </w:pPr>
          </w:p>
        </w:tc>
        <w:tc>
          <w:tcPr>
            <w:tcW w:w="2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896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7.03; 7.09</w:t>
            </w:r>
          </w:p>
        </w:tc>
      </w:tr>
      <w:tr>
        <w:trPr>
          <w:trHeight w:val="195"/>
        </w:trPr>
        <w:tc>
          <w:tcPr>
            <w:tcW w:w="20" w:type="dxa"/>
            <w:vAlign w:val="bottom"/>
          </w:tcPr>
          <w:p>
            <w:pPr>
              <w:spacing w:after="0"/>
              <w:rPr>
                <w:sz w:val="16"/>
                <w:szCs w:val="16"/>
                <w:color w:val="auto"/>
              </w:rPr>
            </w:pPr>
          </w:p>
        </w:tc>
        <w:tc>
          <w:tcPr>
            <w:tcW w:w="2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311 (a)</w:t>
            </w:r>
          </w:p>
        </w:tc>
        <w:tc>
          <w:tcPr>
            <w:tcW w:w="89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7.11</w:t>
            </w:r>
          </w:p>
        </w:tc>
      </w:tr>
      <w:tr>
        <w:trPr>
          <w:trHeight w:val="195"/>
        </w:trPr>
        <w:tc>
          <w:tcPr>
            <w:tcW w:w="20" w:type="dxa"/>
            <w:vAlign w:val="bottom"/>
          </w:tcPr>
          <w:p>
            <w:pPr>
              <w:spacing w:after="0"/>
              <w:rPr>
                <w:sz w:val="16"/>
                <w:szCs w:val="16"/>
                <w:color w:val="auto"/>
              </w:rPr>
            </w:pPr>
          </w:p>
        </w:tc>
        <w:tc>
          <w:tcPr>
            <w:tcW w:w="2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896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7.11</w:t>
            </w:r>
          </w:p>
        </w:tc>
      </w:tr>
      <w:tr>
        <w:trPr>
          <w:trHeight w:val="195"/>
        </w:trPr>
        <w:tc>
          <w:tcPr>
            <w:tcW w:w="20" w:type="dxa"/>
            <w:vAlign w:val="bottom"/>
          </w:tcPr>
          <w:p>
            <w:pPr>
              <w:spacing w:after="0"/>
              <w:rPr>
                <w:sz w:val="16"/>
                <w:szCs w:val="16"/>
                <w:color w:val="auto"/>
              </w:rPr>
            </w:pPr>
          </w:p>
        </w:tc>
        <w:tc>
          <w:tcPr>
            <w:tcW w:w="2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312 (a)</w:t>
            </w:r>
          </w:p>
        </w:tc>
        <w:tc>
          <w:tcPr>
            <w:tcW w:w="89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2.07</w:t>
            </w:r>
          </w:p>
        </w:tc>
      </w:tr>
      <w:tr>
        <w:trPr>
          <w:trHeight w:val="195"/>
        </w:trPr>
        <w:tc>
          <w:tcPr>
            <w:tcW w:w="20" w:type="dxa"/>
            <w:vAlign w:val="bottom"/>
          </w:tcPr>
          <w:p>
            <w:pPr>
              <w:spacing w:after="0"/>
              <w:rPr>
                <w:sz w:val="16"/>
                <w:szCs w:val="16"/>
                <w:color w:val="auto"/>
              </w:rPr>
            </w:pPr>
          </w:p>
        </w:tc>
        <w:tc>
          <w:tcPr>
            <w:tcW w:w="2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896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12.05</w:t>
            </w:r>
          </w:p>
        </w:tc>
      </w:tr>
      <w:tr>
        <w:trPr>
          <w:trHeight w:val="195"/>
        </w:trPr>
        <w:tc>
          <w:tcPr>
            <w:tcW w:w="20" w:type="dxa"/>
            <w:vAlign w:val="bottom"/>
          </w:tcPr>
          <w:p>
            <w:pPr>
              <w:spacing w:after="0"/>
              <w:rPr>
                <w:sz w:val="16"/>
                <w:szCs w:val="16"/>
                <w:color w:val="auto"/>
              </w:rPr>
            </w:pPr>
          </w:p>
        </w:tc>
        <w:tc>
          <w:tcPr>
            <w:tcW w:w="2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w:t>
            </w:r>
          </w:p>
        </w:tc>
        <w:tc>
          <w:tcPr>
            <w:tcW w:w="89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12.05</w:t>
            </w:r>
          </w:p>
        </w:tc>
      </w:tr>
      <w:tr>
        <w:trPr>
          <w:trHeight w:val="195"/>
        </w:trPr>
        <w:tc>
          <w:tcPr>
            <w:tcW w:w="20" w:type="dxa"/>
            <w:vAlign w:val="bottom"/>
          </w:tcPr>
          <w:p>
            <w:pPr>
              <w:spacing w:after="0"/>
              <w:rPr>
                <w:sz w:val="16"/>
                <w:szCs w:val="16"/>
                <w:color w:val="auto"/>
              </w:rPr>
            </w:pPr>
          </w:p>
        </w:tc>
        <w:tc>
          <w:tcPr>
            <w:tcW w:w="2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313 (a)</w:t>
            </w:r>
          </w:p>
        </w:tc>
        <w:tc>
          <w:tcPr>
            <w:tcW w:w="896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7.10</w:t>
            </w:r>
          </w:p>
        </w:tc>
      </w:tr>
      <w:tr>
        <w:trPr>
          <w:trHeight w:val="195"/>
        </w:trPr>
        <w:tc>
          <w:tcPr>
            <w:tcW w:w="20" w:type="dxa"/>
            <w:vAlign w:val="bottom"/>
          </w:tcPr>
          <w:p>
            <w:pPr>
              <w:spacing w:after="0"/>
              <w:rPr>
                <w:sz w:val="16"/>
                <w:szCs w:val="16"/>
                <w:color w:val="auto"/>
              </w:rPr>
            </w:pPr>
          </w:p>
        </w:tc>
        <w:tc>
          <w:tcPr>
            <w:tcW w:w="2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 (1)</w:t>
            </w:r>
          </w:p>
        </w:tc>
        <w:tc>
          <w:tcPr>
            <w:tcW w:w="6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N.A.</w:t>
            </w:r>
          </w:p>
        </w:tc>
      </w:tr>
      <w:tr>
        <w:trPr>
          <w:trHeight w:val="195"/>
        </w:trPr>
        <w:tc>
          <w:tcPr>
            <w:tcW w:w="20" w:type="dxa"/>
            <w:vAlign w:val="bottom"/>
          </w:tcPr>
          <w:p>
            <w:pPr>
              <w:spacing w:after="0"/>
              <w:rPr>
                <w:sz w:val="16"/>
                <w:szCs w:val="16"/>
                <w:color w:val="auto"/>
              </w:rPr>
            </w:pPr>
          </w:p>
        </w:tc>
        <w:tc>
          <w:tcPr>
            <w:tcW w:w="2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 (2)</w:t>
            </w:r>
          </w:p>
        </w:tc>
        <w:tc>
          <w:tcPr>
            <w:tcW w:w="896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7.10</w:t>
            </w:r>
          </w:p>
        </w:tc>
      </w:tr>
      <w:tr>
        <w:trPr>
          <w:trHeight w:val="195"/>
        </w:trPr>
        <w:tc>
          <w:tcPr>
            <w:tcW w:w="20" w:type="dxa"/>
            <w:vAlign w:val="bottom"/>
          </w:tcPr>
          <w:p>
            <w:pPr>
              <w:spacing w:after="0"/>
              <w:rPr>
                <w:sz w:val="16"/>
                <w:szCs w:val="16"/>
                <w:color w:val="auto"/>
              </w:rPr>
            </w:pPr>
          </w:p>
        </w:tc>
        <w:tc>
          <w:tcPr>
            <w:tcW w:w="2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w:t>
            </w:r>
          </w:p>
        </w:tc>
        <w:tc>
          <w:tcPr>
            <w:tcW w:w="89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7.10</w:t>
            </w:r>
          </w:p>
        </w:tc>
      </w:tr>
      <w:tr>
        <w:trPr>
          <w:trHeight w:val="195"/>
        </w:trPr>
        <w:tc>
          <w:tcPr>
            <w:tcW w:w="20" w:type="dxa"/>
            <w:vAlign w:val="bottom"/>
          </w:tcPr>
          <w:p>
            <w:pPr>
              <w:spacing w:after="0"/>
              <w:rPr>
                <w:sz w:val="16"/>
                <w:szCs w:val="16"/>
                <w:color w:val="auto"/>
              </w:rPr>
            </w:pPr>
          </w:p>
        </w:tc>
        <w:tc>
          <w:tcPr>
            <w:tcW w:w="2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w:t>
            </w:r>
          </w:p>
        </w:tc>
        <w:tc>
          <w:tcPr>
            <w:tcW w:w="896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7.10</w:t>
            </w:r>
          </w:p>
        </w:tc>
      </w:tr>
      <w:tr>
        <w:trPr>
          <w:trHeight w:val="195"/>
        </w:trPr>
        <w:tc>
          <w:tcPr>
            <w:tcW w:w="20" w:type="dxa"/>
            <w:vAlign w:val="bottom"/>
          </w:tcPr>
          <w:p>
            <w:pPr>
              <w:spacing w:after="0"/>
              <w:rPr>
                <w:sz w:val="16"/>
                <w:szCs w:val="16"/>
                <w:color w:val="auto"/>
              </w:rPr>
            </w:pPr>
          </w:p>
        </w:tc>
        <w:tc>
          <w:tcPr>
            <w:tcW w:w="2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314 (a)</w:t>
            </w:r>
          </w:p>
        </w:tc>
        <w:tc>
          <w:tcPr>
            <w:tcW w:w="89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4.03; 12.02; 12.04</w:t>
            </w:r>
          </w:p>
        </w:tc>
      </w:tr>
      <w:tr>
        <w:trPr>
          <w:trHeight w:val="195"/>
        </w:trPr>
        <w:tc>
          <w:tcPr>
            <w:tcW w:w="20" w:type="dxa"/>
            <w:vAlign w:val="bottom"/>
          </w:tcPr>
          <w:p>
            <w:pPr>
              <w:spacing w:after="0"/>
              <w:rPr>
                <w:sz w:val="16"/>
                <w:szCs w:val="16"/>
                <w:color w:val="auto"/>
              </w:rPr>
            </w:pPr>
          </w:p>
        </w:tc>
        <w:tc>
          <w:tcPr>
            <w:tcW w:w="2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N.A.</w:t>
            </w:r>
          </w:p>
        </w:tc>
      </w:tr>
      <w:tr>
        <w:trPr>
          <w:trHeight w:val="195"/>
        </w:trPr>
        <w:tc>
          <w:tcPr>
            <w:tcW w:w="20" w:type="dxa"/>
            <w:vAlign w:val="bottom"/>
          </w:tcPr>
          <w:p>
            <w:pPr>
              <w:spacing w:after="0"/>
              <w:rPr>
                <w:sz w:val="16"/>
                <w:szCs w:val="16"/>
                <w:color w:val="auto"/>
              </w:rPr>
            </w:pPr>
          </w:p>
        </w:tc>
        <w:tc>
          <w:tcPr>
            <w:tcW w:w="2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 (1)</w:t>
            </w:r>
          </w:p>
        </w:tc>
        <w:tc>
          <w:tcPr>
            <w:tcW w:w="89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12.03</w:t>
            </w:r>
          </w:p>
        </w:tc>
      </w:tr>
      <w:tr>
        <w:trPr>
          <w:trHeight w:val="195"/>
        </w:trPr>
        <w:tc>
          <w:tcPr>
            <w:tcW w:w="20" w:type="dxa"/>
            <w:vAlign w:val="bottom"/>
          </w:tcPr>
          <w:p>
            <w:pPr>
              <w:spacing w:after="0"/>
              <w:rPr>
                <w:sz w:val="16"/>
                <w:szCs w:val="16"/>
                <w:color w:val="auto"/>
              </w:rPr>
            </w:pPr>
          </w:p>
        </w:tc>
        <w:tc>
          <w:tcPr>
            <w:tcW w:w="2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 (2)</w:t>
            </w:r>
          </w:p>
        </w:tc>
        <w:tc>
          <w:tcPr>
            <w:tcW w:w="896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12.03</w:t>
            </w:r>
          </w:p>
        </w:tc>
      </w:tr>
      <w:tr>
        <w:trPr>
          <w:trHeight w:val="195"/>
        </w:trPr>
        <w:tc>
          <w:tcPr>
            <w:tcW w:w="20" w:type="dxa"/>
            <w:vAlign w:val="bottom"/>
          </w:tcPr>
          <w:p>
            <w:pPr>
              <w:spacing w:after="0"/>
              <w:rPr>
                <w:sz w:val="16"/>
                <w:szCs w:val="16"/>
                <w:color w:val="auto"/>
              </w:rPr>
            </w:pPr>
          </w:p>
        </w:tc>
        <w:tc>
          <w:tcPr>
            <w:tcW w:w="2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 (3)</w:t>
            </w:r>
          </w:p>
        </w:tc>
        <w:tc>
          <w:tcPr>
            <w:tcW w:w="6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N.A.</w:t>
            </w:r>
          </w:p>
        </w:tc>
      </w:tr>
      <w:tr>
        <w:trPr>
          <w:trHeight w:val="195"/>
        </w:trPr>
        <w:tc>
          <w:tcPr>
            <w:tcW w:w="20" w:type="dxa"/>
            <w:vAlign w:val="bottom"/>
          </w:tcPr>
          <w:p>
            <w:pPr>
              <w:spacing w:after="0"/>
              <w:rPr>
                <w:sz w:val="16"/>
                <w:szCs w:val="16"/>
                <w:color w:val="auto"/>
              </w:rPr>
            </w:pPr>
          </w:p>
        </w:tc>
        <w:tc>
          <w:tcPr>
            <w:tcW w:w="2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w:t>
            </w:r>
          </w:p>
        </w:tc>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N.A.</w:t>
            </w:r>
          </w:p>
        </w:tc>
      </w:tr>
      <w:tr>
        <w:trPr>
          <w:trHeight w:val="195"/>
        </w:trPr>
        <w:tc>
          <w:tcPr>
            <w:tcW w:w="20" w:type="dxa"/>
            <w:vAlign w:val="bottom"/>
          </w:tcPr>
          <w:p>
            <w:pPr>
              <w:spacing w:after="0"/>
              <w:rPr>
                <w:sz w:val="16"/>
                <w:szCs w:val="16"/>
                <w:color w:val="auto"/>
              </w:rPr>
            </w:pPr>
          </w:p>
        </w:tc>
        <w:tc>
          <w:tcPr>
            <w:tcW w:w="2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(e)</w:t>
            </w:r>
          </w:p>
        </w:tc>
        <w:tc>
          <w:tcPr>
            <w:tcW w:w="89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12.04</w:t>
            </w:r>
          </w:p>
        </w:tc>
      </w:tr>
      <w:tr>
        <w:trPr>
          <w:trHeight w:val="195"/>
        </w:trPr>
        <w:tc>
          <w:tcPr>
            <w:tcW w:w="20" w:type="dxa"/>
            <w:vAlign w:val="bottom"/>
          </w:tcPr>
          <w:p>
            <w:pPr>
              <w:spacing w:after="0"/>
              <w:rPr>
                <w:sz w:val="16"/>
                <w:szCs w:val="16"/>
                <w:color w:val="auto"/>
              </w:rPr>
            </w:pPr>
          </w:p>
        </w:tc>
        <w:tc>
          <w:tcPr>
            <w:tcW w:w="2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w:t>
            </w:r>
          </w:p>
        </w:tc>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N.A.</w:t>
            </w:r>
          </w:p>
        </w:tc>
      </w:tr>
      <w:tr>
        <w:trPr>
          <w:trHeight w:val="195"/>
        </w:trPr>
        <w:tc>
          <w:tcPr>
            <w:tcW w:w="20" w:type="dxa"/>
            <w:vAlign w:val="bottom"/>
          </w:tcPr>
          <w:p>
            <w:pPr>
              <w:spacing w:after="0"/>
              <w:rPr>
                <w:sz w:val="16"/>
                <w:szCs w:val="16"/>
                <w:color w:val="auto"/>
              </w:rPr>
            </w:pPr>
          </w:p>
        </w:tc>
        <w:tc>
          <w:tcPr>
            <w:tcW w:w="2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315 (a)</w:t>
            </w:r>
          </w:p>
        </w:tc>
        <w:tc>
          <w:tcPr>
            <w:tcW w:w="89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7.01</w:t>
            </w:r>
          </w:p>
        </w:tc>
      </w:tr>
      <w:tr>
        <w:trPr>
          <w:trHeight w:val="195"/>
        </w:trPr>
        <w:tc>
          <w:tcPr>
            <w:tcW w:w="20" w:type="dxa"/>
            <w:vAlign w:val="bottom"/>
          </w:tcPr>
          <w:p>
            <w:pPr>
              <w:spacing w:after="0"/>
              <w:rPr>
                <w:sz w:val="16"/>
                <w:szCs w:val="16"/>
                <w:color w:val="auto"/>
              </w:rPr>
            </w:pPr>
          </w:p>
        </w:tc>
        <w:tc>
          <w:tcPr>
            <w:tcW w:w="2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896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7.05</w:t>
            </w:r>
          </w:p>
        </w:tc>
      </w:tr>
      <w:tr>
        <w:trPr>
          <w:trHeight w:val="195"/>
        </w:trPr>
        <w:tc>
          <w:tcPr>
            <w:tcW w:w="20" w:type="dxa"/>
            <w:vAlign w:val="bottom"/>
          </w:tcPr>
          <w:p>
            <w:pPr>
              <w:spacing w:after="0"/>
              <w:rPr>
                <w:sz w:val="16"/>
                <w:szCs w:val="16"/>
                <w:color w:val="auto"/>
              </w:rPr>
            </w:pPr>
          </w:p>
        </w:tc>
        <w:tc>
          <w:tcPr>
            <w:tcW w:w="2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w:t>
            </w:r>
          </w:p>
        </w:tc>
        <w:tc>
          <w:tcPr>
            <w:tcW w:w="89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7.01</w:t>
            </w:r>
          </w:p>
        </w:tc>
      </w:tr>
      <w:tr>
        <w:trPr>
          <w:trHeight w:val="195"/>
        </w:trPr>
        <w:tc>
          <w:tcPr>
            <w:tcW w:w="20" w:type="dxa"/>
            <w:vAlign w:val="bottom"/>
          </w:tcPr>
          <w:p>
            <w:pPr>
              <w:spacing w:after="0"/>
              <w:rPr>
                <w:sz w:val="16"/>
                <w:szCs w:val="16"/>
                <w:color w:val="auto"/>
              </w:rPr>
            </w:pPr>
          </w:p>
        </w:tc>
        <w:tc>
          <w:tcPr>
            <w:tcW w:w="2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w:t>
            </w:r>
          </w:p>
        </w:tc>
        <w:tc>
          <w:tcPr>
            <w:tcW w:w="896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7.01</w:t>
            </w:r>
          </w:p>
        </w:tc>
      </w:tr>
      <w:tr>
        <w:trPr>
          <w:trHeight w:val="195"/>
        </w:trPr>
        <w:tc>
          <w:tcPr>
            <w:tcW w:w="20" w:type="dxa"/>
            <w:vAlign w:val="bottom"/>
          </w:tcPr>
          <w:p>
            <w:pPr>
              <w:spacing w:after="0"/>
              <w:rPr>
                <w:sz w:val="16"/>
                <w:szCs w:val="16"/>
                <w:color w:val="auto"/>
              </w:rPr>
            </w:pPr>
          </w:p>
        </w:tc>
        <w:tc>
          <w:tcPr>
            <w:tcW w:w="2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(e)</w:t>
            </w:r>
          </w:p>
        </w:tc>
        <w:tc>
          <w:tcPr>
            <w:tcW w:w="89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6.11</w:t>
            </w:r>
          </w:p>
        </w:tc>
      </w:tr>
      <w:tr>
        <w:trPr>
          <w:trHeight w:val="195"/>
        </w:trPr>
        <w:tc>
          <w:tcPr>
            <w:tcW w:w="20" w:type="dxa"/>
            <w:vAlign w:val="bottom"/>
          </w:tcPr>
          <w:p>
            <w:pPr>
              <w:spacing w:after="0"/>
              <w:rPr>
                <w:sz w:val="16"/>
                <w:szCs w:val="16"/>
                <w:color w:val="auto"/>
              </w:rPr>
            </w:pPr>
          </w:p>
        </w:tc>
        <w:tc>
          <w:tcPr>
            <w:tcW w:w="2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 (1) (A)</w:t>
            </w:r>
          </w:p>
        </w:tc>
        <w:tc>
          <w:tcPr>
            <w:tcW w:w="896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6.05</w:t>
            </w:r>
          </w:p>
        </w:tc>
      </w:tr>
      <w:tr>
        <w:trPr>
          <w:trHeight w:val="195"/>
        </w:trPr>
        <w:tc>
          <w:tcPr>
            <w:tcW w:w="20" w:type="dxa"/>
            <w:vAlign w:val="bottom"/>
          </w:tcPr>
          <w:p>
            <w:pPr>
              <w:spacing w:after="0"/>
              <w:rPr>
                <w:sz w:val="16"/>
                <w:szCs w:val="16"/>
                <w:color w:val="auto"/>
              </w:rPr>
            </w:pPr>
          </w:p>
        </w:tc>
        <w:tc>
          <w:tcPr>
            <w:tcW w:w="2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 (1) (B)</w:t>
            </w:r>
          </w:p>
        </w:tc>
        <w:tc>
          <w:tcPr>
            <w:tcW w:w="89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6.04</w:t>
            </w:r>
          </w:p>
        </w:tc>
      </w:tr>
      <w:tr>
        <w:trPr>
          <w:trHeight w:val="195"/>
        </w:trPr>
        <w:tc>
          <w:tcPr>
            <w:tcW w:w="20" w:type="dxa"/>
            <w:vAlign w:val="bottom"/>
          </w:tcPr>
          <w:p>
            <w:pPr>
              <w:spacing w:after="0"/>
              <w:rPr>
                <w:sz w:val="16"/>
                <w:szCs w:val="16"/>
                <w:color w:val="auto"/>
              </w:rPr>
            </w:pPr>
          </w:p>
        </w:tc>
        <w:tc>
          <w:tcPr>
            <w:tcW w:w="2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 (2)</w:t>
            </w:r>
          </w:p>
        </w:tc>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N.A.</w:t>
            </w:r>
          </w:p>
        </w:tc>
      </w:tr>
      <w:tr>
        <w:trPr>
          <w:trHeight w:val="195"/>
        </w:trPr>
        <w:tc>
          <w:tcPr>
            <w:tcW w:w="20" w:type="dxa"/>
            <w:vAlign w:val="bottom"/>
          </w:tcPr>
          <w:p>
            <w:pPr>
              <w:spacing w:after="0"/>
              <w:rPr>
                <w:sz w:val="16"/>
                <w:szCs w:val="16"/>
                <w:color w:val="auto"/>
              </w:rPr>
            </w:pPr>
          </w:p>
        </w:tc>
        <w:tc>
          <w:tcPr>
            <w:tcW w:w="2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316 (a) (last sentence)</w:t>
            </w:r>
          </w:p>
        </w:tc>
        <w:tc>
          <w:tcPr>
            <w:tcW w:w="89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2.11</w:t>
            </w:r>
          </w:p>
        </w:tc>
      </w:tr>
      <w:tr>
        <w:trPr>
          <w:trHeight w:val="195"/>
        </w:trPr>
        <w:tc>
          <w:tcPr>
            <w:tcW w:w="20" w:type="dxa"/>
            <w:vAlign w:val="bottom"/>
          </w:tcPr>
          <w:p>
            <w:pPr>
              <w:spacing w:after="0"/>
              <w:rPr>
                <w:sz w:val="16"/>
                <w:szCs w:val="16"/>
                <w:color w:val="auto"/>
              </w:rPr>
            </w:pPr>
          </w:p>
        </w:tc>
        <w:tc>
          <w:tcPr>
            <w:tcW w:w="2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896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6.07</w:t>
            </w:r>
          </w:p>
        </w:tc>
      </w:tr>
      <w:tr>
        <w:trPr>
          <w:trHeight w:val="195"/>
        </w:trPr>
        <w:tc>
          <w:tcPr>
            <w:tcW w:w="20" w:type="dxa"/>
            <w:vAlign w:val="bottom"/>
          </w:tcPr>
          <w:p>
            <w:pPr>
              <w:spacing w:after="0"/>
              <w:rPr>
                <w:sz w:val="16"/>
                <w:szCs w:val="16"/>
                <w:color w:val="auto"/>
              </w:rPr>
            </w:pPr>
          </w:p>
        </w:tc>
        <w:tc>
          <w:tcPr>
            <w:tcW w:w="2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w:t>
            </w:r>
          </w:p>
        </w:tc>
        <w:tc>
          <w:tcPr>
            <w:tcW w:w="89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8.03</w:t>
            </w:r>
          </w:p>
        </w:tc>
      </w:tr>
      <w:tr>
        <w:trPr>
          <w:trHeight w:val="195"/>
        </w:trPr>
        <w:tc>
          <w:tcPr>
            <w:tcW w:w="20" w:type="dxa"/>
            <w:vAlign w:val="bottom"/>
          </w:tcPr>
          <w:p>
            <w:pPr>
              <w:spacing w:after="0"/>
              <w:rPr>
                <w:sz w:val="16"/>
                <w:szCs w:val="16"/>
                <w:color w:val="auto"/>
              </w:rPr>
            </w:pPr>
          </w:p>
        </w:tc>
        <w:tc>
          <w:tcPr>
            <w:tcW w:w="2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317 (a) (1)</w:t>
            </w:r>
          </w:p>
        </w:tc>
        <w:tc>
          <w:tcPr>
            <w:tcW w:w="896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6.08</w:t>
            </w:r>
          </w:p>
        </w:tc>
      </w:tr>
      <w:tr>
        <w:trPr>
          <w:trHeight w:val="195"/>
        </w:trPr>
        <w:tc>
          <w:tcPr>
            <w:tcW w:w="20" w:type="dxa"/>
            <w:vAlign w:val="bottom"/>
          </w:tcPr>
          <w:p>
            <w:pPr>
              <w:spacing w:after="0"/>
              <w:rPr>
                <w:sz w:val="16"/>
                <w:szCs w:val="16"/>
                <w:color w:val="auto"/>
              </w:rPr>
            </w:pPr>
          </w:p>
        </w:tc>
        <w:tc>
          <w:tcPr>
            <w:tcW w:w="2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 (2)</w:t>
            </w:r>
          </w:p>
        </w:tc>
        <w:tc>
          <w:tcPr>
            <w:tcW w:w="89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6.09</w:t>
            </w:r>
          </w:p>
        </w:tc>
      </w:tr>
      <w:tr>
        <w:trPr>
          <w:trHeight w:val="195"/>
        </w:trPr>
        <w:tc>
          <w:tcPr>
            <w:tcW w:w="20" w:type="dxa"/>
            <w:vAlign w:val="bottom"/>
          </w:tcPr>
          <w:p>
            <w:pPr>
              <w:spacing w:after="0"/>
              <w:rPr>
                <w:sz w:val="16"/>
                <w:szCs w:val="16"/>
                <w:color w:val="auto"/>
              </w:rPr>
            </w:pPr>
          </w:p>
        </w:tc>
        <w:tc>
          <w:tcPr>
            <w:tcW w:w="2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896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2.06</w:t>
            </w:r>
          </w:p>
        </w:tc>
      </w:tr>
      <w:tr>
        <w:trPr>
          <w:trHeight w:val="199"/>
        </w:trPr>
        <w:tc>
          <w:tcPr>
            <w:tcW w:w="20" w:type="dxa"/>
            <w:vAlign w:val="bottom"/>
          </w:tcPr>
          <w:p>
            <w:pPr>
              <w:spacing w:after="0"/>
              <w:rPr>
                <w:sz w:val="17"/>
                <w:szCs w:val="17"/>
                <w:color w:val="auto"/>
              </w:rPr>
            </w:pPr>
          </w:p>
        </w:tc>
        <w:tc>
          <w:tcPr>
            <w:tcW w:w="228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318 (a)</w:t>
            </w:r>
          </w:p>
        </w:tc>
        <w:tc>
          <w:tcPr>
            <w:tcW w:w="8960" w:type="dxa"/>
            <w:vAlign w:val="bottom"/>
            <w:tcBorders>
              <w:bottom w:val="single" w:sz="8" w:color="auto"/>
            </w:tcBorders>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12.01</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 means not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This Cross Reference Table is not part of the Indenture.</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960" w:type="dxa"/>
            <w:vAlign w:val="bottom"/>
          </w:tcPr>
          <w:p>
            <w:pPr>
              <w:ind w:left="474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2300" w:type="dxa"/>
            <w:vAlign w:val="bottom"/>
            <w:gridSpan w:val="2"/>
          </w:tcPr>
          <w:p>
            <w:pPr>
              <w:ind w:left="192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rPr>
              <w:t>ARTICLE I</w:t>
            </w:r>
          </w:p>
        </w:tc>
        <w:tc>
          <w:tcPr>
            <w:tcW w:w="22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rPr>
              <w:t>DEFINITIONS AND INCORPORATION BY REFERENCE</w:t>
            </w: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896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6"/>
                <w:szCs w:val="16"/>
                <w:color w:val="auto"/>
              </w:rPr>
              <w:t>Section 1.01. Definitions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1.02. Other Definitions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6"/>
                <w:szCs w:val="16"/>
                <w:color w:val="auto"/>
              </w:rPr>
              <w:t>Section 1.03. Rules of Construction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1.04. Incorporation by Reference of Trust Indenture Act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9"/>
              </w:rPr>
              <w:t>ARTICLE II</w:t>
            </w:r>
          </w:p>
        </w:tc>
        <w:tc>
          <w:tcPr>
            <w:tcW w:w="22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rPr>
              <w:t>THE SECURITIES</w:t>
            </w: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896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6"/>
                <w:szCs w:val="16"/>
                <w:color w:val="auto"/>
              </w:rPr>
              <w:t>Section 2.01. Terms of the Securities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2.02. Amount Unlimited; Issuable in Series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6"/>
                <w:szCs w:val="16"/>
                <w:color w:val="auto"/>
              </w:rPr>
              <w:t>Section 2.03. Execution and Authentication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2.04. Forms of Certificate of Authentication</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6"/>
                <w:szCs w:val="16"/>
                <w:color w:val="auto"/>
              </w:rPr>
              <w:t>Section 2.05. Registrar and Paying Agent</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2.06. Paying Agent To Hold Money in Trust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6"/>
                <w:szCs w:val="16"/>
                <w:color w:val="auto"/>
              </w:rPr>
              <w:t>Section 2.07. Holder Lists</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2.08. Transfer and Exchange</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6"/>
                <w:szCs w:val="16"/>
                <w:color w:val="auto"/>
              </w:rPr>
              <w:t>Section 2.09. Replacement Securities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2.10. Outstanding Securities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6"/>
                <w:szCs w:val="16"/>
                <w:color w:val="auto"/>
              </w:rPr>
              <w:t>Section 2.11. Treasury Securities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2.12. Temporary Securities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6"/>
                <w:szCs w:val="16"/>
                <w:color w:val="auto"/>
              </w:rPr>
              <w:t>Section 2.13. Cancellation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2.14. Defaulted Interest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6"/>
                <w:szCs w:val="16"/>
                <w:color w:val="auto"/>
              </w:rPr>
              <w:t>Section 2.15. Identifying Number</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2.16. Deposit of Moneys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6"/>
                <w:szCs w:val="16"/>
                <w:color w:val="auto"/>
              </w:rPr>
              <w:t>Section 2.17. Global Securities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2.18. Issuance of Additional Securities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6"/>
                <w:szCs w:val="16"/>
                <w:color w:val="auto"/>
              </w:rPr>
              <w:t>Section 2.19. Computation of Interest</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2.20. Currency of Payments in Respect of Securities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6"/>
                <w:szCs w:val="16"/>
                <w:color w:val="auto"/>
              </w:rPr>
              <w:t>Section 2.21. Judgments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tcPr>
          <w:p>
            <w:pPr>
              <w:jc w:val="center"/>
              <w:ind w:left="1039"/>
              <w:spacing w:after="0"/>
              <w:rPr>
                <w:sz w:val="20"/>
                <w:szCs w:val="20"/>
                <w:color w:val="auto"/>
              </w:rPr>
            </w:pPr>
            <w:r>
              <w:rPr>
                <w:rFonts w:ascii="Times New Roman" w:cs="Times New Roman" w:eastAsia="Times New Roman" w:hAnsi="Times New Roman"/>
                <w:sz w:val="16"/>
                <w:szCs w:val="16"/>
                <w:color w:val="auto"/>
              </w:rPr>
              <w:t>ARTICLE III</w:t>
            </w: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rPr>
              <w:t>REDEMPTION AND PREPAYMENT</w:t>
            </w:r>
          </w:p>
        </w:tc>
        <w:tc>
          <w:tcPr>
            <w:tcW w:w="22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89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3.01. Applicability of Right of Redemption</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6"/>
                <w:szCs w:val="16"/>
                <w:color w:val="auto"/>
              </w:rPr>
              <w:t>Section 3.02. Election To Redeem; Notices to Trustee</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3.03. Selection by Trustee of Securities To Be Redeemed</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6"/>
                <w:szCs w:val="16"/>
                <w:color w:val="auto"/>
              </w:rPr>
              <w:t>Section 3.04. Notice of Redemption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3.05. Effect of Notice of Redemption</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6"/>
                <w:szCs w:val="16"/>
                <w:color w:val="auto"/>
              </w:rPr>
              <w:t>Section 3.06. Deposit of Redemption Price</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3.07. Securities Redeemed in Part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rPr>
              <w:t>ARTICLE IV</w:t>
            </w:r>
          </w:p>
        </w:tc>
        <w:tc>
          <w:tcPr>
            <w:tcW w:w="22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rPr>
              <w:t>COVENANTS</w:t>
            </w: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896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6"/>
                <w:szCs w:val="16"/>
                <w:color w:val="auto"/>
              </w:rPr>
              <w:t>Section 4.01. Payment of Principal, Premium and Interest</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4.02. Maintenance of Office or Agency</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6"/>
                <w:szCs w:val="16"/>
                <w:color w:val="auto"/>
              </w:rPr>
              <w:t>Section 4.03. Reports to Holders</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4.04. Additional Guarantees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Section 4.05. Compliance Certificate</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w w:val="98"/>
              </w:rPr>
              <w:t>ARTICLE V</w:t>
            </w: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jc w:val="center"/>
              <w:ind w:left="719"/>
              <w:spacing w:after="0"/>
              <w:rPr>
                <w:sz w:val="20"/>
                <w:szCs w:val="20"/>
                <w:color w:val="auto"/>
              </w:rPr>
            </w:pPr>
            <w:r>
              <w:rPr>
                <w:rFonts w:ascii="Times New Roman" w:cs="Times New Roman" w:eastAsia="Times New Roman" w:hAnsi="Times New Roman"/>
                <w:sz w:val="16"/>
                <w:szCs w:val="16"/>
                <w:color w:val="auto"/>
              </w:rPr>
              <w:t>SUCCESSORS</w:t>
            </w:r>
          </w:p>
        </w:tc>
        <w:tc>
          <w:tcPr>
            <w:tcW w:w="1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92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5.01. Consolidation, Merger and Sale of Assets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jc w:val="center"/>
              <w:ind w:left="719"/>
              <w:spacing w:after="0"/>
              <w:rPr>
                <w:sz w:val="20"/>
                <w:szCs w:val="20"/>
                <w:color w:val="auto"/>
              </w:rPr>
            </w:pPr>
            <w:r>
              <w:rPr>
                <w:rFonts w:ascii="Times New Roman" w:cs="Times New Roman" w:eastAsia="Times New Roman" w:hAnsi="Times New Roman"/>
                <w:sz w:val="16"/>
                <w:szCs w:val="16"/>
                <w:color w:val="auto"/>
              </w:rPr>
              <w:t>ARTICLE VI</w:t>
            </w:r>
          </w:p>
        </w:tc>
        <w:tc>
          <w:tcPr>
            <w:tcW w:w="1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DEFAULTS AND REMEDIES</w:t>
            </w: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926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Section 6.01. Events of Default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6.02. Acceleration of Maturity; Rescission</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Section 6.03. Other Remedies</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6.04. Waiver of Past Defaults and Events of Default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Section 6.05. Control by Majority</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6.06. Limitation on Suits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Section 6.07. Rights of Holders To Receive Payment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6.08. Collection Suit by Trustee</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Section 6.09. Trustee May File Proofs of Claim</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6.10. Priorities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Section 6.11. Undertaking for Costs</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6.12. Delay or Omission Not Waiver</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jc w:val="center"/>
              <w:ind w:left="719"/>
              <w:spacing w:after="0"/>
              <w:rPr>
                <w:sz w:val="20"/>
                <w:szCs w:val="20"/>
                <w:color w:val="auto"/>
              </w:rPr>
            </w:pPr>
            <w:r>
              <w:rPr>
                <w:rFonts w:ascii="Times New Roman" w:cs="Times New Roman" w:eastAsia="Times New Roman" w:hAnsi="Times New Roman"/>
                <w:sz w:val="16"/>
                <w:szCs w:val="16"/>
                <w:color w:val="auto"/>
              </w:rPr>
              <w:t>ARTICLE VII</w:t>
            </w:r>
          </w:p>
        </w:tc>
        <w:tc>
          <w:tcPr>
            <w:tcW w:w="1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w w:val="99"/>
              </w:rPr>
              <w:t>TRUSTEE</w:t>
            </w: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926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Section 7.01. Duties of Trustee</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7.02. Rights of Trustee</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Section 7.03. Individual Rights of Trustee</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7.04. Trustee’s Disclaimer</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Section 7.05. Notice of Defaults</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7.06. Compensation and Indemnity</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Section 7.07. Replacement of Trustee</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7.08. Successor Trustee by Consolidation, Merger, etc.</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Section 7.09. Eligibility; Disqualification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7.10. Reports by Trustee to Holders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Section 7.11. Preferential Collection of Claims Against Company</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7.12. Appointment of Authenticating Agent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jc w:val="center"/>
              <w:ind w:left="719"/>
              <w:spacing w:after="0"/>
              <w:rPr>
                <w:sz w:val="20"/>
                <w:szCs w:val="20"/>
                <w:color w:val="auto"/>
              </w:rPr>
            </w:pPr>
            <w:r>
              <w:rPr>
                <w:rFonts w:ascii="Times New Roman" w:cs="Times New Roman" w:eastAsia="Times New Roman" w:hAnsi="Times New Roman"/>
                <w:sz w:val="16"/>
                <w:szCs w:val="16"/>
                <w:color w:val="auto"/>
                <w:w w:val="98"/>
              </w:rPr>
              <w:t>ARTICLE VIII</w:t>
            </w:r>
          </w:p>
        </w:tc>
        <w:tc>
          <w:tcPr>
            <w:tcW w:w="1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AMENDMENT, SUPPLEMENT AND WAIVER</w:t>
            </w: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926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Section 8.01. Without Consent of Holders</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8.02. With Consent of Holders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Section 8.03. Revocation and Effect of Consents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8.04. Notation on or Exchange of Securities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Section 8.05. Trustee To Sign Amendments, etc.</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8.06. Compliance with Trust Indenture Act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Section 8.07. Effect of Execution of Supplemental Indenture</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ARTICLE IX</w:t>
            </w: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jc w:val="center"/>
              <w:ind w:left="719"/>
              <w:spacing w:after="0"/>
              <w:rPr>
                <w:sz w:val="20"/>
                <w:szCs w:val="20"/>
                <w:color w:val="auto"/>
              </w:rPr>
            </w:pPr>
            <w:r>
              <w:rPr>
                <w:rFonts w:ascii="Times New Roman" w:cs="Times New Roman" w:eastAsia="Times New Roman" w:hAnsi="Times New Roman"/>
                <w:sz w:val="16"/>
                <w:szCs w:val="16"/>
                <w:color w:val="auto"/>
              </w:rPr>
              <w:t>SATISFACTION AND DISCHARGE OF INDENTURE; DEFEASANCE</w:t>
            </w:r>
          </w:p>
        </w:tc>
        <w:tc>
          <w:tcPr>
            <w:tcW w:w="1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92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9.01. Applicability of Article</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9.02. Satisfaction and Discharge of Liability on Securities; Defeasance</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9.03. Conditions to Defeasance</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9.04. Deposited Money and U.S. Government Obligations To Be Held in Trust; Other Miscellaneous Provisions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9.05. Reinstatement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9.06. Moneys Held by Paying Agent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9.07. Moneys Held by Trustee</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9.08. Deposits of Non-U.S. Currencies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360" w:type="dxa"/>
            <w:vAlign w:val="bottom"/>
            <w:shd w:val="clear" w:color="auto" w:fill="CCEEFF"/>
          </w:tcPr>
          <w:p>
            <w:pPr>
              <w:jc w:val="center"/>
              <w:ind w:right="339"/>
              <w:spacing w:after="0"/>
              <w:rPr>
                <w:sz w:val="20"/>
                <w:szCs w:val="20"/>
                <w:color w:val="auto"/>
              </w:rPr>
            </w:pPr>
            <w:r>
              <w:rPr>
                <w:rFonts w:ascii="Times New Roman" w:cs="Times New Roman" w:eastAsia="Times New Roman" w:hAnsi="Times New Roman"/>
                <w:sz w:val="16"/>
                <w:szCs w:val="16"/>
                <w:color w:val="auto"/>
                <w:w w:val="98"/>
              </w:rPr>
              <w:t>ARTICLE X</w:t>
            </w:r>
          </w:p>
        </w:tc>
        <w:tc>
          <w:tcPr>
            <w:tcW w:w="1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36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rPr>
              <w:t>GUARANTEES</w:t>
            </w: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9420" w:type="dxa"/>
            <w:vAlign w:val="bottom"/>
            <w:gridSpan w:val="2"/>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10.01. Guarantees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10.02. Severability</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10.03. Limitation of Liability</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10.04. Contribution</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10.05. Subrogation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10.06. Reinstatement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10.07. Release of a Guarantor</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10.08. Benefits Acknowledged</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360" w:type="dxa"/>
            <w:vAlign w:val="bottom"/>
            <w:shd w:val="clear" w:color="auto" w:fill="CCEEFF"/>
          </w:tcPr>
          <w:p>
            <w:pPr>
              <w:jc w:val="center"/>
              <w:ind w:right="339"/>
              <w:spacing w:after="0"/>
              <w:rPr>
                <w:sz w:val="20"/>
                <w:szCs w:val="20"/>
                <w:color w:val="auto"/>
              </w:rPr>
            </w:pPr>
            <w:r>
              <w:rPr>
                <w:rFonts w:ascii="Times New Roman" w:cs="Times New Roman" w:eastAsia="Times New Roman" w:hAnsi="Times New Roman"/>
                <w:sz w:val="16"/>
                <w:szCs w:val="16"/>
                <w:color w:val="auto"/>
              </w:rPr>
              <w:t>ARTICLE XI</w:t>
            </w:r>
          </w:p>
        </w:tc>
        <w:tc>
          <w:tcPr>
            <w:tcW w:w="1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36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rPr>
              <w:t>SINKING FUNDS</w:t>
            </w: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9420" w:type="dxa"/>
            <w:vAlign w:val="bottom"/>
            <w:gridSpan w:val="2"/>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11.01. Applicability of Sinking Fund</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11.02. Mandatory Sinking Fund Obligation</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11.03. Optional Redemption at Sinking Fund Redemption Price</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11.04. Application of Sinking Fund Payment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360" w:type="dxa"/>
            <w:vAlign w:val="bottom"/>
            <w:shd w:val="clear" w:color="auto" w:fill="CCEEFF"/>
          </w:tcPr>
          <w:p>
            <w:pPr>
              <w:jc w:val="center"/>
              <w:ind w:right="339"/>
              <w:spacing w:after="0"/>
              <w:rPr>
                <w:sz w:val="20"/>
                <w:szCs w:val="20"/>
                <w:color w:val="auto"/>
              </w:rPr>
            </w:pPr>
            <w:r>
              <w:rPr>
                <w:rFonts w:ascii="Times New Roman" w:cs="Times New Roman" w:eastAsia="Times New Roman" w:hAnsi="Times New Roman"/>
                <w:sz w:val="16"/>
                <w:szCs w:val="16"/>
                <w:color w:val="auto"/>
              </w:rPr>
              <w:t>ARTICLE XII</w:t>
            </w:r>
          </w:p>
        </w:tc>
        <w:tc>
          <w:tcPr>
            <w:tcW w:w="1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36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MISCELLANEOUS</w:t>
            </w: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9420" w:type="dxa"/>
            <w:vAlign w:val="bottom"/>
            <w:gridSpan w:val="2"/>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12.01. Trust Indenture Act Controls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12.02. Notices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12.03. Certificate and Opinion as to Conditions Precedent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12.04. Statements Required in Certificate and Opinion</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12.05. Communications by Holders with Other Holders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12.06. Rules by Trustee and Agents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12.07. No Personal Liability of Directors, Officers, Employees and Stockholders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12.08. Governing Law; Waiver of Jury Trial; Jurisdiction</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12.09. No Adverse Interpretation of Other Agreements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12.10. Successors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12.11. Separability</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12.12. Counterpart Originals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12.13. Table of Contents, Headings, etc.</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12.14. Benefits of Indenture</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12.15. Electronic Delivery</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12.16. Office of Foreign Assets Control Sanctions Representations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12.17. Foreign Account Tax Compliance Act (FACTA)</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1060" w:type="dxa"/>
            <w:vAlign w:val="bottom"/>
          </w:tcPr>
          <w:p>
            <w:pPr>
              <w:spacing w:after="0"/>
              <w:rPr>
                <w:sz w:val="15"/>
                <w:szCs w:val="15"/>
                <w:color w:val="auto"/>
              </w:rPr>
            </w:pPr>
          </w:p>
        </w:tc>
        <w:tc>
          <w:tcPr>
            <w:tcW w:w="8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EXHIBIT A</w:t>
            </w:r>
          </w:p>
        </w:tc>
        <w:tc>
          <w:tcPr>
            <w:tcW w:w="8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FORM OF NOTATION OF GUARANTEE</w:t>
            </w:r>
          </w:p>
        </w:tc>
        <w:tc>
          <w:tcPr>
            <w:tcW w:w="1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60" w:name="page61"/>
    <w:bookmarkEnd w:id="60"/>
    <w:p>
      <w:pPr>
        <w:ind w:right="120" w:firstLine="585"/>
        <w:spacing w:after="0" w:line="288" w:lineRule="auto"/>
        <w:rPr>
          <w:sz w:val="20"/>
          <w:szCs w:val="20"/>
          <w:color w:val="auto"/>
        </w:rPr>
      </w:pPr>
      <w:r>
        <w:rPr>
          <w:rFonts w:ascii="Times New Roman" w:cs="Times New Roman" w:eastAsia="Times New Roman" w:hAnsi="Times New Roman"/>
          <w:sz w:val="16"/>
          <w:szCs w:val="16"/>
          <w:color w:val="auto"/>
        </w:rPr>
        <w:t>SENIOR INDENTURE, dated as of , , among Viatris Inc., a Delaware corporation, as issuer, the Guarantors (as defined in Section 1.01) and The Bank of New York Mellon, a New York banking corporation, as trustee.</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Each party agrees as follows for the benefit of the other parties and for the equal and ratable benefit of the Holders of the Securities.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DEFINITIONS AND INCORPORATION BY REFERENCE</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1.01. Definitions.</w:t>
      </w:r>
    </w:p>
    <w:p>
      <w:pPr>
        <w:spacing w:after="0" w:line="206" w:lineRule="exact"/>
        <w:rPr>
          <w:sz w:val="20"/>
          <w:szCs w:val="20"/>
          <w:color w:val="auto"/>
        </w:rPr>
      </w:pPr>
    </w:p>
    <w:p>
      <w:pPr>
        <w:ind w:right="42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Additional Securities</w:t>
      </w:r>
      <w:r>
        <w:rPr>
          <w:rFonts w:ascii="Times New Roman" w:cs="Times New Roman" w:eastAsia="Times New Roman" w:hAnsi="Times New Roman"/>
          <w:sz w:val="16"/>
          <w:szCs w:val="16"/>
          <w:color w:val="auto"/>
        </w:rPr>
        <w:t>” means, with respect to a series of Securities, additional Securities of such series (other than the Initial Securities of such series) issued hereunder from time to time in accordance with Sections 2.02 and 2.18, as part of the same or a different series as the Initial Securities of such series.</w:t>
      </w:r>
    </w:p>
    <w:p>
      <w:pPr>
        <w:spacing w:after="0" w:line="138" w:lineRule="exact"/>
        <w:rPr>
          <w:sz w:val="20"/>
          <w:szCs w:val="20"/>
          <w:color w:val="auto"/>
        </w:rPr>
      </w:pPr>
    </w:p>
    <w:p>
      <w:pPr>
        <w:ind w:right="100" w:firstLine="585"/>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Affiliate</w:t>
      </w:r>
      <w:r>
        <w:rPr>
          <w:rFonts w:ascii="Times New Roman" w:cs="Times New Roman" w:eastAsia="Times New Roman" w:hAnsi="Times New Roman"/>
          <w:sz w:val="16"/>
          <w:szCs w:val="16"/>
          <w:color w:val="auto"/>
        </w:rPr>
        <w:t>” means, with respect to any specified Person,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ownership of voting securities, by contract or otherwise; and the terms “controlling” and “controlled” have meanings correlative to the foregoing. No Person (other than the Company or any Subsidiary of the Company) in whom a Receivables Entity makes an Investment in connection with a Qualified Receivables Transaction will be deemed to be an Affiliate of the Company or any of its Subsidiaries solely by reason of such Investment.</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Agent</w:t>
      </w:r>
      <w:r>
        <w:rPr>
          <w:rFonts w:ascii="Times New Roman" w:cs="Times New Roman" w:eastAsia="Times New Roman" w:hAnsi="Times New Roman"/>
          <w:sz w:val="16"/>
          <w:szCs w:val="16"/>
          <w:color w:val="auto"/>
        </w:rPr>
        <w:t>” means any Registrar, co-Registrar or Paying Agent.</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amend</w:t>
      </w:r>
      <w:r>
        <w:rPr>
          <w:rFonts w:ascii="Times New Roman" w:cs="Times New Roman" w:eastAsia="Times New Roman" w:hAnsi="Times New Roman"/>
          <w:sz w:val="16"/>
          <w:szCs w:val="16"/>
          <w:color w:val="auto"/>
        </w:rPr>
        <w:t>” means amend, modify, supplement, restate or amend and restate, including successively; and “</w:t>
      </w:r>
      <w:r>
        <w:rPr>
          <w:rFonts w:ascii="Times New Roman" w:cs="Times New Roman" w:eastAsia="Times New Roman" w:hAnsi="Times New Roman"/>
          <w:sz w:val="16"/>
          <w:szCs w:val="16"/>
          <w:i w:val="1"/>
          <w:iCs w:val="1"/>
          <w:color w:val="auto"/>
        </w:rPr>
        <w:t>amending</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amended</w:t>
      </w:r>
      <w:r>
        <w:rPr>
          <w:rFonts w:ascii="Times New Roman" w:cs="Times New Roman" w:eastAsia="Times New Roman" w:hAnsi="Times New Roman"/>
          <w:sz w:val="16"/>
          <w:szCs w:val="16"/>
          <w:color w:val="auto"/>
        </w:rPr>
        <w:t>” have correlative meanings.</w:t>
      </w:r>
    </w:p>
    <w:p>
      <w:pPr>
        <w:spacing w:after="0" w:line="206" w:lineRule="exact"/>
        <w:rPr>
          <w:sz w:val="20"/>
          <w:szCs w:val="20"/>
          <w:color w:val="auto"/>
        </w:rPr>
      </w:pPr>
    </w:p>
    <w:p>
      <w:pPr>
        <w:ind w:firstLine="585"/>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Attributable Debt</w:t>
      </w:r>
      <w:r>
        <w:rPr>
          <w:rFonts w:ascii="Times New Roman" w:cs="Times New Roman" w:eastAsia="Times New Roman" w:hAnsi="Times New Roman"/>
          <w:sz w:val="16"/>
          <w:szCs w:val="16"/>
          <w:color w:val="auto"/>
        </w:rPr>
        <w:t xml:space="preserve">” in respect of a Sale Leaseback Transaction means, as at the time of determination, the present value (discounted at the interest rate implicit in the lease, compounded annually) of the total obligations of the lessee for rental payments during the remaining term of the lease included in such Sale Leaseback Transaction (including any period for which such lease has been extended);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such Sale Leaseback Transaction results in a Capital Lease Obligation, the amount of Indebtedness represented thereby will be determined in accordance with the definition of “Capital Lease Obligations.”</w:t>
      </w:r>
    </w:p>
    <w:p>
      <w:pPr>
        <w:spacing w:after="0" w:line="159" w:lineRule="exact"/>
        <w:rPr>
          <w:sz w:val="20"/>
          <w:szCs w:val="20"/>
          <w:color w:val="auto"/>
        </w:rPr>
      </w:pPr>
    </w:p>
    <w:p>
      <w:pPr>
        <w:ind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Attributable Receivables Indebtedness</w:t>
      </w:r>
      <w:r>
        <w:rPr>
          <w:rFonts w:ascii="Times New Roman" w:cs="Times New Roman" w:eastAsia="Times New Roman" w:hAnsi="Times New Roman"/>
          <w:sz w:val="16"/>
          <w:szCs w:val="16"/>
          <w:color w:val="auto"/>
        </w:rPr>
        <w:t>” at any time means the principal amount of Indebtedness which (i) if a Qualified Receivables Transaction is structured as a secured lending agreement, would constitute the principal amount of such Indebtedness or (ii) if a Qualified Receivables Transaction is structured as a purchase agreement, would be outstanding at such time under the Qualified Receivables Transaction if the same were structured as a secured lending agreement rather than a purchase agreement.</w:t>
      </w:r>
    </w:p>
    <w:p>
      <w:pPr>
        <w:spacing w:after="0" w:line="154" w:lineRule="exact"/>
        <w:rPr>
          <w:sz w:val="20"/>
          <w:szCs w:val="20"/>
          <w:color w:val="auto"/>
        </w:rPr>
      </w:pPr>
    </w:p>
    <w:p>
      <w:pPr>
        <w:ind w:right="10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Bankruptcy Law</w:t>
      </w:r>
      <w:r>
        <w:rPr>
          <w:rFonts w:ascii="Times New Roman" w:cs="Times New Roman" w:eastAsia="Times New Roman" w:hAnsi="Times New Roman"/>
          <w:sz w:val="16"/>
          <w:szCs w:val="16"/>
          <w:color w:val="auto"/>
        </w:rPr>
        <w:t>” means Title 11, United States Code, or any similar U.S. Federal or state law, the Netherlands Bankruptcy Act (</w:t>
      </w:r>
      <w:r>
        <w:rPr>
          <w:rFonts w:ascii="Times New Roman" w:cs="Times New Roman" w:eastAsia="Times New Roman" w:hAnsi="Times New Roman"/>
          <w:sz w:val="16"/>
          <w:szCs w:val="16"/>
          <w:i w:val="1"/>
          <w:iCs w:val="1"/>
          <w:color w:val="auto"/>
        </w:rPr>
        <w:t>Faillissementswet</w:t>
      </w:r>
      <w:r>
        <w:rPr>
          <w:rFonts w:ascii="Times New Roman" w:cs="Times New Roman" w:eastAsia="Times New Roman" w:hAnsi="Times New Roman"/>
          <w:sz w:val="16"/>
          <w:szCs w:val="16"/>
          <w:color w:val="auto"/>
        </w:rPr>
        <w:t>) or law of any other jurisdiction relating to bankruptcy, insolvency, winding-up, liquidation, reorganization or relief of debtors.</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Board of Directors</w:t>
      </w:r>
      <w:r>
        <w:rPr>
          <w:rFonts w:ascii="Times New Roman" w:cs="Times New Roman" w:eastAsia="Times New Roman" w:hAnsi="Times New Roman"/>
          <w:sz w:val="16"/>
          <w:szCs w:val="16"/>
          <w:color w:val="auto"/>
        </w:rPr>
        <w:t>” means the board of directors of the Company or any duly authorized committee thereof.</w:t>
      </w:r>
    </w:p>
    <w:p>
      <w:pPr>
        <w:spacing w:after="0" w:line="206" w:lineRule="exact"/>
        <w:rPr>
          <w:sz w:val="20"/>
          <w:szCs w:val="20"/>
          <w:color w:val="auto"/>
        </w:rPr>
      </w:pPr>
    </w:p>
    <w:p>
      <w:pPr>
        <w:ind w:right="32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Business Day</w:t>
      </w:r>
      <w:r>
        <w:rPr>
          <w:rFonts w:ascii="Times New Roman" w:cs="Times New Roman" w:eastAsia="Times New Roman" w:hAnsi="Times New Roman"/>
          <w:sz w:val="16"/>
          <w:szCs w:val="16"/>
          <w:color w:val="auto"/>
        </w:rPr>
        <w:t>” means each Monday, Tuesday, Wednesday, Thursday and Friday which is not a day on which banking institutions in the place of payment for a series of Securities are authorized or obligated by law or executive order to close.</w:t>
      </w:r>
    </w:p>
    <w:p>
      <w:pPr>
        <w:spacing w:after="0" w:line="138" w:lineRule="exact"/>
        <w:rPr>
          <w:sz w:val="20"/>
          <w:szCs w:val="20"/>
          <w:color w:val="auto"/>
        </w:rPr>
      </w:pPr>
    </w:p>
    <w:p>
      <w:pPr>
        <w:ind w:right="280" w:firstLine="585"/>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Capital Lease Obligations</w:t>
      </w:r>
      <w:r>
        <w:rPr>
          <w:rFonts w:ascii="Times New Roman" w:cs="Times New Roman" w:eastAsia="Times New Roman" w:hAnsi="Times New Roman"/>
          <w:sz w:val="16"/>
          <w:szCs w:val="16"/>
          <w:color w:val="auto"/>
        </w:rPr>
        <w:t>” means, with respect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Indenture, the amount of such obligations at any time shall be the capitalized amount thereof at such time determined in accordance with GAAP.</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ind w:firstLine="585"/>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Capital Stock</w:t>
      </w:r>
      <w:r>
        <w:rPr>
          <w:rFonts w:ascii="Times New Roman" w:cs="Times New Roman" w:eastAsia="Times New Roman" w:hAnsi="Times New Roman"/>
          <w:sz w:val="16"/>
          <w:szCs w:val="16"/>
          <w:color w:val="auto"/>
        </w:rPr>
        <w:t>” of any Person means any and all shares, interests, participations, rights in or other equivalents (however designated) of such Person’s capital stock, other equity interests whether now outstanding or issued after the Issue Date, partnership interests (whether general or limited), limited liability company interests, any other interest or participation that confers on a Person the right to receive a share of the profits and losses of, or distributions of assets of, the issuing Person, including any Preferred Stock, and any rights (other than debt securities convertible into, or exchangeable for or valued by reference to, Capital Stock until and unless any such debt security is converted into Capital Stock), warrants or options exchangeable for or convertible into such Capital Stock.</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Commission</w:t>
      </w:r>
      <w:r>
        <w:rPr>
          <w:rFonts w:ascii="Times New Roman" w:cs="Times New Roman" w:eastAsia="Times New Roman" w:hAnsi="Times New Roman"/>
          <w:sz w:val="16"/>
          <w:szCs w:val="16"/>
          <w:color w:val="auto"/>
        </w:rPr>
        <w:t>” means the U.S. Securities and Exchange Commission.</w:t>
      </w:r>
    </w:p>
    <w:p>
      <w:pPr>
        <w:spacing w:after="0" w:line="206" w:lineRule="exact"/>
        <w:rPr>
          <w:sz w:val="20"/>
          <w:szCs w:val="20"/>
          <w:color w:val="auto"/>
        </w:rPr>
      </w:pPr>
    </w:p>
    <w:p>
      <w:pPr>
        <w:ind w:right="18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Commodity Price Protection Agreement</w:t>
      </w:r>
      <w:r>
        <w:rPr>
          <w:rFonts w:ascii="Times New Roman" w:cs="Times New Roman" w:eastAsia="Times New Roman" w:hAnsi="Times New Roman"/>
          <w:sz w:val="16"/>
          <w:szCs w:val="16"/>
          <w:color w:val="auto"/>
        </w:rPr>
        <w:t>” means any forward contract, commodity swap, commodity option or other similar financial agreement or arrangement relating to, or the value of which is dependent upon, fluctuations in commodity prices.</w:t>
      </w:r>
    </w:p>
    <w:p>
      <w:pPr>
        <w:spacing w:after="0" w:line="138" w:lineRule="exact"/>
        <w:rPr>
          <w:sz w:val="20"/>
          <w:szCs w:val="20"/>
          <w:color w:val="auto"/>
        </w:rPr>
      </w:pPr>
    </w:p>
    <w:p>
      <w:pPr>
        <w:ind w:right="22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Company</w:t>
      </w:r>
      <w:r>
        <w:rPr>
          <w:rFonts w:ascii="Times New Roman" w:cs="Times New Roman" w:eastAsia="Times New Roman" w:hAnsi="Times New Roman"/>
          <w:sz w:val="16"/>
          <w:szCs w:val="16"/>
          <w:color w:val="auto"/>
        </w:rPr>
        <w:t>” means Viatris Inc., a Delaware corporation, until a successor replaces it in accordance with the applicable provisions of this Indenture and thereafter means the successor serving hereunder and any and all successors thereto hereunder.</w:t>
      </w:r>
    </w:p>
    <w:p>
      <w:pPr>
        <w:spacing w:after="0" w:line="138" w:lineRule="exact"/>
        <w:rPr>
          <w:sz w:val="20"/>
          <w:szCs w:val="20"/>
          <w:color w:val="auto"/>
        </w:rPr>
      </w:pPr>
    </w:p>
    <w:p>
      <w:pPr>
        <w:jc w:val="both"/>
        <w:ind w:right="36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Company Order</w:t>
      </w:r>
      <w:r>
        <w:rPr>
          <w:rFonts w:ascii="Times New Roman" w:cs="Times New Roman" w:eastAsia="Times New Roman" w:hAnsi="Times New Roman"/>
          <w:sz w:val="16"/>
          <w:szCs w:val="16"/>
          <w:color w:val="auto"/>
        </w:rPr>
        <w:t>” means a written request or order signed in the name of the Company by its chairman or executive chairman, as applicable, of the Board of Directors, its chief executive officer or chief financial officer, its president or a vice president, a treasurer, an assistant treasurer, its controller, an assistant controller, its secretary or an assistant secretary, or any other officer designated in an Officer’s Certificate, and delivered to the Trustee.</w:t>
      </w:r>
    </w:p>
    <w:p>
      <w:pPr>
        <w:spacing w:after="0" w:line="154" w:lineRule="exact"/>
        <w:rPr>
          <w:sz w:val="20"/>
          <w:szCs w:val="20"/>
          <w:color w:val="auto"/>
        </w:rPr>
      </w:pPr>
    </w:p>
    <w:p>
      <w:pPr>
        <w:ind w:firstLine="585"/>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Company’s Indenture Obligations</w:t>
      </w:r>
      <w:r>
        <w:rPr>
          <w:rFonts w:ascii="Times New Roman" w:cs="Times New Roman" w:eastAsia="Times New Roman" w:hAnsi="Times New Roman"/>
          <w:sz w:val="16"/>
          <w:szCs w:val="16"/>
          <w:color w:val="auto"/>
        </w:rPr>
        <w:t>” means, with respect to any series of Securities, the Obligations with respect to the Securities of such series of the Company and any other obligor under this Indenture or under the Securities of such series to pay principal, premium, if any, and interest when due and payable, and all other amounts due or to become due, under or in connection with this Indenture and the Securities of such series, and the performance of all other Obligations with respect to the Securities of such series, to the Trustee and to the Holders of the Securities of such series under this Indenture and the Securities of such series, in each case according to the respective terms thereof.</w:t>
      </w:r>
    </w:p>
    <w:p>
      <w:pPr>
        <w:spacing w:after="0" w:line="161" w:lineRule="exact"/>
        <w:rPr>
          <w:sz w:val="20"/>
          <w:szCs w:val="20"/>
          <w:color w:val="auto"/>
        </w:rPr>
      </w:pPr>
    </w:p>
    <w:p>
      <w:pPr>
        <w:jc w:val="both"/>
        <w:ind w:right="20" w:firstLine="585"/>
        <w:spacing w:after="0" w:line="21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Corporate Trust Office</w:t>
      </w:r>
      <w:r>
        <w:rPr>
          <w:rFonts w:ascii="Times New Roman" w:cs="Times New Roman" w:eastAsia="Times New Roman" w:hAnsi="Times New Roman"/>
          <w:sz w:val="16"/>
          <w:szCs w:val="16"/>
          <w:color w:val="auto"/>
        </w:rPr>
        <w:t>” means the office of the Trustee at which at any particular time its corporate trust business in Pittsburgh, Pennsylvania shall be principally administered, which office as of the date of this Indenture is located at 500 Ross Street, 12</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Floor, Pittsburgh, PA 15262, Attention: Corporate Trust Administration, or such other address as the Trustee may designate from time to time by notice to the Holders and the Company.</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corporation</w:t>
      </w:r>
      <w:r>
        <w:rPr>
          <w:rFonts w:ascii="Times New Roman" w:cs="Times New Roman" w:eastAsia="Times New Roman" w:hAnsi="Times New Roman"/>
          <w:sz w:val="16"/>
          <w:szCs w:val="16"/>
          <w:color w:val="auto"/>
        </w:rPr>
        <w:t>” includes corporations, associations, companies (including any limited liability company), business trusts and limited partnerships.</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Currency</w:t>
      </w:r>
      <w:r>
        <w:rPr>
          <w:rFonts w:ascii="Times New Roman" w:cs="Times New Roman" w:eastAsia="Times New Roman" w:hAnsi="Times New Roman"/>
          <w:sz w:val="16"/>
          <w:szCs w:val="16"/>
          <w:color w:val="auto"/>
        </w:rPr>
        <w:t>” means U.S. Dollars or any Foreign Currency.</w:t>
      </w:r>
    </w:p>
    <w:p>
      <w:pPr>
        <w:spacing w:after="0" w:line="206" w:lineRule="exact"/>
        <w:rPr>
          <w:sz w:val="20"/>
          <w:szCs w:val="20"/>
          <w:color w:val="auto"/>
        </w:rPr>
      </w:pPr>
    </w:p>
    <w:p>
      <w:pPr>
        <w:ind w:right="60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Currency Agreement</w:t>
      </w:r>
      <w:r>
        <w:rPr>
          <w:rFonts w:ascii="Times New Roman" w:cs="Times New Roman" w:eastAsia="Times New Roman" w:hAnsi="Times New Roman"/>
          <w:sz w:val="16"/>
          <w:szCs w:val="16"/>
          <w:color w:val="auto"/>
        </w:rPr>
        <w:t>” means one or more of the following agreements which shall be entered into by one or more financial institutions: foreign exchange contracts, currency swap agreements or other similar agreements or arrangements designed to protect against the fluctuations in currency values.</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Custodian</w:t>
      </w:r>
      <w:r>
        <w:rPr>
          <w:rFonts w:ascii="Times New Roman" w:cs="Times New Roman" w:eastAsia="Times New Roman" w:hAnsi="Times New Roman"/>
          <w:sz w:val="16"/>
          <w:szCs w:val="16"/>
          <w:color w:val="auto"/>
        </w:rPr>
        <w:t>” means any receiver, interim receiver, receiver and manager, trustee, assignee, liquidator, custodian, curator or similar official under any Bankruptcy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Law.</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Default</w:t>
      </w:r>
      <w:r>
        <w:rPr>
          <w:rFonts w:ascii="Times New Roman" w:cs="Times New Roman" w:eastAsia="Times New Roman" w:hAnsi="Times New Roman"/>
          <w:sz w:val="16"/>
          <w:szCs w:val="16"/>
          <w:color w:val="auto"/>
        </w:rPr>
        <w:t>” means any event which is, or after notice or passage of time or both would be, an Event of Default.</w:t>
      </w:r>
    </w:p>
    <w:p>
      <w:pPr>
        <w:spacing w:after="0" w:line="206" w:lineRule="exact"/>
        <w:rPr>
          <w:sz w:val="20"/>
          <w:szCs w:val="20"/>
          <w:color w:val="auto"/>
        </w:rPr>
      </w:pPr>
    </w:p>
    <w:p>
      <w:pPr>
        <w:ind w:right="40" w:firstLine="585"/>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Depositary</w:t>
      </w:r>
      <w:r>
        <w:rPr>
          <w:rFonts w:ascii="Times New Roman" w:cs="Times New Roman" w:eastAsia="Times New Roman" w:hAnsi="Times New Roman"/>
          <w:sz w:val="16"/>
          <w:szCs w:val="16"/>
          <w:color w:val="auto"/>
        </w:rPr>
        <w:t>” means, with respect to the Securities issued in the form of one or more Global Securities, the Person designated as the Depositary by the Company pursuant to Section 2.02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Domestic Subsidiary</w:t>
      </w:r>
      <w:r>
        <w:rPr>
          <w:rFonts w:ascii="Times New Roman" w:cs="Times New Roman" w:eastAsia="Times New Roman" w:hAnsi="Times New Roman"/>
          <w:sz w:val="16"/>
          <w:szCs w:val="16"/>
          <w:color w:val="auto"/>
        </w:rPr>
        <w:t>” means any Subsidiary that is not a Foreign Subsidiary.</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ind w:right="24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Electronic Means</w:t>
      </w:r>
      <w:r>
        <w:rPr>
          <w:rFonts w:ascii="Times New Roman" w:cs="Times New Roman" w:eastAsia="Times New Roman" w:hAnsi="Times New Roman"/>
          <w:sz w:val="16"/>
          <w:szCs w:val="16"/>
          <w:color w:val="auto"/>
        </w:rPr>
        <w:t>” means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38" w:lineRule="exact"/>
        <w:rPr>
          <w:sz w:val="20"/>
          <w:szCs w:val="20"/>
          <w:color w:val="auto"/>
        </w:rPr>
      </w:pPr>
    </w:p>
    <w:p>
      <w:pPr>
        <w:ind w:right="16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Exchange Act</w:t>
      </w:r>
      <w:r>
        <w:rPr>
          <w:rFonts w:ascii="Times New Roman" w:cs="Times New Roman" w:eastAsia="Times New Roman" w:hAnsi="Times New Roman"/>
          <w:sz w:val="16"/>
          <w:szCs w:val="16"/>
          <w:color w:val="auto"/>
        </w:rPr>
        <w:t>” means the Securities Exchange Act of 1934, as amended, or any successor statute, and the rules and regulations promulgated by the Commission thereunder.</w:t>
      </w:r>
    </w:p>
    <w:p>
      <w:pPr>
        <w:spacing w:after="0" w:line="138" w:lineRule="exact"/>
        <w:rPr>
          <w:sz w:val="20"/>
          <w:szCs w:val="20"/>
          <w:color w:val="auto"/>
        </w:rPr>
      </w:pPr>
    </w:p>
    <w:p>
      <w:pPr>
        <w:ind w:right="80" w:firstLine="585"/>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Fair Market Value</w:t>
      </w:r>
      <w:r>
        <w:rPr>
          <w:rFonts w:ascii="Times New Roman" w:cs="Times New Roman" w:eastAsia="Times New Roman" w:hAnsi="Times New Roman"/>
          <w:sz w:val="16"/>
          <w:szCs w:val="16"/>
          <w:color w:val="auto"/>
        </w:rPr>
        <w:t>” means, with respect to any asset or property, the sale value that would be obtained in an arm’s-length free market transaction between an informed and willing seller under no compulsion to sell and an informed and willing buyer under no compulsion to buy less any present or future taxes, duties, assessments or governmental charges of whatever nature payable as a result of or arising out of the disposition of such asset or property. Fair Market Value shall be determined in good faith by the Company.</w:t>
      </w:r>
    </w:p>
    <w:p>
      <w:pPr>
        <w:spacing w:after="0" w:line="159" w:lineRule="exact"/>
        <w:rPr>
          <w:sz w:val="20"/>
          <w:szCs w:val="20"/>
          <w:color w:val="auto"/>
        </w:rPr>
      </w:pPr>
    </w:p>
    <w:p>
      <w:pPr>
        <w:ind w:right="60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Foreign Currency</w:t>
      </w:r>
      <w:r>
        <w:rPr>
          <w:rFonts w:ascii="Times New Roman" w:cs="Times New Roman" w:eastAsia="Times New Roman" w:hAnsi="Times New Roman"/>
          <w:sz w:val="16"/>
          <w:szCs w:val="16"/>
          <w:color w:val="auto"/>
        </w:rPr>
        <w:t>” means a currency issued by the government of any country other than the United States or a composite currency, the value of which is determined by reference to the values of the currencies of any group of countries.</w:t>
      </w:r>
    </w:p>
    <w:p>
      <w:pPr>
        <w:spacing w:after="0" w:line="138" w:lineRule="exact"/>
        <w:rPr>
          <w:sz w:val="20"/>
          <w:szCs w:val="20"/>
          <w:color w:val="auto"/>
        </w:rPr>
      </w:pPr>
    </w:p>
    <w:p>
      <w:pPr>
        <w:ind w:right="32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Foreign Subsidiary</w:t>
      </w:r>
      <w:r>
        <w:rPr>
          <w:rFonts w:ascii="Times New Roman" w:cs="Times New Roman" w:eastAsia="Times New Roman" w:hAnsi="Times New Roman"/>
          <w:sz w:val="16"/>
          <w:szCs w:val="16"/>
          <w:color w:val="auto"/>
        </w:rPr>
        <w:t>” means a Subsidiary that is not organized, incorporated or existing under the laws of the United States of America or any state or territory thereof or the District of Columbia or is a Subsidiary of such Foreign Subsidiary.</w:t>
      </w:r>
    </w:p>
    <w:p>
      <w:pPr>
        <w:spacing w:after="0" w:line="138" w:lineRule="exact"/>
        <w:rPr>
          <w:sz w:val="20"/>
          <w:szCs w:val="20"/>
          <w:color w:val="auto"/>
        </w:rPr>
      </w:pPr>
    </w:p>
    <w:p>
      <w:pPr>
        <w:ind w:right="16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GAAP</w:t>
      </w:r>
      <w:r>
        <w:rPr>
          <w:rFonts w:ascii="Times New Roman" w:cs="Times New Roman" w:eastAsia="Times New Roman" w:hAnsi="Times New Roman"/>
          <w:sz w:val="16"/>
          <w:szCs w:val="16"/>
          <w:color w:val="auto"/>
        </w:rPr>
        <w:t>” means generally accepted accounting principles in the United States of America as in effect from time to time (except with respect to accounting for capital leases, as to which such principles in effect on December 31, 2018 shall apply), including, without limitation, those set forth in the Financial Accounting Standards Board’s “Accounting Standards Codification” or in such other statements by such other entity as approved by a significant segment of the accounting profession.</w:t>
      </w:r>
    </w:p>
    <w:p>
      <w:pPr>
        <w:spacing w:after="0" w:line="154" w:lineRule="exact"/>
        <w:rPr>
          <w:sz w:val="20"/>
          <w:szCs w:val="20"/>
          <w:color w:val="auto"/>
        </w:rPr>
      </w:pPr>
    </w:p>
    <w:p>
      <w:pPr>
        <w:ind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Global Security</w:t>
      </w:r>
      <w:r>
        <w:rPr>
          <w:rFonts w:ascii="Times New Roman" w:cs="Times New Roman" w:eastAsia="Times New Roman" w:hAnsi="Times New Roman"/>
          <w:sz w:val="16"/>
          <w:szCs w:val="16"/>
          <w:color w:val="auto"/>
        </w:rPr>
        <w:t>” means any Security that evidences all or part of a series of Securities, issued in fully-registered certificated form to the Depositary for such series in accordance with Section 2.17 and bearing the legend prescribed in Section 2.17(a).</w:t>
      </w:r>
    </w:p>
    <w:p>
      <w:pPr>
        <w:spacing w:after="0" w:line="138" w:lineRule="exact"/>
        <w:rPr>
          <w:sz w:val="20"/>
          <w:szCs w:val="20"/>
          <w:color w:val="auto"/>
        </w:rPr>
      </w:pPr>
    </w:p>
    <w:p>
      <w:pPr>
        <w:ind w:right="6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Governmental Authority</w:t>
      </w:r>
      <w:r>
        <w:rPr>
          <w:rFonts w:ascii="Times New Roman" w:cs="Times New Roman" w:eastAsia="Times New Roman" w:hAnsi="Times New Roman"/>
          <w:sz w:val="16"/>
          <w:szCs w:val="16"/>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54" w:lineRule="exact"/>
        <w:rPr>
          <w:sz w:val="20"/>
          <w:szCs w:val="20"/>
          <w:color w:val="auto"/>
        </w:rPr>
      </w:pPr>
    </w:p>
    <w:p>
      <w:pPr>
        <w:ind w:right="50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Guarantee</w:t>
      </w:r>
      <w:r>
        <w:rPr>
          <w:rFonts w:ascii="Times New Roman" w:cs="Times New Roman" w:eastAsia="Times New Roman" w:hAnsi="Times New Roman"/>
          <w:sz w:val="16"/>
          <w:szCs w:val="16"/>
          <w:color w:val="auto"/>
        </w:rPr>
        <w:t>” means any obligation, contingent or otherwise, of any Person directly or indirectly guaranteeing any Indebtedness of any other Person and any obligation, direct or indirect, contingent or otherwise, of such Person:</w:t>
      </w:r>
    </w:p>
    <w:p>
      <w:pPr>
        <w:spacing w:after="0" w:line="140" w:lineRule="exact"/>
        <w:rPr>
          <w:sz w:val="20"/>
          <w:szCs w:val="20"/>
          <w:color w:val="auto"/>
        </w:rPr>
      </w:pPr>
    </w:p>
    <w:p>
      <w:pPr>
        <w:ind w:left="580" w:right="20" w:firstLine="587"/>
        <w:spacing w:after="0" w:line="271" w:lineRule="auto"/>
        <w:tabs>
          <w:tab w:leader="none" w:pos="1751"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156" w:lineRule="exact"/>
        <w:rPr>
          <w:rFonts w:ascii="Times New Roman" w:cs="Times New Roman" w:eastAsia="Times New Roman" w:hAnsi="Times New Roman"/>
          <w:sz w:val="16"/>
          <w:szCs w:val="16"/>
          <w:color w:val="auto"/>
        </w:rPr>
      </w:pPr>
    </w:p>
    <w:p>
      <w:pPr>
        <w:ind w:left="1760" w:hanging="593"/>
        <w:spacing w:after="0"/>
        <w:tabs>
          <w:tab w:leader="none" w:pos="1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entered into for the purpose of assuring in any other manner the obligee against loss in respect thereof (in whole or in part);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the term “Guarantee” shall not include:</w:t>
      </w:r>
    </w:p>
    <w:p>
      <w:pPr>
        <w:spacing w:after="0" w:line="208" w:lineRule="exact"/>
        <w:rPr>
          <w:sz w:val="20"/>
          <w:szCs w:val="20"/>
          <w:color w:val="auto"/>
        </w:rPr>
      </w:pPr>
    </w:p>
    <w:p>
      <w:pPr>
        <w:ind w:left="1760" w:hanging="594"/>
        <w:spacing w:after="0"/>
        <w:tabs>
          <w:tab w:leader="none" w:pos="1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endorsements for collection or deposit in the ordinary course of business; or</w:t>
      </w:r>
    </w:p>
    <w:p>
      <w:pPr>
        <w:spacing w:after="0" w:line="205" w:lineRule="exact"/>
        <w:rPr>
          <w:rFonts w:ascii="Times New Roman" w:cs="Times New Roman" w:eastAsia="Times New Roman" w:hAnsi="Times New Roman"/>
          <w:sz w:val="16"/>
          <w:szCs w:val="16"/>
          <w:color w:val="auto"/>
        </w:rPr>
      </w:pPr>
    </w:p>
    <w:p>
      <w:pPr>
        <w:ind w:left="1760" w:hanging="594"/>
        <w:spacing w:after="0"/>
        <w:tabs>
          <w:tab w:leader="none" w:pos="1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contractual commitment by one Person to invest in another Person.</w:t>
      </w:r>
    </w:p>
    <w:p>
      <w:pPr>
        <w:spacing w:after="0" w:line="204"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i w:val="1"/>
          <w:iCs w:val="1"/>
          <w:color w:val="auto"/>
        </w:rPr>
        <w:t>Guarantee</w:t>
      </w:r>
      <w:r>
        <w:rPr>
          <w:rFonts w:ascii="Times New Roman" w:cs="Times New Roman" w:eastAsia="Times New Roman" w:hAnsi="Times New Roman"/>
          <w:sz w:val="16"/>
          <w:szCs w:val="16"/>
          <w:color w:val="auto"/>
        </w:rPr>
        <w:t>” used as a verb has a corresponding meaning. The term “</w:t>
      </w:r>
      <w:r>
        <w:rPr>
          <w:rFonts w:ascii="Times New Roman" w:cs="Times New Roman" w:eastAsia="Times New Roman" w:hAnsi="Times New Roman"/>
          <w:sz w:val="16"/>
          <w:szCs w:val="16"/>
          <w:i w:val="1"/>
          <w:iCs w:val="1"/>
          <w:color w:val="auto"/>
        </w:rPr>
        <w:t>Guarantor</w:t>
      </w:r>
      <w:r>
        <w:rPr>
          <w:rFonts w:ascii="Times New Roman" w:cs="Times New Roman" w:eastAsia="Times New Roman" w:hAnsi="Times New Roman"/>
          <w:sz w:val="16"/>
          <w:szCs w:val="16"/>
          <w:color w:val="auto"/>
        </w:rPr>
        <w:t xml:space="preserve">” means (i) initially on the execution of this Indenture, each of the entities, if any, listed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attached hereto, and (ii) any other Subsidiary of the Company that Guarantees the Company’s Indenture Obligations from time to time, in each case during such periods that such entity Guarantees the Company’s Indenture Obligations in accordance with the terms of this Indenture.</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ind w:right="40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Hedging Obligations</w:t>
      </w:r>
      <w:r>
        <w:rPr>
          <w:rFonts w:ascii="Times New Roman" w:cs="Times New Roman" w:eastAsia="Times New Roman" w:hAnsi="Times New Roman"/>
          <w:sz w:val="16"/>
          <w:szCs w:val="16"/>
          <w:color w:val="auto"/>
        </w:rPr>
        <w:t>” of any Person means the obligations of such Person pursuant to any Interest Rate Agreement, Currency Agreement, Commodity Price Protection Agreement or any other similar agreement or arrangement.</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Holder</w:t>
      </w:r>
      <w:r>
        <w:rPr>
          <w:rFonts w:ascii="Times New Roman" w:cs="Times New Roman" w:eastAsia="Times New Roman" w:hAnsi="Times New Roman"/>
          <w:sz w:val="16"/>
          <w:szCs w:val="16"/>
          <w:color w:val="auto"/>
        </w:rPr>
        <w:t>” means the Person in whose name a Security is registered on the Security register.</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Indebtedness</w:t>
      </w:r>
      <w:r>
        <w:rPr>
          <w:rFonts w:ascii="Times New Roman" w:cs="Times New Roman" w:eastAsia="Times New Roman" w:hAnsi="Times New Roman"/>
          <w:sz w:val="16"/>
          <w:szCs w:val="16"/>
          <w:color w:val="auto"/>
        </w:rPr>
        <w:t>” means, with respect to any Person on any date of determination (without duplication):</w:t>
      </w:r>
    </w:p>
    <w:p>
      <w:pPr>
        <w:spacing w:after="0" w:line="208" w:lineRule="exact"/>
        <w:rPr>
          <w:sz w:val="20"/>
          <w:szCs w:val="20"/>
          <w:color w:val="auto"/>
        </w:rPr>
      </w:pPr>
    </w:p>
    <w:p>
      <w:pPr>
        <w:ind w:left="580" w:right="160" w:firstLine="587"/>
        <w:spacing w:after="0" w:line="271" w:lineRule="auto"/>
        <w:tabs>
          <w:tab w:leader="none" w:pos="1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in respect of (A) indebtedness of such Person for money borrowed and (B) indebtedness evidenced by notes, debentures, bonds or other similar instruments for the payment of which such Person is responsible or liable, including, in each case, any premium on such indebtedness to the extent such premium has become due and payable;</w:t>
      </w:r>
    </w:p>
    <w:p>
      <w:pPr>
        <w:spacing w:after="0" w:line="156" w:lineRule="exact"/>
        <w:rPr>
          <w:rFonts w:ascii="Times New Roman" w:cs="Times New Roman" w:eastAsia="Times New Roman" w:hAnsi="Times New Roman"/>
          <w:sz w:val="16"/>
          <w:szCs w:val="16"/>
          <w:color w:val="auto"/>
        </w:rPr>
      </w:pPr>
    </w:p>
    <w:p>
      <w:pPr>
        <w:ind w:left="1760" w:hanging="593"/>
        <w:spacing w:after="0"/>
        <w:tabs>
          <w:tab w:leader="none" w:pos="1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Capital Lease Obligations of such Person and all Attributable Debt in respect of Sale Leaseback Transactions entered into by such Person;</w:t>
      </w:r>
    </w:p>
    <w:p>
      <w:pPr>
        <w:spacing w:after="0" w:line="205" w:lineRule="exact"/>
        <w:rPr>
          <w:rFonts w:ascii="Times New Roman" w:cs="Times New Roman" w:eastAsia="Times New Roman" w:hAnsi="Times New Roman"/>
          <w:sz w:val="16"/>
          <w:szCs w:val="16"/>
          <w:color w:val="auto"/>
        </w:rPr>
      </w:pPr>
    </w:p>
    <w:p>
      <w:pPr>
        <w:jc w:val="both"/>
        <w:ind w:left="580" w:right="20" w:firstLine="587"/>
        <w:spacing w:after="0" w:line="271" w:lineRule="auto"/>
        <w:tabs>
          <w:tab w:leader="none" w:pos="1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obligations of such Person issued or assumed as the deferred purchase price of Property, all conditional sale obligations of such Person and all obligations of such Person under any title retention agreement (but excluding any accounts payable or other liability to trade creditors arising in the ordinary course of business);</w:t>
      </w:r>
    </w:p>
    <w:p>
      <w:pPr>
        <w:spacing w:after="0" w:line="156" w:lineRule="exact"/>
        <w:rPr>
          <w:rFonts w:ascii="Times New Roman" w:cs="Times New Roman" w:eastAsia="Times New Roman" w:hAnsi="Times New Roman"/>
          <w:sz w:val="16"/>
          <w:szCs w:val="16"/>
          <w:color w:val="auto"/>
        </w:rPr>
      </w:pPr>
    </w:p>
    <w:p>
      <w:pPr>
        <w:ind w:left="580" w:firstLine="587"/>
        <w:spacing w:after="0" w:line="265" w:lineRule="auto"/>
        <w:tabs>
          <w:tab w:leader="none" w:pos="1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obligations of such Person for the reimbursement of any obligor on any letter of credit, bankers’ acceptance or similar credit transaction (other than obligations with respect to letters of credit securing obligations (other than obligations described in clauses (1) through (3) above) entered into in the ordinary course of business of such Person to the extent such letters of credit are not drawn upon or, if and to the extent drawn upon, such drawing is reimbursed no later than the 30th day following payment on the letter of credit);</w:t>
      </w:r>
    </w:p>
    <w:p>
      <w:pPr>
        <w:spacing w:after="0" w:line="161" w:lineRule="exact"/>
        <w:rPr>
          <w:rFonts w:ascii="Times New Roman" w:cs="Times New Roman" w:eastAsia="Times New Roman" w:hAnsi="Times New Roman"/>
          <w:sz w:val="16"/>
          <w:szCs w:val="16"/>
          <w:color w:val="auto"/>
        </w:rPr>
      </w:pPr>
    </w:p>
    <w:p>
      <w:pPr>
        <w:ind w:left="1760" w:hanging="593"/>
        <w:spacing w:after="0"/>
        <w:tabs>
          <w:tab w:leader="none" w:pos="1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not otherwise included in this definition, Hedging Obligations of such Person;</w:t>
      </w:r>
    </w:p>
    <w:p>
      <w:pPr>
        <w:spacing w:after="0" w:line="205" w:lineRule="exact"/>
        <w:rPr>
          <w:rFonts w:ascii="Times New Roman" w:cs="Times New Roman" w:eastAsia="Times New Roman" w:hAnsi="Times New Roman"/>
          <w:sz w:val="16"/>
          <w:szCs w:val="16"/>
          <w:color w:val="auto"/>
        </w:rPr>
      </w:pPr>
    </w:p>
    <w:p>
      <w:pPr>
        <w:ind w:left="1760" w:hanging="593"/>
        <w:spacing w:after="0"/>
        <w:tabs>
          <w:tab w:leader="none" w:pos="1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Attributable Receivables Indebtedness;</w:t>
      </w:r>
    </w:p>
    <w:p>
      <w:pPr>
        <w:spacing w:after="0" w:line="205" w:lineRule="exact"/>
        <w:rPr>
          <w:rFonts w:ascii="Times New Roman" w:cs="Times New Roman" w:eastAsia="Times New Roman" w:hAnsi="Times New Roman"/>
          <w:sz w:val="16"/>
          <w:szCs w:val="16"/>
          <w:color w:val="auto"/>
        </w:rPr>
      </w:pPr>
    </w:p>
    <w:p>
      <w:pPr>
        <w:jc w:val="both"/>
        <w:ind w:left="580" w:right="380" w:firstLine="587"/>
        <w:spacing w:after="0" w:line="288" w:lineRule="auto"/>
        <w:tabs>
          <w:tab w:leader="none" w:pos="1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obligations of the type referred to in clauses (1) through (6) above of other Persons and all dividends of other Persons for the payment of which, in either case, such Person is responsible or liable, directly or indirectly, as obligor, guarantor or otherwise, including by means of any Guarantee; and</w:t>
      </w:r>
    </w:p>
    <w:p>
      <w:pPr>
        <w:spacing w:after="0" w:line="143" w:lineRule="exact"/>
        <w:rPr>
          <w:rFonts w:ascii="Times New Roman" w:cs="Times New Roman" w:eastAsia="Times New Roman" w:hAnsi="Times New Roman"/>
          <w:sz w:val="16"/>
          <w:szCs w:val="16"/>
          <w:color w:val="auto"/>
        </w:rPr>
      </w:pPr>
    </w:p>
    <w:p>
      <w:pPr>
        <w:ind w:left="580" w:right="160" w:firstLine="587"/>
        <w:spacing w:after="0" w:line="271" w:lineRule="auto"/>
        <w:tabs>
          <w:tab w:leader="none" w:pos="1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obligations of the type referred to in clauses (1) through (7) above of other Persons secured by any Lien on any property or asset of such Person (whether or not such obligation is assumed by such Person), the amount of such obligation being deemed to be the lesser of the Fair Market Value of such property or assets and the amount of the obligation so secured.</w:t>
      </w:r>
    </w:p>
    <w:p>
      <w:pPr>
        <w:spacing w:after="0" w:line="156" w:lineRule="exact"/>
        <w:rPr>
          <w:sz w:val="20"/>
          <w:szCs w:val="20"/>
          <w:color w:val="auto"/>
        </w:rPr>
      </w:pPr>
    </w:p>
    <w:p>
      <w:pPr>
        <w:ind w:right="60" w:firstLine="585"/>
        <w:spacing w:after="0" w:line="262" w:lineRule="auto"/>
        <w:rPr>
          <w:sz w:val="20"/>
          <w:szCs w:val="20"/>
          <w:color w:val="auto"/>
        </w:rPr>
      </w:pPr>
      <w:r>
        <w:rPr>
          <w:rFonts w:ascii="Times New Roman" w:cs="Times New Roman" w:eastAsia="Times New Roman" w:hAnsi="Times New Roman"/>
          <w:sz w:val="16"/>
          <w:szCs w:val="16"/>
          <w:color w:val="auto"/>
        </w:rPr>
        <w:t xml:space="preserve">Notwithstanding the foregoing, in connection with the purchase by the Company or any Subsidiary of the Company of any business, the term “Indebtedness” will exclude indemnification, purchase price adjustment, earn-outs, holdbacks, milestones and contingency payment obligations to which the seller may become entitled to the extent such payment is determined by a final closing balance sheet or such payment depends on the performance of such business after the closing;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at the time of closing, the amount of any such payment is not determinable and, to the extent such payment thereafter becomes fixed and determined, the amount is paid within 60 days thereafter.</w:t>
      </w:r>
    </w:p>
    <w:p>
      <w:pPr>
        <w:spacing w:after="0" w:line="163" w:lineRule="exact"/>
        <w:rPr>
          <w:sz w:val="20"/>
          <w:szCs w:val="20"/>
          <w:color w:val="auto"/>
        </w:rPr>
      </w:pPr>
    </w:p>
    <w:p>
      <w:pPr>
        <w:ind w:right="20" w:firstLine="585"/>
        <w:spacing w:after="0" w:line="291" w:lineRule="auto"/>
        <w:rPr>
          <w:sz w:val="20"/>
          <w:szCs w:val="20"/>
          <w:color w:val="auto"/>
        </w:rPr>
      </w:pPr>
      <w:r>
        <w:rPr>
          <w:rFonts w:ascii="Times New Roman" w:cs="Times New Roman" w:eastAsia="Times New Roman" w:hAnsi="Times New Roman"/>
          <w:sz w:val="16"/>
          <w:szCs w:val="16"/>
          <w:color w:val="auto"/>
        </w:rPr>
        <w:t xml:space="preserve">The amount of Indebtedness of any Person at any date shall be the outstanding balance at such date of all obligations as described above;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in the case of Indebtedness sold at a discount, the amount of such Indebtedness at any time will be the accreted value thereof at such time.</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ind w:firstLine="585"/>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Indenture</w:t>
      </w:r>
      <w:r>
        <w:rPr>
          <w:rFonts w:ascii="Times New Roman" w:cs="Times New Roman" w:eastAsia="Times New Roman" w:hAnsi="Times New Roman"/>
          <w:sz w:val="16"/>
          <w:szCs w:val="16"/>
          <w:color w:val="auto"/>
        </w:rPr>
        <w:t xml:space="preserve">” means this instrument as originally executed or as it may from time to time be supplemented or amended by one or more indentures supplemental hereto entered into pursuant to the applicable provisions hereof, including, for all purposes of this instrument and any such supplemental indenture, the provisions of the TIA that are deemed to be a part of and govern this instrument and any such supplemental indenture, respectively. The term “Indenture” shall also include the terms of particular series of Securities established as contemplated by Section 2.02;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2.02,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169" w:lineRule="exact"/>
        <w:rPr>
          <w:sz w:val="20"/>
          <w:szCs w:val="20"/>
          <w:color w:val="auto"/>
        </w:rPr>
      </w:pPr>
    </w:p>
    <w:p>
      <w:pPr>
        <w:ind w:right="18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Individual Securities</w:t>
      </w:r>
      <w:r>
        <w:rPr>
          <w:rFonts w:ascii="Times New Roman" w:cs="Times New Roman" w:eastAsia="Times New Roman" w:hAnsi="Times New Roman"/>
          <w:sz w:val="16"/>
          <w:szCs w:val="16"/>
          <w:color w:val="auto"/>
        </w:rPr>
        <w:t>” means a Security that is substantially in the form attached to the supplemental indenture or Company Order authorizing such Security and that is not a Global Security.</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Initial Securities</w:t>
      </w:r>
      <w:r>
        <w:rPr>
          <w:rFonts w:ascii="Times New Roman" w:cs="Times New Roman" w:eastAsia="Times New Roman" w:hAnsi="Times New Roman"/>
          <w:sz w:val="16"/>
          <w:szCs w:val="16"/>
          <w:color w:val="auto"/>
        </w:rPr>
        <w:t>” means, for a series of Securities, the first Securities of such series issued under this Indenture.</w:t>
      </w:r>
    </w:p>
    <w:p>
      <w:pPr>
        <w:spacing w:after="0" w:line="206" w:lineRule="exact"/>
        <w:rPr>
          <w:sz w:val="20"/>
          <w:szCs w:val="20"/>
          <w:color w:val="auto"/>
        </w:rPr>
      </w:pPr>
    </w:p>
    <w:p>
      <w:pPr>
        <w:jc w:val="both"/>
        <w:ind w:right="8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interest</w:t>
      </w:r>
      <w:r>
        <w:rPr>
          <w:rFonts w:ascii="Times New Roman" w:cs="Times New Roman" w:eastAsia="Times New Roman" w:hAnsi="Times New Roman"/>
          <w:sz w:val="16"/>
          <w:szCs w:val="16"/>
          <w:color w:val="auto"/>
        </w:rPr>
        <w:t>” means, unless the context otherwise requires, interest payable on any Securities, and with respect to an Original Issue Discount Security that by its terms bears interest only after the Maturity Date, interest payable after the Maturity Date.</w:t>
      </w:r>
    </w:p>
    <w:p>
      <w:pPr>
        <w:spacing w:after="0" w:line="138" w:lineRule="exact"/>
        <w:rPr>
          <w:sz w:val="20"/>
          <w:szCs w:val="20"/>
          <w:color w:val="auto"/>
        </w:rPr>
      </w:pPr>
    </w:p>
    <w:p>
      <w:pPr>
        <w:ind w:right="64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Interest Payment Date</w:t>
      </w:r>
      <w:r>
        <w:rPr>
          <w:rFonts w:ascii="Times New Roman" w:cs="Times New Roman" w:eastAsia="Times New Roman" w:hAnsi="Times New Roman"/>
          <w:sz w:val="16"/>
          <w:szCs w:val="16"/>
          <w:color w:val="auto"/>
        </w:rPr>
        <w:t>” means, with respect to any Securities, the date specified in such Securities for the payment of any installment of interest on those Securities.</w:t>
      </w:r>
    </w:p>
    <w:p>
      <w:pPr>
        <w:spacing w:after="0" w:line="138" w:lineRule="exact"/>
        <w:rPr>
          <w:sz w:val="20"/>
          <w:szCs w:val="20"/>
          <w:color w:val="auto"/>
        </w:rPr>
      </w:pPr>
    </w:p>
    <w:p>
      <w:pPr>
        <w:jc w:val="both"/>
        <w:ind w:right="6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Interest Rate Agreement</w:t>
      </w:r>
      <w:r>
        <w:rPr>
          <w:rFonts w:ascii="Times New Roman" w:cs="Times New Roman" w:eastAsia="Times New Roman" w:hAnsi="Times New Roman"/>
          <w:sz w:val="16"/>
          <w:szCs w:val="16"/>
          <w:color w:val="auto"/>
        </w:rPr>
        <w:t>” means one or more of the following agreements which shall be entered into by one or more financial institutions: interest rate protection agreements (including, without limitation, interest rate swaps, caps, floors, collars and similar agreements) and/or other types of interest rate hedging agreements from time to time.</w:t>
      </w:r>
    </w:p>
    <w:p>
      <w:pPr>
        <w:spacing w:after="0" w:line="154" w:lineRule="exact"/>
        <w:rPr>
          <w:sz w:val="20"/>
          <w:szCs w:val="20"/>
          <w:color w:val="auto"/>
        </w:rPr>
      </w:pPr>
    </w:p>
    <w:p>
      <w:pPr>
        <w:ind w:right="240" w:firstLine="585"/>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Investment</w:t>
      </w:r>
      <w:r>
        <w:rPr>
          <w:rFonts w:ascii="Times New Roman" w:cs="Times New Roman" w:eastAsia="Times New Roman" w:hAnsi="Times New Roman"/>
          <w:sz w:val="16"/>
          <w:szCs w:val="16"/>
          <w:color w:val="auto"/>
        </w:rPr>
        <w:t>” means, with respect to any Person, directly or indirectly, (i) any advance, loan (including guarantees), or other extension of credit or capital contribution to (by means of any transfer of cash or other property to others), (ii) any payment for property or services for the account or use of others, (iii) any purchase, acquisition or ownership by such Person of any Capital Stock, bonds, notes, debentures or other securities issued by any other Person, or (iv) any other item to the extent required to be reflected as an investment on a consolidated balance sheet of such Person prepared in accordance with GAAP.</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Issue Date</w:t>
      </w:r>
      <w:r>
        <w:rPr>
          <w:rFonts w:ascii="Times New Roman" w:cs="Times New Roman" w:eastAsia="Times New Roman" w:hAnsi="Times New Roman"/>
          <w:sz w:val="16"/>
          <w:szCs w:val="16"/>
          <w:color w:val="auto"/>
        </w:rPr>
        <w:t>” means, with respect to a series of Securities, the date on which such Securities are initially issued.</w:t>
      </w:r>
    </w:p>
    <w:p>
      <w:pPr>
        <w:spacing w:after="0" w:line="206" w:lineRule="exact"/>
        <w:rPr>
          <w:sz w:val="20"/>
          <w:szCs w:val="20"/>
          <w:color w:val="auto"/>
        </w:rPr>
      </w:pPr>
    </w:p>
    <w:p>
      <w:pPr>
        <w:ind w:right="12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Lien</w:t>
      </w:r>
      <w:r>
        <w:rPr>
          <w:rFonts w:ascii="Times New Roman" w:cs="Times New Roman" w:eastAsia="Times New Roman" w:hAnsi="Times New Roman"/>
          <w:sz w:val="16"/>
          <w:szCs w:val="16"/>
          <w:color w:val="auto"/>
        </w:rPr>
        <w:t>” means any mortgage, pledge, security interest, encumbrance, lien or charge of any kind (including any conditional sale or other title retention agreement or lease in the nature thereof).</w:t>
      </w:r>
    </w:p>
    <w:p>
      <w:pPr>
        <w:spacing w:after="0" w:line="138" w:lineRule="exact"/>
        <w:rPr>
          <w:sz w:val="20"/>
          <w:szCs w:val="20"/>
          <w:color w:val="auto"/>
        </w:rPr>
      </w:pPr>
    </w:p>
    <w:p>
      <w:pPr>
        <w:ind w:right="26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Maturity Date</w:t>
      </w:r>
      <w:r>
        <w:rPr>
          <w:rFonts w:ascii="Times New Roman" w:cs="Times New Roman" w:eastAsia="Times New Roman" w:hAnsi="Times New Roman"/>
          <w:sz w:val="16"/>
          <w:szCs w:val="16"/>
          <w:color w:val="auto"/>
        </w:rPr>
        <w:t>,” when used with respect to any Security, means the date on which the principal amount of such Security becomes due and payable as therein or herein provided.</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Mylan Indentures</w:t>
      </w:r>
      <w:r>
        <w:rPr>
          <w:rFonts w:ascii="Times New Roman" w:cs="Times New Roman" w:eastAsia="Times New Roman" w:hAnsi="Times New Roman"/>
          <w:sz w:val="16"/>
          <w:szCs w:val="16"/>
          <w:color w:val="auto"/>
        </w:rPr>
        <w:t>” means the following:</w:t>
      </w:r>
    </w:p>
    <w:p>
      <w:pPr>
        <w:spacing w:after="0" w:line="208" w:lineRule="exact"/>
        <w:rPr>
          <w:sz w:val="20"/>
          <w:szCs w:val="20"/>
          <w:color w:val="auto"/>
        </w:rPr>
      </w:pPr>
    </w:p>
    <w:p>
      <w:pPr>
        <w:ind w:left="1760" w:hanging="593"/>
        <w:spacing w:after="0"/>
        <w:tabs>
          <w:tab w:leader="none" w:pos="1760" w:val="left"/>
        </w:tabs>
        <w:numPr>
          <w:ilvl w:val="0"/>
          <w:numId w:val="4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Indenture dated as of November 29, 2013, between Mylan Inc., as issuer, and The Bank of New York Mellon, as trustee;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ind w:left="580" w:right="20" w:firstLine="587"/>
        <w:spacing w:after="0" w:line="288" w:lineRule="auto"/>
        <w:tabs>
          <w:tab w:leader="none" w:pos="1760" w:val="left"/>
        </w:tabs>
        <w:numPr>
          <w:ilvl w:val="0"/>
          <w:numId w:val="4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First supplemental indenture dated as of November 29, 2013, between Mylan Inc., as issuer, and The Bank of New York Mellon, as trustee, to the indenture dated as of November 29, 2013;</w:t>
      </w:r>
    </w:p>
    <w:p>
      <w:pPr>
        <w:spacing w:after="0" w:line="143" w:lineRule="exact"/>
        <w:rPr>
          <w:rFonts w:ascii="Times New Roman" w:cs="Times New Roman" w:eastAsia="Times New Roman" w:hAnsi="Times New Roman"/>
          <w:sz w:val="16"/>
          <w:szCs w:val="16"/>
          <w:color w:val="010000"/>
        </w:rPr>
      </w:pPr>
    </w:p>
    <w:p>
      <w:pPr>
        <w:ind w:left="580" w:right="320" w:firstLine="587"/>
        <w:spacing w:after="0" w:line="288" w:lineRule="auto"/>
        <w:tabs>
          <w:tab w:leader="none" w:pos="1760" w:val="left"/>
        </w:tabs>
        <w:numPr>
          <w:ilvl w:val="0"/>
          <w:numId w:val="4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Second supplemental indenture dated as of February 27, 2015, among Mylan Inc., as issuer, Mylan N.V., as guarantor, and The Bank of New York Mellon, as trustee, to the indenture dated as of November 29, 2013;</w:t>
      </w:r>
    </w:p>
    <w:p>
      <w:pPr>
        <w:spacing w:after="0" w:line="143" w:lineRule="exact"/>
        <w:rPr>
          <w:rFonts w:ascii="Times New Roman" w:cs="Times New Roman" w:eastAsia="Times New Roman" w:hAnsi="Times New Roman"/>
          <w:sz w:val="16"/>
          <w:szCs w:val="16"/>
          <w:color w:val="010000"/>
        </w:rPr>
      </w:pPr>
    </w:p>
    <w:p>
      <w:pPr>
        <w:ind w:left="580" w:right="460" w:firstLine="587"/>
        <w:spacing w:after="0" w:line="288" w:lineRule="auto"/>
        <w:tabs>
          <w:tab w:leader="none" w:pos="1760" w:val="left"/>
        </w:tabs>
        <w:numPr>
          <w:ilvl w:val="0"/>
          <w:numId w:val="4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Third supplemental indenture dated as of March 12, 2015, among Mylan Inc., as issuer, Mylan N.V., as parent, and The Bank of New York Mellon, as trustee, to the indenture dated as of November 29, 2013;</w:t>
      </w:r>
    </w:p>
    <w:p>
      <w:pPr>
        <w:spacing w:after="0" w:line="143" w:lineRule="exact"/>
        <w:rPr>
          <w:rFonts w:ascii="Times New Roman" w:cs="Times New Roman" w:eastAsia="Times New Roman" w:hAnsi="Times New Roman"/>
          <w:sz w:val="16"/>
          <w:szCs w:val="16"/>
          <w:color w:val="010000"/>
        </w:rPr>
      </w:pPr>
    </w:p>
    <w:p>
      <w:pPr>
        <w:ind w:left="580" w:firstLine="587"/>
        <w:spacing w:after="0" w:line="288" w:lineRule="auto"/>
        <w:tabs>
          <w:tab w:leader="none" w:pos="1760" w:val="left"/>
        </w:tabs>
        <w:numPr>
          <w:ilvl w:val="0"/>
          <w:numId w:val="4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Fourth supplemental indenture dated as of November 16, 2020, among Mylan Inc., Viatris Inc., Utah Acquisition Sub Inc., Mylan II B.V. and The Bank of New York Mellon, as trustee, to the indenture dated as of November 29, 2013;</w:t>
      </w:r>
    </w:p>
    <w:p>
      <w:pPr>
        <w:spacing w:after="0" w:line="143" w:lineRule="exact"/>
        <w:rPr>
          <w:rFonts w:ascii="Times New Roman" w:cs="Times New Roman" w:eastAsia="Times New Roman" w:hAnsi="Times New Roman"/>
          <w:sz w:val="16"/>
          <w:szCs w:val="16"/>
          <w:color w:val="010000"/>
        </w:rPr>
      </w:pPr>
    </w:p>
    <w:p>
      <w:pPr>
        <w:ind w:left="1760" w:hanging="593"/>
        <w:spacing w:after="0"/>
        <w:tabs>
          <w:tab w:leader="none" w:pos="1760" w:val="left"/>
        </w:tabs>
        <w:numPr>
          <w:ilvl w:val="0"/>
          <w:numId w:val="4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Indenture dated as of June 9, 2016, among Mylan N.V., as issuer, Mylan Inc., as guarantor, and The Bank of New York Mellon, as trustee;</w:t>
      </w:r>
    </w:p>
    <w:p>
      <w:pPr>
        <w:spacing w:after="0" w:line="205" w:lineRule="exact"/>
        <w:rPr>
          <w:rFonts w:ascii="Times New Roman" w:cs="Times New Roman" w:eastAsia="Times New Roman" w:hAnsi="Times New Roman"/>
          <w:sz w:val="16"/>
          <w:szCs w:val="16"/>
          <w:color w:val="010000"/>
        </w:rPr>
      </w:pPr>
    </w:p>
    <w:p>
      <w:pPr>
        <w:ind w:left="580" w:right="140" w:firstLine="587"/>
        <w:spacing w:after="0" w:line="288" w:lineRule="auto"/>
        <w:tabs>
          <w:tab w:leader="none" w:pos="1760" w:val="left"/>
        </w:tabs>
        <w:numPr>
          <w:ilvl w:val="0"/>
          <w:numId w:val="4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First supplemental indenture dated as of November 16, 2020, among Viatris Inc., Utah Acquisition Sub Inc., Mylan II B.V., Mylan Inc. and The Bank of New York Mellon, as trustee, to the indenture dated as of June 9, 2016;</w:t>
      </w:r>
    </w:p>
    <w:p>
      <w:pPr>
        <w:spacing w:after="0" w:line="143" w:lineRule="exact"/>
        <w:rPr>
          <w:rFonts w:ascii="Times New Roman" w:cs="Times New Roman" w:eastAsia="Times New Roman" w:hAnsi="Times New Roman"/>
          <w:sz w:val="16"/>
          <w:szCs w:val="16"/>
          <w:color w:val="010000"/>
        </w:rPr>
      </w:pPr>
    </w:p>
    <w:p>
      <w:pPr>
        <w:ind w:left="1760" w:hanging="593"/>
        <w:spacing w:after="0"/>
        <w:tabs>
          <w:tab w:leader="none" w:pos="1760" w:val="left"/>
        </w:tabs>
        <w:numPr>
          <w:ilvl w:val="0"/>
          <w:numId w:val="4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Indenture dated as of November 22, 2016, among Mylan N.V., as issuer, Mylan Inc., as guarantor, and Citibank, N.A., London Branch, as trustee;</w:t>
      </w:r>
    </w:p>
    <w:p>
      <w:pPr>
        <w:spacing w:after="0" w:line="205" w:lineRule="exact"/>
        <w:rPr>
          <w:rFonts w:ascii="Times New Roman" w:cs="Times New Roman" w:eastAsia="Times New Roman" w:hAnsi="Times New Roman"/>
          <w:sz w:val="16"/>
          <w:szCs w:val="16"/>
          <w:color w:val="010000"/>
        </w:rPr>
      </w:pPr>
    </w:p>
    <w:p>
      <w:pPr>
        <w:ind w:left="580" w:right="440" w:firstLine="587"/>
        <w:spacing w:after="0" w:line="288" w:lineRule="auto"/>
        <w:tabs>
          <w:tab w:leader="none" w:pos="1760" w:val="left"/>
        </w:tabs>
        <w:numPr>
          <w:ilvl w:val="0"/>
          <w:numId w:val="4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First supplemental indenture dated as of November 16, 2020, among Viatris Inc., Utah Acquisition Sub Inc., Mylan II B.V., Mylan Inc. and Citibank, N.A., London Branch, as trustee, to the indenture dated as of November 22, 2016;</w:t>
      </w:r>
    </w:p>
    <w:p>
      <w:pPr>
        <w:spacing w:after="0" w:line="143" w:lineRule="exact"/>
        <w:rPr>
          <w:rFonts w:ascii="Times New Roman" w:cs="Times New Roman" w:eastAsia="Times New Roman" w:hAnsi="Times New Roman"/>
          <w:sz w:val="16"/>
          <w:szCs w:val="16"/>
          <w:color w:val="010000"/>
        </w:rPr>
      </w:pPr>
    </w:p>
    <w:p>
      <w:pPr>
        <w:ind w:left="1760" w:hanging="593"/>
        <w:spacing w:after="0"/>
        <w:tabs>
          <w:tab w:leader="none" w:pos="1760" w:val="left"/>
        </w:tabs>
        <w:numPr>
          <w:ilvl w:val="0"/>
          <w:numId w:val="4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Indenture dated as of April 9, 2018, among Mylan Inc., as issuer, Mylan N.V., as guarantor, and The Bank of New York Mellon, as trustee; and</w:t>
      </w:r>
    </w:p>
    <w:p>
      <w:pPr>
        <w:spacing w:after="0" w:line="205" w:lineRule="exact"/>
        <w:rPr>
          <w:rFonts w:ascii="Times New Roman" w:cs="Times New Roman" w:eastAsia="Times New Roman" w:hAnsi="Times New Roman"/>
          <w:sz w:val="16"/>
          <w:szCs w:val="16"/>
          <w:color w:val="010000"/>
        </w:rPr>
      </w:pPr>
    </w:p>
    <w:p>
      <w:pPr>
        <w:ind w:left="580" w:right="140" w:firstLine="587"/>
        <w:spacing w:after="0" w:line="288" w:lineRule="auto"/>
        <w:tabs>
          <w:tab w:leader="none" w:pos="1754" w:val="left"/>
        </w:tabs>
        <w:numPr>
          <w:ilvl w:val="0"/>
          <w:numId w:val="4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First supplemental indenture dated as of November 16, 2020, among Mylan Inc., Viatris Inc., Utah Acquisition Sub Inc., Mylan II B.V. and The Bank of New York Mellon, as trustee, to the indenture dated as of April 9, 2018.</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Mylan Notes</w:t>
      </w:r>
      <w:r>
        <w:rPr>
          <w:rFonts w:ascii="Times New Roman" w:cs="Times New Roman" w:eastAsia="Times New Roman" w:hAnsi="Times New Roman"/>
          <w:sz w:val="16"/>
          <w:szCs w:val="16"/>
          <w:color w:val="auto"/>
        </w:rPr>
        <w:t>” means any senior notes issued under the Mylan Indentures and that remain outstanding on the applicable Issue Date.</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Notation of Guarantee</w:t>
      </w:r>
      <w:r>
        <w:rPr>
          <w:rFonts w:ascii="Times New Roman" w:cs="Times New Roman" w:eastAsia="Times New Roman" w:hAnsi="Times New Roman"/>
          <w:sz w:val="16"/>
          <w:szCs w:val="16"/>
          <w:color w:val="auto"/>
        </w:rPr>
        <w:t xml:space="preserve">” means a notation of guarantee substantially in the form attached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w:t>
      </w:r>
    </w:p>
    <w:p>
      <w:pPr>
        <w:spacing w:after="0" w:line="206" w:lineRule="exact"/>
        <w:rPr>
          <w:sz w:val="20"/>
          <w:szCs w:val="20"/>
          <w:color w:val="auto"/>
        </w:rPr>
      </w:pPr>
    </w:p>
    <w:p>
      <w:pPr>
        <w:ind w:right="4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Obligations</w:t>
      </w:r>
      <w:r>
        <w:rPr>
          <w:rFonts w:ascii="Times New Roman" w:cs="Times New Roman" w:eastAsia="Times New Roman" w:hAnsi="Times New Roman"/>
          <w:sz w:val="16"/>
          <w:szCs w:val="16"/>
          <w:color w:val="auto"/>
        </w:rPr>
        <w:t>” means, with respect to any Indebtedness, all obligations for principal, premium, interest, penalties, fees, indemnifications, reimbursements, and other amounts payable pursuant to the documentation governing such Indebtedness.</w:t>
      </w:r>
    </w:p>
    <w:p>
      <w:pPr>
        <w:spacing w:after="0" w:line="138" w:lineRule="exact"/>
        <w:rPr>
          <w:sz w:val="20"/>
          <w:szCs w:val="20"/>
          <w:color w:val="auto"/>
        </w:rPr>
      </w:pPr>
    </w:p>
    <w:p>
      <w:pPr>
        <w:ind w:right="18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Officer</w:t>
      </w:r>
      <w:r>
        <w:rPr>
          <w:rFonts w:ascii="Times New Roman" w:cs="Times New Roman" w:eastAsia="Times New Roman" w:hAnsi="Times New Roman"/>
          <w:sz w:val="16"/>
          <w:szCs w:val="16"/>
          <w:color w:val="auto"/>
        </w:rPr>
        <w:t>” means the chief executive officer, the president, the chief financial officer or any vice president, any treasurer, any assistant treasurer, the controller, the secretary or any assistant secretary of the specified Person.</w:t>
      </w:r>
    </w:p>
    <w:p>
      <w:pPr>
        <w:spacing w:after="0" w:line="138" w:lineRule="exact"/>
        <w:rPr>
          <w:sz w:val="20"/>
          <w:szCs w:val="20"/>
          <w:color w:val="auto"/>
        </w:rPr>
      </w:pPr>
    </w:p>
    <w:p>
      <w:pPr>
        <w:ind w:right="18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Officer’s Certificate</w:t>
      </w:r>
      <w:r>
        <w:rPr>
          <w:rFonts w:ascii="Times New Roman" w:cs="Times New Roman" w:eastAsia="Times New Roman" w:hAnsi="Times New Roman"/>
          <w:sz w:val="16"/>
          <w:szCs w:val="16"/>
          <w:color w:val="auto"/>
        </w:rPr>
        <w:t>” means a certificate which meets the requirements of Section 12.03, signed by the chairman or executive chairman, as applicable, of the Board of Directors, the chief executive officer, the chief financial officer, the president or a vice president, a treasurer, an assistant treasurer, the controller, the secretary or an assistant secretary of the Company and delivered to the Trustee.</w:t>
      </w:r>
    </w:p>
    <w:p>
      <w:pPr>
        <w:spacing w:after="0" w:line="154" w:lineRule="exact"/>
        <w:rPr>
          <w:sz w:val="20"/>
          <w:szCs w:val="20"/>
          <w:color w:val="auto"/>
        </w:rPr>
      </w:pPr>
    </w:p>
    <w:p>
      <w:pPr>
        <w:ind w:right="36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Opinion of Counsel</w:t>
      </w:r>
      <w:r>
        <w:rPr>
          <w:rFonts w:ascii="Times New Roman" w:cs="Times New Roman" w:eastAsia="Times New Roman" w:hAnsi="Times New Roman"/>
          <w:sz w:val="16"/>
          <w:szCs w:val="16"/>
          <w:color w:val="auto"/>
        </w:rPr>
        <w:t>” means a written opinion which meets the requirements of Section 12.03 from legal counsel, who is reasonably acceptable to the Trustee, delivered to the Trustee. The counsel may be an employee of or counsel to the Company, any Subsidiary of the Company or the Trustee.</w:t>
      </w:r>
    </w:p>
    <w:p>
      <w:pPr>
        <w:spacing w:after="0" w:line="138" w:lineRule="exact"/>
        <w:rPr>
          <w:sz w:val="20"/>
          <w:szCs w:val="20"/>
          <w:color w:val="auto"/>
        </w:rPr>
      </w:pPr>
    </w:p>
    <w:p>
      <w:pPr>
        <w:jc w:val="both"/>
        <w:ind w:right="10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Original Issue Discount Security</w:t>
      </w:r>
      <w:r>
        <w:rPr>
          <w:rFonts w:ascii="Times New Roman" w:cs="Times New Roman" w:eastAsia="Times New Roman" w:hAnsi="Times New Roman"/>
          <w:sz w:val="16"/>
          <w:szCs w:val="16"/>
          <w:color w:val="auto"/>
        </w:rPr>
        <w:t>” means any Security that is issued with “original issue discount” within the meaning of Section 1273(a) of the Internal Revenue Code of 1986, as amended, and Treasury Regulations promulgated thereunder and any other Security designated by the Company as issued with original issue discount for United States federal income tax purposes.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ind w:right="38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Person</w:t>
      </w:r>
      <w:r>
        <w:rPr>
          <w:rFonts w:ascii="Times New Roman" w:cs="Times New Roman" w:eastAsia="Times New Roman" w:hAnsi="Times New Roman"/>
          <w:sz w:val="16"/>
          <w:szCs w:val="16"/>
          <w:color w:val="auto"/>
        </w:rPr>
        <w:t>” means any individual, corporation, company (including any limited liability company), association, partnership, joint venture, trust, unincorporated organization, government or any agency or political subdivision thereof or any other entity.</w:t>
      </w:r>
    </w:p>
    <w:p>
      <w:pPr>
        <w:spacing w:after="0" w:line="138" w:lineRule="exact"/>
        <w:rPr>
          <w:sz w:val="20"/>
          <w:szCs w:val="20"/>
          <w:color w:val="auto"/>
        </w:rPr>
      </w:pPr>
    </w:p>
    <w:p>
      <w:pPr>
        <w:ind w:right="4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Place of Payment</w:t>
      </w:r>
      <w:r>
        <w:rPr>
          <w:rFonts w:ascii="Times New Roman" w:cs="Times New Roman" w:eastAsia="Times New Roman" w:hAnsi="Times New Roman"/>
          <w:sz w:val="16"/>
          <w:szCs w:val="16"/>
          <w:color w:val="auto"/>
        </w:rPr>
        <w:t>,” when used with respect to the Securities, means the place or places where the principal of (and premium, if any) and interest on the Securities are payable as specified as contemplated by Section 4.02.</w:t>
      </w:r>
    </w:p>
    <w:p>
      <w:pPr>
        <w:spacing w:after="0" w:line="138" w:lineRule="exact"/>
        <w:rPr>
          <w:sz w:val="20"/>
          <w:szCs w:val="20"/>
          <w:color w:val="auto"/>
        </w:rPr>
      </w:pPr>
    </w:p>
    <w:p>
      <w:pPr>
        <w:ind w:right="12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Preferred Stock</w:t>
      </w:r>
      <w:r>
        <w:rPr>
          <w:rFonts w:ascii="Times New Roman" w:cs="Times New Roman" w:eastAsia="Times New Roman" w:hAnsi="Times New Roman"/>
          <w:sz w:val="16"/>
          <w:szCs w:val="16"/>
          <w:color w:val="auto"/>
        </w:rPr>
        <w:t>,” as applied to the Capital Stock of any Person, means Capital Stock of any class or classes (however designated) which is preferred as to the payment of dividends or distributions, or as to the distribution of assets upon any voluntary or involuntary liquidation or dissolution of such Person, over shares of Capital Stock of any other class of such Person.</w:t>
      </w:r>
    </w:p>
    <w:p>
      <w:pPr>
        <w:spacing w:after="0" w:line="154" w:lineRule="exact"/>
        <w:rPr>
          <w:sz w:val="20"/>
          <w:szCs w:val="20"/>
          <w:color w:val="auto"/>
        </w:rPr>
      </w:pPr>
    </w:p>
    <w:p>
      <w:pPr>
        <w:ind w:right="32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Property</w:t>
      </w:r>
      <w:r>
        <w:rPr>
          <w:rFonts w:ascii="Times New Roman" w:cs="Times New Roman" w:eastAsia="Times New Roman" w:hAnsi="Times New Roman"/>
          <w:sz w:val="16"/>
          <w:szCs w:val="16"/>
          <w:color w:val="auto"/>
        </w:rPr>
        <w:t>” means any right or interest in or to property of any kind whatsoever, whether real, personal or mixed and whether tangible or intangible, including, without limitation, Capital Stock.</w:t>
      </w:r>
    </w:p>
    <w:p>
      <w:pPr>
        <w:spacing w:after="0" w:line="138" w:lineRule="exact"/>
        <w:rPr>
          <w:sz w:val="20"/>
          <w:szCs w:val="20"/>
          <w:color w:val="auto"/>
        </w:rPr>
      </w:pPr>
    </w:p>
    <w:p>
      <w:pPr>
        <w:ind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Qualified Receivables Transaction</w:t>
      </w:r>
      <w:r>
        <w:rPr>
          <w:rFonts w:ascii="Times New Roman" w:cs="Times New Roman" w:eastAsia="Times New Roman" w:hAnsi="Times New Roman"/>
          <w:sz w:val="16"/>
          <w:szCs w:val="16"/>
          <w:color w:val="auto"/>
        </w:rPr>
        <w:t>” means any transaction or series of transactions that may be entered into by the Company or any of its Subsidiaries pursuant to which the Company or any of its Subsidiaries may sell, convey or otherwise transfer to:</w:t>
      </w:r>
    </w:p>
    <w:p>
      <w:pPr>
        <w:spacing w:after="0" w:line="140" w:lineRule="exact"/>
        <w:rPr>
          <w:sz w:val="20"/>
          <w:szCs w:val="20"/>
          <w:color w:val="auto"/>
        </w:rPr>
      </w:pPr>
    </w:p>
    <w:p>
      <w:pPr>
        <w:ind w:left="1320" w:hanging="592"/>
        <w:spacing w:after="0"/>
        <w:tabs>
          <w:tab w:leader="none" w:pos="13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Receivables Entity (in the case of a transfer by the Company or any of its Subsidiaries) or</w:t>
      </w:r>
    </w:p>
    <w:p>
      <w:pPr>
        <w:spacing w:after="0" w:line="205" w:lineRule="exact"/>
        <w:rPr>
          <w:rFonts w:ascii="Times New Roman" w:cs="Times New Roman" w:eastAsia="Times New Roman" w:hAnsi="Times New Roman"/>
          <w:sz w:val="16"/>
          <w:szCs w:val="16"/>
          <w:color w:val="auto"/>
        </w:rPr>
      </w:pPr>
    </w:p>
    <w:p>
      <w:pPr>
        <w:ind w:left="1320" w:hanging="592"/>
        <w:spacing w:after="0"/>
        <w:tabs>
          <w:tab w:leader="none" w:pos="13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Person (in the case of a transfer by a Receivables Entity),</w:t>
      </w:r>
    </w:p>
    <w:p>
      <w:pPr>
        <w:spacing w:after="0" w:line="20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6"/>
          <w:szCs w:val="16"/>
          <w:color w:val="auto"/>
        </w:rPr>
        <w:t xml:space="preserve">or may grant a security interest in, any accounts receivable (whether now existing or arising in the future) of the Company or any of its Subsidiaries, and any assets related thereto, including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financing terms, covenants, termination events and other provisions thereof shall be market terms (as determined in good faith by the chief financial officer of the Company).</w:t>
      </w:r>
    </w:p>
    <w:p>
      <w:pPr>
        <w:spacing w:after="0" w:line="163" w:lineRule="exact"/>
        <w:rPr>
          <w:sz w:val="20"/>
          <w:szCs w:val="20"/>
          <w:color w:val="auto"/>
        </w:rPr>
      </w:pPr>
    </w:p>
    <w:p>
      <w:pPr>
        <w:ind w:right="36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Receivables Entity</w:t>
      </w:r>
      <w:r>
        <w:rPr>
          <w:rFonts w:ascii="Times New Roman" w:cs="Times New Roman" w:eastAsia="Times New Roman" w:hAnsi="Times New Roman"/>
          <w:sz w:val="16"/>
          <w:szCs w:val="16"/>
          <w:color w:val="auto"/>
        </w:rPr>
        <w:t>” means (a) a Wholly Owned Subsidiary of the Company that is designated pursuant to an Officer’s Certificate (as provided below) as a Receivables Entity or (b) another Person engaging in a Qualified Receivables Transaction with the Company, which Person engages in the business of the financing of accounts receivable, and in the case of either of clause (a) or (b):</w:t>
      </w:r>
    </w:p>
    <w:p>
      <w:pPr>
        <w:spacing w:after="0" w:line="156" w:lineRule="exact"/>
        <w:rPr>
          <w:sz w:val="20"/>
          <w:szCs w:val="20"/>
          <w:color w:val="auto"/>
        </w:rPr>
      </w:pPr>
    </w:p>
    <w:p>
      <w:pPr>
        <w:ind w:left="1760" w:hanging="594"/>
        <w:spacing w:after="0"/>
        <w:tabs>
          <w:tab w:leader="none" w:pos="1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portion of the Indebtedness or any other obligations (contingent or otherwise) of such entity:</w:t>
      </w:r>
    </w:p>
    <w:p>
      <w:pPr>
        <w:spacing w:after="0" w:line="205" w:lineRule="exact"/>
        <w:rPr>
          <w:rFonts w:ascii="Times New Roman" w:cs="Times New Roman" w:eastAsia="Times New Roman" w:hAnsi="Times New Roman"/>
          <w:sz w:val="16"/>
          <w:szCs w:val="16"/>
          <w:color w:val="auto"/>
        </w:rPr>
      </w:pPr>
    </w:p>
    <w:p>
      <w:pPr>
        <w:ind w:left="1160" w:right="300" w:firstLine="591"/>
        <w:spacing w:after="0" w:line="288" w:lineRule="auto"/>
        <w:tabs>
          <w:tab w:leader="none" w:pos="2051"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Guaranteed by the Company or any Subsidiary of the Company (excluding Guarantees of obligations (other than the principal of, and interest on, Indebtedness) pursuant to Standard Securitization Undertakings),</w:t>
      </w:r>
    </w:p>
    <w:p>
      <w:pPr>
        <w:spacing w:after="0" w:line="143" w:lineRule="exact"/>
        <w:rPr>
          <w:rFonts w:ascii="Times New Roman" w:cs="Times New Roman" w:eastAsia="Times New Roman" w:hAnsi="Times New Roman"/>
          <w:sz w:val="16"/>
          <w:szCs w:val="16"/>
          <w:color w:val="auto"/>
        </w:rPr>
      </w:pPr>
    </w:p>
    <w:p>
      <w:pPr>
        <w:ind w:left="1160" w:right="460" w:firstLine="591"/>
        <w:spacing w:after="0" w:line="288" w:lineRule="auto"/>
        <w:tabs>
          <w:tab w:leader="none" w:pos="2042"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recourse to or obligates the Company or any Subsidiary of the Company in any way (other than pursuant to Standard Securitization Undertakings), or</w:t>
      </w:r>
    </w:p>
    <w:p>
      <w:pPr>
        <w:spacing w:after="0" w:line="143" w:lineRule="exact"/>
        <w:rPr>
          <w:rFonts w:ascii="Times New Roman" w:cs="Times New Roman" w:eastAsia="Times New Roman" w:hAnsi="Times New Roman"/>
          <w:sz w:val="16"/>
          <w:szCs w:val="16"/>
          <w:color w:val="auto"/>
        </w:rPr>
      </w:pPr>
    </w:p>
    <w:p>
      <w:pPr>
        <w:ind w:left="1160" w:right="280" w:firstLine="591"/>
        <w:spacing w:after="0" w:line="288" w:lineRule="auto"/>
        <w:tabs>
          <w:tab w:leader="none" w:pos="2042"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subjects any property or asset of the Company or any Subsidiary of the Company, directly or indirectly, contingently or otherwise, to the satisfaction thereof (other than pursuant to Standard Securitization Undertakings);</w:t>
      </w:r>
    </w:p>
    <w:p>
      <w:pPr>
        <w:spacing w:after="0" w:line="143" w:lineRule="exact"/>
        <w:rPr>
          <w:rFonts w:ascii="Times New Roman" w:cs="Times New Roman" w:eastAsia="Times New Roman" w:hAnsi="Times New Roman"/>
          <w:sz w:val="16"/>
          <w:szCs w:val="16"/>
          <w:color w:val="auto"/>
        </w:rPr>
      </w:pPr>
    </w:p>
    <w:p>
      <w:pPr>
        <w:ind w:left="660" w:firstLine="506"/>
        <w:spacing w:after="0" w:line="271" w:lineRule="auto"/>
        <w:tabs>
          <w:tab w:leader="none" w:pos="177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entity is not an Affiliate of the Company or is an entity with which neither the Company nor any Subsidiary of the Company has any material contract, agreement, arrangement or understanding other than on terms that the Company reasonably believes to be no less favorable to the Company or such Subsidiary than those that might be obtained at the time from Persons that are not Affiliates of the Company; and</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7" w:name="page68"/>
    <w:bookmarkEnd w:id="67"/>
    <w:p>
      <w:pPr>
        <w:ind w:left="660" w:right="160" w:firstLine="506"/>
        <w:spacing w:after="0" w:line="288" w:lineRule="auto"/>
        <w:tabs>
          <w:tab w:leader="none" w:pos="177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an entity to which neither the Company nor any Subsidiary of the Company has any obligation to maintain or preserve such entity’s financial condition or cause such entity to achieve certain levels of operating results.</w:t>
      </w:r>
    </w:p>
    <w:p>
      <w:pPr>
        <w:spacing w:after="0" w:line="143" w:lineRule="exact"/>
        <w:rPr>
          <w:sz w:val="20"/>
          <w:szCs w:val="20"/>
          <w:color w:val="auto"/>
        </w:rPr>
      </w:pPr>
    </w:p>
    <w:p>
      <w:pPr>
        <w:ind w:right="560" w:firstLine="585"/>
        <w:spacing w:after="0" w:line="288" w:lineRule="auto"/>
        <w:rPr>
          <w:sz w:val="20"/>
          <w:szCs w:val="20"/>
          <w:color w:val="auto"/>
        </w:rPr>
      </w:pPr>
      <w:r>
        <w:rPr>
          <w:rFonts w:ascii="Times New Roman" w:cs="Times New Roman" w:eastAsia="Times New Roman" w:hAnsi="Times New Roman"/>
          <w:sz w:val="16"/>
          <w:szCs w:val="16"/>
          <w:color w:val="auto"/>
        </w:rPr>
        <w:t>Any such designation shall be evidenced to the Trustee by filing with the Trustee an Officer’s Certificate certifying that such designation complied with the foregoing conditions.</w:t>
      </w:r>
    </w:p>
    <w:p>
      <w:pPr>
        <w:spacing w:after="0" w:line="141" w:lineRule="exact"/>
        <w:rPr>
          <w:sz w:val="20"/>
          <w:szCs w:val="20"/>
          <w:color w:val="auto"/>
        </w:rPr>
      </w:pPr>
    </w:p>
    <w:p>
      <w:pPr>
        <w:ind w:right="38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Redemption Date</w:t>
      </w:r>
      <w:r>
        <w:rPr>
          <w:rFonts w:ascii="Times New Roman" w:cs="Times New Roman" w:eastAsia="Times New Roman" w:hAnsi="Times New Roman"/>
          <w:sz w:val="16"/>
          <w:szCs w:val="16"/>
          <w:color w:val="auto"/>
        </w:rPr>
        <w:t>,” when used with respect to any Security to be redeemed pursuant to Article III of this Indenture, means the date fixed for such redemption pursuant to the terms of such Article III.</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Redemption Price</w:t>
      </w:r>
      <w:r>
        <w:rPr>
          <w:rFonts w:ascii="Times New Roman" w:cs="Times New Roman" w:eastAsia="Times New Roman" w:hAnsi="Times New Roman"/>
          <w:sz w:val="16"/>
          <w:szCs w:val="16"/>
          <w:color w:val="auto"/>
        </w:rPr>
        <w:t>,” when used with respect to any Security to be redeemed, means the price at which it is to be redeemed pursuant to this Indenture.</w:t>
      </w:r>
    </w:p>
    <w:p>
      <w:pPr>
        <w:spacing w:after="0" w:line="206" w:lineRule="exact"/>
        <w:rPr>
          <w:sz w:val="20"/>
          <w:szCs w:val="20"/>
          <w:color w:val="auto"/>
        </w:rPr>
      </w:pPr>
    </w:p>
    <w:p>
      <w:pPr>
        <w:ind w:right="120" w:firstLine="585"/>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Responsible Officer</w:t>
      </w:r>
      <w:r>
        <w:rPr>
          <w:rFonts w:ascii="Times New Roman" w:cs="Times New Roman" w:eastAsia="Times New Roman" w:hAnsi="Times New Roman"/>
          <w:sz w:val="16"/>
          <w:szCs w:val="16"/>
          <w:color w:val="auto"/>
        </w:rPr>
        <w:t>” means, when used with respect to the Trustee, any officer within the corporate trust department of the Trustee, including any vice president, assistant vice president, assistant secretary, senior associate, associate,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59" w:lineRule="exact"/>
        <w:rPr>
          <w:sz w:val="20"/>
          <w:szCs w:val="20"/>
          <w:color w:val="auto"/>
        </w:rPr>
      </w:pPr>
    </w:p>
    <w:p>
      <w:pPr>
        <w:ind w:firstLine="585"/>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Sale Leaseback Transaction</w:t>
      </w:r>
      <w:r>
        <w:rPr>
          <w:rFonts w:ascii="Times New Roman" w:cs="Times New Roman" w:eastAsia="Times New Roman" w:hAnsi="Times New Roman"/>
          <w:sz w:val="16"/>
          <w:szCs w:val="16"/>
          <w:color w:val="auto"/>
        </w:rPr>
        <w:t>” means the leasing by the Company or any Domestic Subsidiary of the Company of any property, whether owned on the Issue Date or acquired after the Issue Date (except for temporary leases for a term, including any renewal term, of up to three years and except for leases between the Company and any Domestic Subsidiary of the Company or between Domestic Subsidiaries of the Company), which property has been or is to be sold or transferred by the Company or such Domestic Subsidiary to any party with the intention of taking back a lease of such property.</w:t>
      </w:r>
    </w:p>
    <w:p>
      <w:pPr>
        <w:spacing w:after="0" w:line="159" w:lineRule="exact"/>
        <w:rPr>
          <w:sz w:val="20"/>
          <w:szCs w:val="20"/>
          <w:color w:val="auto"/>
        </w:rPr>
      </w:pPr>
    </w:p>
    <w:p>
      <w:pPr>
        <w:ind w:right="38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Securities</w:t>
      </w:r>
      <w:r>
        <w:rPr>
          <w:rFonts w:ascii="Times New Roman" w:cs="Times New Roman" w:eastAsia="Times New Roman" w:hAnsi="Times New Roman"/>
          <w:sz w:val="16"/>
          <w:szCs w:val="16"/>
          <w:color w:val="auto"/>
        </w:rPr>
        <w:t>” means, collectively, each series of debentures, notes, bonds or other evidences of indebtedness issued from time to time hereunder. The Securities issued under this Indenture include, for each series of Securities, the Initial Securities of such series and Additional Securities of such series, if any, unless the context otherwise requires.</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Securities Act</w:t>
      </w:r>
      <w:r>
        <w:rPr>
          <w:rFonts w:ascii="Times New Roman" w:cs="Times New Roman" w:eastAsia="Times New Roman" w:hAnsi="Times New Roman"/>
          <w:sz w:val="16"/>
          <w:szCs w:val="16"/>
          <w:color w:val="auto"/>
        </w:rPr>
        <w:t>” means the Securities Act of 1933, as amended, or any successor statute, and the rules and regulations promulgated by the Commission thereunder.</w:t>
      </w:r>
    </w:p>
    <w:p>
      <w:pPr>
        <w:spacing w:after="0" w:line="206" w:lineRule="exact"/>
        <w:rPr>
          <w:sz w:val="20"/>
          <w:szCs w:val="20"/>
          <w:color w:val="auto"/>
        </w:rPr>
      </w:pPr>
    </w:p>
    <w:p>
      <w:pPr>
        <w:ind w:right="12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Security Custodian</w:t>
      </w:r>
      <w:r>
        <w:rPr>
          <w:rFonts w:ascii="Times New Roman" w:cs="Times New Roman" w:eastAsia="Times New Roman" w:hAnsi="Times New Roman"/>
          <w:sz w:val="16"/>
          <w:szCs w:val="16"/>
          <w:color w:val="auto"/>
        </w:rPr>
        <w:t>” means, with respect to any Global Security, the custodian appointed by the Depositary, or any successor Person thereto, and shall initially be the Paying Agent.</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series</w:t>
      </w:r>
      <w:r>
        <w:rPr>
          <w:rFonts w:ascii="Times New Roman" w:cs="Times New Roman" w:eastAsia="Times New Roman" w:hAnsi="Times New Roman"/>
          <w:sz w:val="16"/>
          <w:szCs w:val="16"/>
          <w:color w:val="auto"/>
        </w:rPr>
        <w:t>” refers to each separate series of Securities issued under this Indenture.</w:t>
      </w:r>
    </w:p>
    <w:p>
      <w:pPr>
        <w:spacing w:after="0" w:line="206" w:lineRule="exact"/>
        <w:rPr>
          <w:sz w:val="20"/>
          <w:szCs w:val="20"/>
          <w:color w:val="auto"/>
        </w:rPr>
      </w:pPr>
    </w:p>
    <w:p>
      <w:pPr>
        <w:ind w:right="26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Significant Subsidiary</w:t>
      </w:r>
      <w:r>
        <w:rPr>
          <w:rFonts w:ascii="Times New Roman" w:cs="Times New Roman" w:eastAsia="Times New Roman" w:hAnsi="Times New Roman"/>
          <w:sz w:val="16"/>
          <w:szCs w:val="16"/>
          <w:color w:val="auto"/>
        </w:rPr>
        <w:t>” means any Subsidiary of the Company that would be a “significant subsidiary” of the Company within the meaning of Rule 1-02 under Regulation S-X promulgated by the Commission, as such Regulation is in effect on the Issue Date.</w:t>
      </w:r>
    </w:p>
    <w:p>
      <w:pPr>
        <w:spacing w:after="0" w:line="138" w:lineRule="exact"/>
        <w:rPr>
          <w:sz w:val="20"/>
          <w:szCs w:val="20"/>
          <w:color w:val="auto"/>
        </w:rPr>
      </w:pPr>
    </w:p>
    <w:p>
      <w:pPr>
        <w:ind w:right="50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Standard Securitization Undertakings</w:t>
      </w:r>
      <w:r>
        <w:rPr>
          <w:rFonts w:ascii="Times New Roman" w:cs="Times New Roman" w:eastAsia="Times New Roman" w:hAnsi="Times New Roman"/>
          <w:sz w:val="16"/>
          <w:szCs w:val="16"/>
          <w:color w:val="auto"/>
        </w:rPr>
        <w:t>” means representations, warranties, covenants and indemnities entered into by the Company or any Subsidiary of the Company that, taken as a whole, are customary in an accounts receivable transaction.</w:t>
      </w:r>
    </w:p>
    <w:p>
      <w:pPr>
        <w:spacing w:after="0" w:line="138" w:lineRule="exact"/>
        <w:rPr>
          <w:sz w:val="20"/>
          <w:szCs w:val="20"/>
          <w:color w:val="auto"/>
        </w:rPr>
      </w:pPr>
    </w:p>
    <w:p>
      <w:pPr>
        <w:ind w:right="22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Stated Maturity</w:t>
      </w:r>
      <w:r>
        <w:rPr>
          <w:rFonts w:ascii="Times New Roman" w:cs="Times New Roman" w:eastAsia="Times New Roman" w:hAnsi="Times New Roman"/>
          <w:sz w:val="16"/>
          <w:szCs w:val="16"/>
          <w:color w:val="auto"/>
        </w:rPr>
        <w:t>” means, when used with respect to any Indebtedness or any installment of interest thereon, the dates specified in such Indebtedness as the fixed date on which the principal of such Indebtedness or such installment of interest, as the case may be, is due and payable.</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Subsidiary</w:t>
      </w:r>
      <w:r>
        <w:rPr>
          <w:rFonts w:ascii="Times New Roman" w:cs="Times New Roman" w:eastAsia="Times New Roman" w:hAnsi="Times New Roman"/>
          <w:sz w:val="16"/>
          <w:szCs w:val="16"/>
          <w:color w:val="auto"/>
        </w:rPr>
        <w:t>” means, with respect to any specified Person:</w:t>
      </w:r>
    </w:p>
    <w:p>
      <w:pPr>
        <w:spacing w:after="0" w:line="208" w:lineRule="exact"/>
        <w:rPr>
          <w:sz w:val="20"/>
          <w:szCs w:val="20"/>
          <w:color w:val="auto"/>
        </w:rPr>
      </w:pPr>
    </w:p>
    <w:p>
      <w:pPr>
        <w:ind w:left="580" w:right="300" w:firstLine="587"/>
        <w:spacing w:after="0" w:line="265" w:lineRule="auto"/>
        <w:tabs>
          <w:tab w:leader="none" w:pos="17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corporation, limited liability company,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ind w:left="583" w:right="20" w:firstLine="587"/>
        <w:spacing w:after="0" w:line="288" w:lineRule="auto"/>
        <w:tabs>
          <w:tab w:leader="none" w:pos="1762"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41"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TIA</w:t>
      </w:r>
      <w:r>
        <w:rPr>
          <w:rFonts w:ascii="Times New Roman" w:cs="Times New Roman" w:eastAsia="Times New Roman" w:hAnsi="Times New Roman"/>
          <w:sz w:val="16"/>
          <w:szCs w:val="16"/>
          <w:color w:val="auto"/>
        </w:rPr>
        <w:t>” means the Trust Indenture Act of 1939 as amended (15 U.S. Code §§ 77aaa-77bbbb).</w:t>
      </w:r>
    </w:p>
    <w:p>
      <w:pPr>
        <w:spacing w:after="0" w:line="206" w:lineRule="exact"/>
        <w:rPr>
          <w:sz w:val="20"/>
          <w:szCs w:val="20"/>
          <w:color w:val="auto"/>
        </w:rPr>
      </w:pPr>
    </w:p>
    <w:p>
      <w:pPr>
        <w:ind w:left="3" w:right="2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Triggering Indebtedness</w:t>
      </w:r>
      <w:r>
        <w:rPr>
          <w:rFonts w:ascii="Times New Roman" w:cs="Times New Roman" w:eastAsia="Times New Roman" w:hAnsi="Times New Roman"/>
          <w:sz w:val="16"/>
          <w:szCs w:val="16"/>
          <w:color w:val="auto"/>
        </w:rPr>
        <w:t>” means Indebtedness of the Company owed to a Person, other than the Company or any Subsidiary of the Company, that has an aggregate principal amount or committed amount in excess of $500.0 million.</w:t>
      </w:r>
    </w:p>
    <w:p>
      <w:pPr>
        <w:spacing w:after="0" w:line="138" w:lineRule="exact"/>
        <w:rPr>
          <w:sz w:val="20"/>
          <w:szCs w:val="20"/>
          <w:color w:val="auto"/>
        </w:rPr>
      </w:pPr>
    </w:p>
    <w:p>
      <w:pPr>
        <w:ind w:left="3" w:right="8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Trustee</w:t>
      </w:r>
      <w:r>
        <w:rPr>
          <w:rFonts w:ascii="Times New Roman" w:cs="Times New Roman" w:eastAsia="Times New Roman" w:hAnsi="Times New Roman"/>
          <w:sz w:val="16"/>
          <w:szCs w:val="16"/>
          <w:color w:val="auto"/>
        </w:rPr>
        <w:t>” means The Bank of New York Mellon, a New York banking corporation, until a successor replaces it in accordance with the applicable provisions of this Indenture and thereafter means the successor serving hereunder.</w:t>
      </w:r>
    </w:p>
    <w:p>
      <w:pPr>
        <w:spacing w:after="0" w:line="138"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U.S. Government Obligations</w:t>
      </w:r>
      <w:r>
        <w:rPr>
          <w:rFonts w:ascii="Times New Roman" w:cs="Times New Roman" w:eastAsia="Times New Roman" w:hAnsi="Times New Roman"/>
          <w:sz w:val="16"/>
          <w:szCs w:val="16"/>
          <w:color w:val="auto"/>
        </w:rPr>
        <w:t>” means securities that are (i) direct obligations of the United States for the payment of which its full faith and credit is pledged or</w:t>
      </w:r>
    </w:p>
    <w:p>
      <w:pPr>
        <w:spacing w:after="0" w:line="29" w:lineRule="exact"/>
        <w:rPr>
          <w:sz w:val="20"/>
          <w:szCs w:val="20"/>
          <w:color w:val="auto"/>
        </w:rPr>
      </w:pPr>
    </w:p>
    <w:p>
      <w:pPr>
        <w:ind w:left="3" w:right="320" w:hanging="3"/>
        <w:spacing w:after="0" w:line="257" w:lineRule="auto"/>
        <w:tabs>
          <w:tab w:leader="none" w:pos="24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obligations of a person controlled or supervised by and acting as an agency or an instrumentality of the United States the timely payment of which is unconditionally guaranteed as a full faith and credit obligation by the United States, that, in either case, are not callable or redeemable at the action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pacing w:after="0" w:line="164" w:lineRule="exact"/>
        <w:rPr>
          <w:sz w:val="20"/>
          <w:szCs w:val="20"/>
          <w:color w:val="auto"/>
        </w:rPr>
      </w:pPr>
    </w:p>
    <w:p>
      <w:pPr>
        <w:ind w:left="3" w:right="20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Wholly Owned Subsidiary</w:t>
      </w:r>
      <w:r>
        <w:rPr>
          <w:rFonts w:ascii="Times New Roman" w:cs="Times New Roman" w:eastAsia="Times New Roman" w:hAnsi="Times New Roman"/>
          <w:sz w:val="16"/>
          <w:szCs w:val="16"/>
          <w:color w:val="auto"/>
        </w:rPr>
        <w:t>” means a Subsidiary of the Company of which the Company owns all of the Capital Stock, directly or indirectly, other than directors’ qualifying shares.</w:t>
      </w:r>
    </w:p>
    <w:p>
      <w:pPr>
        <w:spacing w:after="0" w:line="138" w:lineRule="exact"/>
        <w:rPr>
          <w:sz w:val="20"/>
          <w:szCs w:val="20"/>
          <w:color w:val="auto"/>
        </w:rPr>
      </w:pPr>
    </w:p>
    <w:tbl>
      <w:tblPr>
        <w:tblLayout w:type="fixed"/>
        <w:tblInd w:w="3" w:type="dxa"/>
        <w:tblCellMar>
          <w:top w:w="0" w:type="dxa"/>
          <w:left w:w="0" w:type="dxa"/>
          <w:bottom w:w="0" w:type="dxa"/>
          <w:right w:w="0" w:type="dxa"/>
        </w:tblCellMar>
      </w:tblPr>
      <w:tr>
        <w:trPr>
          <w:trHeight w:val="213"/>
        </w:trPr>
        <w:tc>
          <w:tcPr>
            <w:tcW w:w="56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Section 1.02. Other Definitions.</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372"/>
        </w:trPr>
        <w:tc>
          <w:tcPr>
            <w:tcW w:w="5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Defined</w:t>
            </w:r>
          </w:p>
        </w:tc>
        <w:tc>
          <w:tcPr>
            <w:tcW w:w="560" w:type="dxa"/>
            <w:vAlign w:val="bottom"/>
          </w:tcPr>
          <w:p>
            <w:pPr>
              <w:spacing w:after="0"/>
              <w:rPr>
                <w:sz w:val="24"/>
                <w:szCs w:val="24"/>
                <w:color w:val="auto"/>
              </w:rPr>
            </w:pPr>
          </w:p>
        </w:tc>
      </w:tr>
      <w:tr>
        <w:trPr>
          <w:trHeight w:val="195"/>
        </w:trPr>
        <w:tc>
          <w:tcPr>
            <w:tcW w:w="5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9"/>
              </w:rPr>
              <w:t>in</w:t>
            </w:r>
          </w:p>
        </w:tc>
        <w:tc>
          <w:tcPr>
            <w:tcW w:w="560" w:type="dxa"/>
            <w:vAlign w:val="bottom"/>
          </w:tcPr>
          <w:p>
            <w:pPr>
              <w:spacing w:after="0"/>
              <w:rPr>
                <w:sz w:val="16"/>
                <w:szCs w:val="16"/>
                <w:color w:val="auto"/>
              </w:rPr>
            </w:pPr>
          </w:p>
        </w:tc>
      </w:tr>
      <w:tr>
        <w:trPr>
          <w:trHeight w:val="218"/>
        </w:trPr>
        <w:tc>
          <w:tcPr>
            <w:tcW w:w="560" w:type="dxa"/>
            <w:vAlign w:val="bottom"/>
          </w:tcPr>
          <w:p>
            <w:pPr>
              <w:spacing w:after="0"/>
              <w:rPr>
                <w:sz w:val="18"/>
                <w:szCs w:val="18"/>
                <w:color w:val="auto"/>
              </w:rPr>
            </w:pPr>
          </w:p>
        </w:tc>
        <w:tc>
          <w:tcPr>
            <w:tcW w:w="4840" w:type="dxa"/>
            <w:vAlign w:val="bottom"/>
            <w:tcBorders>
              <w:bottom w:val="single" w:sz="8" w:color="auto"/>
            </w:tcBorders>
          </w:tcPr>
          <w:p>
            <w:pPr>
              <w:ind w:left="4260"/>
              <w:spacing w:after="0"/>
              <w:rPr>
                <w:sz w:val="20"/>
                <w:szCs w:val="20"/>
                <w:color w:val="auto"/>
              </w:rPr>
            </w:pPr>
            <w:r>
              <w:rPr>
                <w:rFonts w:ascii="Times New Roman" w:cs="Times New Roman" w:eastAsia="Times New Roman" w:hAnsi="Times New Roman"/>
                <w:sz w:val="16"/>
                <w:szCs w:val="16"/>
                <w:b w:val="1"/>
                <w:bCs w:val="1"/>
                <w:color w:val="auto"/>
              </w:rPr>
              <w:t>Term</w:t>
            </w:r>
          </w:p>
        </w:tc>
        <w:tc>
          <w:tcPr>
            <w:tcW w:w="40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560" w:type="dxa"/>
            <w:vAlign w:val="bottom"/>
          </w:tcPr>
          <w:p>
            <w:pPr>
              <w:spacing w:after="0"/>
              <w:rPr>
                <w:sz w:val="18"/>
                <w:szCs w:val="18"/>
                <w:color w:val="auto"/>
              </w:rPr>
            </w:pPr>
          </w:p>
        </w:tc>
      </w:tr>
      <w:tr>
        <w:trPr>
          <w:trHeight w:val="195"/>
        </w:trPr>
        <w:tc>
          <w:tcPr>
            <w:tcW w:w="56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“Agent Members”</w:t>
            </w:r>
          </w:p>
        </w:tc>
        <w:tc>
          <w:tcPr>
            <w:tcW w:w="4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560" w:type="dxa"/>
            <w:vAlign w:val="bottom"/>
          </w:tcPr>
          <w:p>
            <w:pPr>
              <w:spacing w:after="0"/>
              <w:rPr>
                <w:sz w:val="16"/>
                <w:szCs w:val="16"/>
                <w:color w:val="auto"/>
              </w:rPr>
            </w:pPr>
          </w:p>
        </w:tc>
      </w:tr>
      <w:tr>
        <w:trPr>
          <w:trHeight w:val="195"/>
        </w:trPr>
        <w:tc>
          <w:tcPr>
            <w:tcW w:w="56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“Authenticating Agent”</w:t>
            </w:r>
          </w:p>
        </w:tc>
        <w:tc>
          <w:tcPr>
            <w:tcW w:w="5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560" w:type="dxa"/>
            <w:vAlign w:val="bottom"/>
          </w:tcPr>
          <w:p>
            <w:pPr>
              <w:spacing w:after="0"/>
              <w:rPr>
                <w:sz w:val="16"/>
                <w:szCs w:val="16"/>
                <w:color w:val="auto"/>
              </w:rPr>
            </w:pPr>
          </w:p>
        </w:tc>
      </w:tr>
      <w:tr>
        <w:trPr>
          <w:trHeight w:val="195"/>
        </w:trPr>
        <w:tc>
          <w:tcPr>
            <w:tcW w:w="56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“Authorized Officers”</w:t>
            </w:r>
          </w:p>
        </w:tc>
        <w:tc>
          <w:tcPr>
            <w:tcW w:w="5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560" w:type="dxa"/>
            <w:vAlign w:val="bottom"/>
          </w:tcPr>
          <w:p>
            <w:pPr>
              <w:spacing w:after="0"/>
              <w:rPr>
                <w:sz w:val="16"/>
                <w:szCs w:val="16"/>
                <w:color w:val="auto"/>
              </w:rPr>
            </w:pPr>
          </w:p>
        </w:tc>
      </w:tr>
      <w:tr>
        <w:trPr>
          <w:trHeight w:val="195"/>
        </w:trPr>
        <w:tc>
          <w:tcPr>
            <w:tcW w:w="56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“Covenant Defeasance”</w:t>
            </w:r>
          </w:p>
        </w:tc>
        <w:tc>
          <w:tcPr>
            <w:tcW w:w="5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560" w:type="dxa"/>
            <w:vAlign w:val="bottom"/>
          </w:tcPr>
          <w:p>
            <w:pPr>
              <w:spacing w:after="0"/>
              <w:rPr>
                <w:sz w:val="16"/>
                <w:szCs w:val="16"/>
                <w:color w:val="auto"/>
              </w:rPr>
            </w:pPr>
          </w:p>
        </w:tc>
      </w:tr>
      <w:tr>
        <w:trPr>
          <w:trHeight w:val="195"/>
        </w:trPr>
        <w:tc>
          <w:tcPr>
            <w:tcW w:w="56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“Designated Currency”</w:t>
            </w:r>
          </w:p>
        </w:tc>
        <w:tc>
          <w:tcPr>
            <w:tcW w:w="5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560" w:type="dxa"/>
            <w:vAlign w:val="bottom"/>
          </w:tcPr>
          <w:p>
            <w:pPr>
              <w:spacing w:after="0"/>
              <w:rPr>
                <w:sz w:val="16"/>
                <w:szCs w:val="16"/>
                <w:color w:val="auto"/>
              </w:rPr>
            </w:pPr>
          </w:p>
        </w:tc>
      </w:tr>
      <w:tr>
        <w:trPr>
          <w:trHeight w:val="195"/>
        </w:trPr>
        <w:tc>
          <w:tcPr>
            <w:tcW w:w="56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“Event of Default”</w:t>
            </w:r>
          </w:p>
        </w:tc>
        <w:tc>
          <w:tcPr>
            <w:tcW w:w="5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560" w:type="dxa"/>
            <w:vAlign w:val="bottom"/>
          </w:tcPr>
          <w:p>
            <w:pPr>
              <w:spacing w:after="0"/>
              <w:rPr>
                <w:sz w:val="16"/>
                <w:szCs w:val="16"/>
                <w:color w:val="auto"/>
              </w:rPr>
            </w:pPr>
          </w:p>
        </w:tc>
      </w:tr>
      <w:tr>
        <w:trPr>
          <w:trHeight w:val="195"/>
        </w:trPr>
        <w:tc>
          <w:tcPr>
            <w:tcW w:w="56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Rate”</w:t>
            </w:r>
          </w:p>
        </w:tc>
        <w:tc>
          <w:tcPr>
            <w:tcW w:w="5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560" w:type="dxa"/>
            <w:vAlign w:val="bottom"/>
          </w:tcPr>
          <w:p>
            <w:pPr>
              <w:spacing w:after="0"/>
              <w:rPr>
                <w:sz w:val="16"/>
                <w:szCs w:val="16"/>
                <w:color w:val="auto"/>
              </w:rPr>
            </w:pPr>
          </w:p>
        </w:tc>
      </w:tr>
      <w:tr>
        <w:trPr>
          <w:trHeight w:val="195"/>
        </w:trPr>
        <w:tc>
          <w:tcPr>
            <w:tcW w:w="56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“Instructions”</w:t>
            </w:r>
          </w:p>
        </w:tc>
        <w:tc>
          <w:tcPr>
            <w:tcW w:w="5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560" w:type="dxa"/>
            <w:vAlign w:val="bottom"/>
          </w:tcPr>
          <w:p>
            <w:pPr>
              <w:spacing w:after="0"/>
              <w:rPr>
                <w:sz w:val="16"/>
                <w:szCs w:val="16"/>
                <w:color w:val="auto"/>
              </w:rPr>
            </w:pPr>
          </w:p>
        </w:tc>
      </w:tr>
      <w:tr>
        <w:trPr>
          <w:trHeight w:val="195"/>
        </w:trPr>
        <w:tc>
          <w:tcPr>
            <w:tcW w:w="56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“Legal Defeasance”</w:t>
            </w:r>
          </w:p>
        </w:tc>
        <w:tc>
          <w:tcPr>
            <w:tcW w:w="5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560" w:type="dxa"/>
            <w:vAlign w:val="bottom"/>
          </w:tcPr>
          <w:p>
            <w:pPr>
              <w:spacing w:after="0"/>
              <w:rPr>
                <w:sz w:val="16"/>
                <w:szCs w:val="16"/>
                <w:color w:val="auto"/>
              </w:rPr>
            </w:pPr>
          </w:p>
        </w:tc>
      </w:tr>
      <w:tr>
        <w:trPr>
          <w:trHeight w:val="195"/>
        </w:trPr>
        <w:tc>
          <w:tcPr>
            <w:tcW w:w="56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“Mandatory Sinking Fund Payment”</w:t>
            </w:r>
          </w:p>
        </w:tc>
        <w:tc>
          <w:tcPr>
            <w:tcW w:w="5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560" w:type="dxa"/>
            <w:vAlign w:val="bottom"/>
          </w:tcPr>
          <w:p>
            <w:pPr>
              <w:spacing w:after="0"/>
              <w:rPr>
                <w:sz w:val="16"/>
                <w:szCs w:val="16"/>
                <w:color w:val="auto"/>
              </w:rPr>
            </w:pPr>
          </w:p>
        </w:tc>
      </w:tr>
      <w:tr>
        <w:trPr>
          <w:trHeight w:val="195"/>
        </w:trPr>
        <w:tc>
          <w:tcPr>
            <w:tcW w:w="56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“Optional Sinking Fund Payment”</w:t>
            </w:r>
          </w:p>
        </w:tc>
        <w:tc>
          <w:tcPr>
            <w:tcW w:w="5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560" w:type="dxa"/>
            <w:vAlign w:val="bottom"/>
          </w:tcPr>
          <w:p>
            <w:pPr>
              <w:spacing w:after="0"/>
              <w:rPr>
                <w:sz w:val="16"/>
                <w:szCs w:val="16"/>
                <w:color w:val="auto"/>
              </w:rPr>
            </w:pPr>
          </w:p>
        </w:tc>
      </w:tr>
      <w:tr>
        <w:trPr>
          <w:trHeight w:val="195"/>
        </w:trPr>
        <w:tc>
          <w:tcPr>
            <w:tcW w:w="56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“Paying Agent”</w:t>
            </w:r>
          </w:p>
        </w:tc>
        <w:tc>
          <w:tcPr>
            <w:tcW w:w="5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560" w:type="dxa"/>
            <w:vAlign w:val="bottom"/>
          </w:tcPr>
          <w:p>
            <w:pPr>
              <w:spacing w:after="0"/>
              <w:rPr>
                <w:sz w:val="16"/>
                <w:szCs w:val="16"/>
                <w:color w:val="auto"/>
              </w:rPr>
            </w:pPr>
          </w:p>
        </w:tc>
      </w:tr>
      <w:tr>
        <w:trPr>
          <w:trHeight w:val="195"/>
        </w:trPr>
        <w:tc>
          <w:tcPr>
            <w:tcW w:w="56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“Registrar”</w:t>
            </w:r>
          </w:p>
        </w:tc>
        <w:tc>
          <w:tcPr>
            <w:tcW w:w="5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560" w:type="dxa"/>
            <w:vAlign w:val="bottom"/>
          </w:tcPr>
          <w:p>
            <w:pPr>
              <w:spacing w:after="0"/>
              <w:rPr>
                <w:sz w:val="16"/>
                <w:szCs w:val="16"/>
                <w:color w:val="auto"/>
              </w:rPr>
            </w:pPr>
          </w:p>
        </w:tc>
      </w:tr>
      <w:tr>
        <w:trPr>
          <w:trHeight w:val="211"/>
        </w:trPr>
        <w:tc>
          <w:tcPr>
            <w:tcW w:w="5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“Successor Company”</w:t>
            </w:r>
          </w:p>
        </w:tc>
        <w:tc>
          <w:tcPr>
            <w:tcW w:w="5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560" w:type="dxa"/>
            <w:vAlign w:val="bottom"/>
          </w:tcPr>
          <w:p>
            <w:pPr>
              <w:spacing w:after="0"/>
              <w:rPr>
                <w:sz w:val="18"/>
                <w:szCs w:val="18"/>
                <w:color w:val="auto"/>
              </w:rPr>
            </w:pPr>
          </w:p>
        </w:tc>
      </w:tr>
      <w:tr>
        <w:trPr>
          <w:trHeight w:val="485"/>
        </w:trPr>
        <w:tc>
          <w:tcPr>
            <w:tcW w:w="5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40" w:type="dxa"/>
            <w:vAlign w:val="bottom"/>
          </w:tcPr>
          <w:p>
            <w:pPr>
              <w:jc w:val="right"/>
              <w:ind w:right="3700"/>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9"/>
        </w:trPr>
        <w:tc>
          <w:tcPr>
            <w:tcW w:w="560" w:type="dxa"/>
            <w:vAlign w:val="bottom"/>
            <w:tcBorders>
              <w:bottom w:val="single" w:sz="8" w:color="auto"/>
            </w:tcBorders>
          </w:tcPr>
          <w:p>
            <w:pPr>
              <w:spacing w:after="0"/>
              <w:rPr>
                <w:sz w:val="3"/>
                <w:szCs w:val="3"/>
                <w:color w:val="auto"/>
              </w:rPr>
            </w:pPr>
          </w:p>
        </w:tc>
        <w:tc>
          <w:tcPr>
            <w:tcW w:w="4840" w:type="dxa"/>
            <w:vAlign w:val="bottom"/>
            <w:tcBorders>
              <w:bottom w:val="single" w:sz="8" w:color="auto"/>
            </w:tcBorders>
          </w:tcPr>
          <w:p>
            <w:pPr>
              <w:spacing w:after="0"/>
              <w:rPr>
                <w:sz w:val="3"/>
                <w:szCs w:val="3"/>
                <w:color w:val="auto"/>
              </w:rPr>
            </w:pPr>
          </w:p>
        </w:tc>
        <w:tc>
          <w:tcPr>
            <w:tcW w:w="4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bl>
    <w:p>
      <w:pPr>
        <w:sectPr>
          <w:pgSz w:w="11900" w:h="16838" w:orient="portrait"/>
          <w:cols w:equalWidth="0" w:num="1">
            <w:col w:w="11263"/>
          </w:cols>
          <w:pgMar w:left="317" w:top="123" w:right="319" w:bottom="1440" w:gutter="0" w:footer="0" w:header="0"/>
        </w:sectPr>
      </w:pPr>
    </w:p>
    <w:bookmarkStart w:id="69" w:name="page70"/>
    <w:bookmarkEnd w:id="69"/>
    <w:p>
      <w:pPr>
        <w:ind w:left="580"/>
        <w:spacing w:after="0"/>
        <w:rPr>
          <w:sz w:val="20"/>
          <w:szCs w:val="20"/>
          <w:color w:val="auto"/>
        </w:rPr>
      </w:pPr>
      <w:r>
        <w:rPr>
          <w:rFonts w:ascii="Times New Roman" w:cs="Times New Roman" w:eastAsia="Times New Roman" w:hAnsi="Times New Roman"/>
          <w:sz w:val="16"/>
          <w:szCs w:val="16"/>
          <w:i w:val="1"/>
          <w:iCs w:val="1"/>
          <w:color w:val="auto"/>
        </w:rPr>
        <w:t>Section 1.03. Rules of Construction.</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Unless the context otherwise requires:</w:t>
      </w:r>
    </w:p>
    <w:p>
      <w:pPr>
        <w:spacing w:after="0" w:line="206" w:lineRule="exact"/>
        <w:rPr>
          <w:sz w:val="20"/>
          <w:szCs w:val="20"/>
          <w:color w:val="auto"/>
        </w:rPr>
      </w:pPr>
    </w:p>
    <w:p>
      <w:pPr>
        <w:ind w:left="1440" w:hanging="273"/>
        <w:spacing w:after="0"/>
        <w:tabs>
          <w:tab w:leader="none" w:pos="14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term has the meaning assigned to it herein, whether defined expressly or by reference;</w:t>
      </w:r>
    </w:p>
    <w:p>
      <w:pPr>
        <w:spacing w:after="0" w:line="205" w:lineRule="exact"/>
        <w:rPr>
          <w:rFonts w:ascii="Times New Roman" w:cs="Times New Roman" w:eastAsia="Times New Roman" w:hAnsi="Times New Roman"/>
          <w:sz w:val="16"/>
          <w:szCs w:val="16"/>
          <w:color w:val="auto"/>
        </w:rPr>
      </w:pPr>
    </w:p>
    <w:p>
      <w:pPr>
        <w:ind w:left="580" w:firstLine="587"/>
        <w:spacing w:after="0" w:line="288" w:lineRule="auto"/>
        <w:tabs>
          <w:tab w:leader="none" w:pos="1435"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specified herein, all accounting terms used herein shall be interpreted, all accounting determinations hereunder shall be made, and all financial statements required to be delivered hereunder shall be prepared in accordance with GAAP;</w:t>
      </w:r>
    </w:p>
    <w:p>
      <w:pPr>
        <w:spacing w:after="0" w:line="14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 is not exclusive;</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words in the singular include the plural, and in the plural include the singular;</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shall be interpreted to express a command;</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words used herein implying any gender shall apply to both genders;</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“herein,” “hereof,” “hereunder” and other words of similar import refer to this Indenture as a whole and not to any particular Article, Section or other</w:t>
      </w:r>
    </w:p>
    <w:p>
      <w:pPr>
        <w:spacing w:after="0" w:line="2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subsection;</w:t>
      </w:r>
    </w:p>
    <w:p>
      <w:pPr>
        <w:spacing w:after="0" w:line="189" w:lineRule="exact"/>
        <w:rPr>
          <w:rFonts w:ascii="Times New Roman" w:cs="Times New Roman" w:eastAsia="Times New Roman" w:hAnsi="Times New Roman"/>
          <w:sz w:val="16"/>
          <w:szCs w:val="16"/>
          <w:color w:val="auto"/>
        </w:rPr>
      </w:pPr>
    </w:p>
    <w:p>
      <w:pPr>
        <w:ind w:left="580" w:right="500" w:firstLine="587"/>
        <w:spacing w:after="0" w:line="288" w:lineRule="auto"/>
        <w:tabs>
          <w:tab w:leader="none" w:pos="1435"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“U.S. Dollars” and “United States Dollars” each refer to United States dollars, or such other money of the United States that at the time of payment is legal tender for payment of public and private debts;</w:t>
      </w:r>
    </w:p>
    <w:p>
      <w:pPr>
        <w:spacing w:after="0" w:line="143" w:lineRule="exact"/>
        <w:rPr>
          <w:rFonts w:ascii="Times New Roman" w:cs="Times New Roman" w:eastAsia="Times New Roman" w:hAnsi="Times New Roman"/>
          <w:sz w:val="16"/>
          <w:szCs w:val="16"/>
          <w:color w:val="auto"/>
        </w:rPr>
      </w:pPr>
    </w:p>
    <w:p>
      <w:pPr>
        <w:ind w:left="580" w:right="100" w:firstLine="587"/>
        <w:spacing w:after="0" w:line="288" w:lineRule="auto"/>
        <w:tabs>
          <w:tab w:leader="none" w:pos="1435"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sections of or rules under the Securities Act will be deemed to include substitute, replacement of successor sections or rules adopted by the Commission from time to time;</w:t>
      </w:r>
    </w:p>
    <w:p>
      <w:pPr>
        <w:spacing w:after="0" w:line="143" w:lineRule="exact"/>
        <w:rPr>
          <w:rFonts w:ascii="Times New Roman" w:cs="Times New Roman" w:eastAsia="Times New Roman" w:hAnsi="Times New Roman"/>
          <w:sz w:val="16"/>
          <w:szCs w:val="16"/>
          <w:color w:val="auto"/>
        </w:rPr>
      </w:pPr>
    </w:p>
    <w:p>
      <w:pPr>
        <w:ind w:left="1520" w:hanging="353"/>
        <w:spacing w:after="0"/>
        <w:tabs>
          <w:tab w:leader="none" w:pos="15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Sections, Articles or Exhibits are references to Sections, Articles or Exhibits of or to this Indenture unless context otherwise requires;</w:t>
      </w:r>
    </w:p>
    <w:p>
      <w:pPr>
        <w:spacing w:after="0" w:line="2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w:t>
      </w:r>
    </w:p>
    <w:p>
      <w:pPr>
        <w:spacing w:after="0" w:line="189" w:lineRule="exact"/>
        <w:rPr>
          <w:rFonts w:ascii="Times New Roman" w:cs="Times New Roman" w:eastAsia="Times New Roman" w:hAnsi="Times New Roman"/>
          <w:sz w:val="16"/>
          <w:szCs w:val="16"/>
          <w:color w:val="auto"/>
        </w:rPr>
      </w:pPr>
    </w:p>
    <w:p>
      <w:pPr>
        <w:ind w:left="580" w:right="440" w:firstLine="587"/>
        <w:spacing w:after="0" w:line="288" w:lineRule="auto"/>
        <w:tabs>
          <w:tab w:leader="none" w:pos="151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the payment of principal amount of Securities shall, in the case of Original Issue Discount Securities, be read as payment of such portion of principal amount as may be specified in the terms of such series.</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1.04. Incorporation by Reference of Trust Indenture Act.</w:t>
      </w:r>
    </w:p>
    <w:p>
      <w:pPr>
        <w:spacing w:after="0" w:line="208" w:lineRule="exact"/>
        <w:rPr>
          <w:sz w:val="20"/>
          <w:szCs w:val="20"/>
          <w:color w:val="auto"/>
        </w:rPr>
      </w:pPr>
    </w:p>
    <w:p>
      <w:pPr>
        <w:ind w:right="40" w:firstLine="585"/>
        <w:spacing w:after="0" w:line="288" w:lineRule="auto"/>
        <w:rPr>
          <w:sz w:val="20"/>
          <w:szCs w:val="20"/>
          <w:color w:val="auto"/>
        </w:rPr>
      </w:pPr>
      <w:r>
        <w:rPr>
          <w:rFonts w:ascii="Times New Roman" w:cs="Times New Roman" w:eastAsia="Times New Roman" w:hAnsi="Times New Roman"/>
          <w:sz w:val="16"/>
          <w:szCs w:val="16"/>
          <w:color w:val="auto"/>
        </w:rPr>
        <w:t>Whenever this Indenture refers to a provision of the TIA, the portion of such provision required to be incorporated herein in order for this Indenture to be qualified under the TIA is incorporated by reference in and made a part of this Indenture. The following TIA terms used in this Indenture have the following meanings:</w:t>
      </w:r>
    </w:p>
    <w:p>
      <w:pPr>
        <w:spacing w:after="0" w:line="1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“indenture securities” means the Securities.</w:t>
      </w: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“indenture securityholder” means a Holder.</w:t>
      </w: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“indenture to be qualified” means this Indenture.</w:t>
      </w: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“indenture trustee” or “institutional trustee” means the Trustee.</w:t>
      </w: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“obligor on this indenture securities” means the Company or any other obligor on the Securities.</w:t>
      </w:r>
    </w:p>
    <w:p>
      <w:pPr>
        <w:spacing w:after="0" w:line="206" w:lineRule="exact"/>
        <w:rPr>
          <w:sz w:val="20"/>
          <w:szCs w:val="20"/>
          <w:color w:val="auto"/>
        </w:rPr>
      </w:pPr>
    </w:p>
    <w:p>
      <w:pPr>
        <w:ind w:right="40" w:firstLine="585"/>
        <w:spacing w:after="0" w:line="288" w:lineRule="auto"/>
        <w:rPr>
          <w:sz w:val="20"/>
          <w:szCs w:val="20"/>
          <w:color w:val="auto"/>
        </w:rPr>
      </w:pPr>
      <w:r>
        <w:rPr>
          <w:rFonts w:ascii="Times New Roman" w:cs="Times New Roman" w:eastAsia="Times New Roman" w:hAnsi="Times New Roman"/>
          <w:sz w:val="16"/>
          <w:szCs w:val="16"/>
          <w:color w:val="auto"/>
        </w:rPr>
        <w:t>All other terms used in this Indenture (other than those defined herein) that are defined by the TIA, defined in the TIA by reference to another statute or defined by Commission rule have the meanings therein assigned to them.</w:t>
      </w: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0" w:name="page71"/>
    <w:bookmarkEnd w:id="70"/>
    <w:p>
      <w:pPr>
        <w:jc w:val="center"/>
        <w:ind w:left="560"/>
        <w:spacing w:after="0"/>
        <w:rPr>
          <w:sz w:val="20"/>
          <w:szCs w:val="20"/>
          <w:color w:val="auto"/>
        </w:rPr>
      </w:pPr>
      <w:r>
        <w:rPr>
          <w:rFonts w:ascii="Times New Roman" w:cs="Times New Roman" w:eastAsia="Times New Roman" w:hAnsi="Times New Roman"/>
          <w:sz w:val="16"/>
          <w:szCs w:val="16"/>
          <w:color w:val="auto"/>
        </w:rPr>
        <w:t>ARTICLE II</w:t>
      </w:r>
    </w:p>
    <w:p>
      <w:pPr>
        <w:spacing w:after="0" w:line="2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THE SECURITIES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2.01. Terms of the Securities.</w:t>
      </w:r>
    </w:p>
    <w:p>
      <w:pPr>
        <w:spacing w:after="0" w:line="208" w:lineRule="exact"/>
        <w:rPr>
          <w:sz w:val="20"/>
          <w:szCs w:val="20"/>
          <w:color w:val="auto"/>
        </w:rPr>
      </w:pPr>
    </w:p>
    <w:p>
      <w:pPr>
        <w:ind w:firstLine="582"/>
        <w:spacing w:after="0" w:line="261" w:lineRule="auto"/>
        <w:tabs>
          <w:tab w:leader="none" w:pos="846"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Securities of each series shall be substantially in the form set forth in a Company Order or in one or more indentures supplemental hereto, and shall have such appropriate insertions, omissions, substitutions and other variations as are required or permitted by this Indenture,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securities exchange on which any series of the Securities may be listed or of any automated quotation system on which any such series may be quoted, or to conform to usage, all as determined by the officers executing such Securities as conclusively evidenced by their execution of such Securities.</w:t>
      </w:r>
    </w:p>
    <w:p>
      <w:pPr>
        <w:spacing w:after="0" w:line="163" w:lineRule="exact"/>
        <w:rPr>
          <w:rFonts w:ascii="Times New Roman" w:cs="Times New Roman" w:eastAsia="Times New Roman" w:hAnsi="Times New Roman"/>
          <w:sz w:val="16"/>
          <w:szCs w:val="16"/>
          <w:color w:val="auto"/>
        </w:rPr>
      </w:pPr>
    </w:p>
    <w:p>
      <w:pPr>
        <w:ind w:right="300" w:firstLine="582"/>
        <w:spacing w:after="0" w:line="288" w:lineRule="auto"/>
        <w:tabs>
          <w:tab w:leader="none" w:pos="85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and provisions of the Securities shall constitute, and are expressly made, a part of this Indenture, and, to the extent applicable, the Company, any Guarantors and the Trustee, by their execution and delivery of this Indenture, expressly agree to such terms and provisions and agree to be bound thereby.</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2.02. Amount Unlimited; Issuable in Series.</w:t>
      </w:r>
    </w:p>
    <w:p>
      <w:pPr>
        <w:spacing w:after="0" w:line="208" w:lineRule="exact"/>
        <w:rPr>
          <w:sz w:val="20"/>
          <w:szCs w:val="20"/>
          <w:color w:val="auto"/>
        </w:rPr>
      </w:pPr>
    </w:p>
    <w:p>
      <w:pPr>
        <w:ind w:right="360" w:firstLine="585"/>
        <w:spacing w:after="0" w:line="288" w:lineRule="auto"/>
        <w:rPr>
          <w:sz w:val="20"/>
          <w:szCs w:val="20"/>
          <w:color w:val="auto"/>
        </w:rPr>
      </w:pPr>
      <w:r>
        <w:rPr>
          <w:rFonts w:ascii="Times New Roman" w:cs="Times New Roman" w:eastAsia="Times New Roman" w:hAnsi="Times New Roman"/>
          <w:sz w:val="16"/>
          <w:szCs w:val="16"/>
          <w:color w:val="auto"/>
        </w:rPr>
        <w:t>The aggregate principal amount of Securities that may be authenticated and delivered under this Indenture is unlimited. The Securities may be issued in one or more series. There shall be set forth in a Company Order or in one or more indentures supplemental hereto, at or prior to the issuance of Securities of any series:</w:t>
      </w:r>
    </w:p>
    <w:p>
      <w:pPr>
        <w:spacing w:after="0" w:line="143" w:lineRule="exact"/>
        <w:rPr>
          <w:sz w:val="20"/>
          <w:szCs w:val="20"/>
          <w:color w:val="auto"/>
        </w:rPr>
      </w:pPr>
    </w:p>
    <w:p>
      <w:pPr>
        <w:ind w:right="480" w:firstLine="582"/>
        <w:spacing w:after="0" w:line="288" w:lineRule="auto"/>
        <w:tabs>
          <w:tab w:leader="none" w:pos="846"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of the Securities of the series (which shall distinguish the Securities of such series from the Securities of all other series, except to the extent that Additional Securities of an existing series are being issued);</w:t>
      </w:r>
    </w:p>
    <w:p>
      <w:pPr>
        <w:spacing w:after="0" w:line="143" w:lineRule="exact"/>
        <w:rPr>
          <w:rFonts w:ascii="Times New Roman" w:cs="Times New Roman" w:eastAsia="Times New Roman" w:hAnsi="Times New Roman"/>
          <w:sz w:val="16"/>
          <w:szCs w:val="16"/>
          <w:color w:val="auto"/>
        </w:rPr>
      </w:pPr>
    </w:p>
    <w:p>
      <w:pPr>
        <w:ind w:right="60" w:firstLine="582"/>
        <w:spacing w:after="0" w:line="288" w:lineRule="auto"/>
        <w:tabs>
          <w:tab w:leader="none" w:pos="855"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limit upon the aggregate principal amount of the Securities of the series that may be authenticated and delivered under this Indenture (except for Securities authenticated and delivered upon transfer of, or in exchange for, or in lieu of, other Securities of such series pursuant to Section 2.08, 2.09, 2.12, 2.17, 3.07 or 8.04);</w:t>
      </w:r>
    </w:p>
    <w:p>
      <w:pPr>
        <w:spacing w:after="0" w:line="143" w:lineRule="exact"/>
        <w:rPr>
          <w:rFonts w:ascii="Times New Roman" w:cs="Times New Roman" w:eastAsia="Times New Roman" w:hAnsi="Times New Roman"/>
          <w:sz w:val="16"/>
          <w:szCs w:val="16"/>
          <w:color w:val="auto"/>
        </w:rPr>
      </w:pPr>
    </w:p>
    <w:p>
      <w:pPr>
        <w:ind w:right="100" w:firstLine="582"/>
        <w:spacing w:after="0" w:line="288" w:lineRule="auto"/>
        <w:tabs>
          <w:tab w:leader="none" w:pos="846"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dates on which or periods during which the Securities of the series may be issued, and the dates on, or the range of dates within, which the principal of and premium, if any, on the Securities of such series are or may be payable or the method by which such date or dates shall be determined or extended;</w:t>
      </w:r>
    </w:p>
    <w:p>
      <w:pPr>
        <w:spacing w:after="0" w:line="143" w:lineRule="exact"/>
        <w:rPr>
          <w:rFonts w:ascii="Times New Roman" w:cs="Times New Roman" w:eastAsia="Times New Roman" w:hAnsi="Times New Roman"/>
          <w:sz w:val="16"/>
          <w:szCs w:val="16"/>
          <w:color w:val="auto"/>
        </w:rPr>
      </w:pPr>
    </w:p>
    <w:p>
      <w:pPr>
        <w:ind w:right="80" w:firstLine="582"/>
        <w:spacing w:after="0" w:line="261" w:lineRule="auto"/>
        <w:tabs>
          <w:tab w:leader="none" w:pos="855"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rate or rates at which the Securities of the series shall bear interest, if any, or the method by which such rate or rates shall be determined, whether such interest shall be payable in cash or Additional Securities of the same series or shall accrue and increase the aggregate principal amount outstanding of such series (including if such Securities were originally issued at a discount), the date or dates from which such interest shall accrue, or the method by which such date or dates shall be determined, the Interest Payment Dates on which any such interest shall be payable, and the record dates for the determination of Holders to whom interest is payable on such Interest Payment Dates or the method by which such date or dates shall be determined, the right, if any, to extend or defer interest payments and the duration of such extension or deferral;</w:t>
      </w:r>
    </w:p>
    <w:p>
      <w:pPr>
        <w:spacing w:after="0" w:line="163" w:lineRule="exact"/>
        <w:rPr>
          <w:rFonts w:ascii="Times New Roman" w:cs="Times New Roman" w:eastAsia="Times New Roman" w:hAnsi="Times New Roman"/>
          <w:sz w:val="16"/>
          <w:szCs w:val="16"/>
          <w:color w:val="auto"/>
        </w:rPr>
      </w:pPr>
    </w:p>
    <w:p>
      <w:pPr>
        <w:ind w:right="20" w:firstLine="582"/>
        <w:spacing w:after="0" w:line="288" w:lineRule="auto"/>
        <w:tabs>
          <w:tab w:leader="none" w:pos="846"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other than U.S. Dollars, the Foreign Currency in which Securities of the series shall be denominated or in which payment of the principal of, premium, if any, or interest on the Securities of the series shall be payable and any other terms concerning such payment;</w:t>
      </w:r>
    </w:p>
    <w:p>
      <w:pPr>
        <w:spacing w:after="0" w:line="143" w:lineRule="exact"/>
        <w:rPr>
          <w:rFonts w:ascii="Times New Roman" w:cs="Times New Roman" w:eastAsia="Times New Roman" w:hAnsi="Times New Roman"/>
          <w:sz w:val="16"/>
          <w:szCs w:val="16"/>
          <w:color w:val="auto"/>
        </w:rPr>
      </w:pPr>
    </w:p>
    <w:p>
      <w:pPr>
        <w:ind w:right="80" w:firstLine="582"/>
        <w:spacing w:after="0" w:line="271" w:lineRule="auto"/>
        <w:tabs>
          <w:tab w:leader="none" w:pos="828"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amount of payment of principal of, premium, if any, or interest on the Securities of the series may be determined with reference to an index, formula or other method, including, but not limited to, an index based on a Currency or Currencies other than that in which the Securities are stated to be payable, the manner in which such amounts shall be determined;</w:t>
      </w:r>
    </w:p>
    <w:p>
      <w:pPr>
        <w:spacing w:after="0" w:line="156" w:lineRule="exact"/>
        <w:rPr>
          <w:rFonts w:ascii="Times New Roman" w:cs="Times New Roman" w:eastAsia="Times New Roman" w:hAnsi="Times New Roman"/>
          <w:sz w:val="16"/>
          <w:szCs w:val="16"/>
          <w:color w:val="auto"/>
        </w:rPr>
      </w:pPr>
    </w:p>
    <w:p>
      <w:pPr>
        <w:ind w:right="100" w:firstLine="582"/>
        <w:spacing w:after="0" w:line="265" w:lineRule="auto"/>
        <w:tabs>
          <w:tab w:leader="none" w:pos="855"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principal of, premium, if any, or interest on Securities of the series is to be payable, at the election of the Company or a Holder thereof, in a Currency other than that in which the Securities are denominated or stated to be payable without such election, the period or periods within which, and the terms and conditions upon which, such election may be made and the time and the manner of determining the exchange rate between the Currency in which the Securities are denominated or payable without such election and the Currency in which the Securities are to be paid if such election is made;</w:t>
      </w:r>
    </w:p>
    <w:p>
      <w:pPr>
        <w:spacing w:after="0" w:line="161" w:lineRule="exact"/>
        <w:rPr>
          <w:rFonts w:ascii="Times New Roman" w:cs="Times New Roman" w:eastAsia="Times New Roman" w:hAnsi="Times New Roman"/>
          <w:sz w:val="16"/>
          <w:szCs w:val="16"/>
          <w:color w:val="auto"/>
        </w:rPr>
      </w:pPr>
    </w:p>
    <w:p>
      <w:pPr>
        <w:ind w:right="260" w:firstLine="582"/>
        <w:spacing w:after="0" w:line="271" w:lineRule="auto"/>
        <w:tabs>
          <w:tab w:leader="none" w:pos="855"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place or places, if any, in addition to or instead of the Corporate Trust Office of the Trustee where the principal of, premium, if any, and interest on Securities of the series shall be payable, and where Securities of such series may be presented for registration of transfer, exchange or conversion, and the place or places where notices and demands to or upon the Company in respect of the Securities of such series may be made;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ind w:right="120" w:firstLine="582"/>
        <w:spacing w:after="0" w:line="288" w:lineRule="auto"/>
        <w:tabs>
          <w:tab w:leader="none" w:pos="819"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or prices at which, the period or periods within which or the date or dates on which, and the terms and conditions upon which, Securities of the series may be redeemed, in whole or in part, at the option of the Company, if the Company is to have that option;</w:t>
      </w:r>
    </w:p>
    <w:p>
      <w:pPr>
        <w:spacing w:after="0" w:line="143" w:lineRule="exact"/>
        <w:rPr>
          <w:rFonts w:ascii="Times New Roman" w:cs="Times New Roman" w:eastAsia="Times New Roman" w:hAnsi="Times New Roman"/>
          <w:sz w:val="16"/>
          <w:szCs w:val="16"/>
          <w:color w:val="auto"/>
        </w:rPr>
      </w:pPr>
    </w:p>
    <w:p>
      <w:pPr>
        <w:ind w:right="100" w:firstLine="582"/>
        <w:spacing w:after="0" w:line="271" w:lineRule="auto"/>
        <w:tabs>
          <w:tab w:leader="none" w:pos="819"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or right, if any, of the Company to redeem, purchase or repay Securities of the series pursuant to any sinking fund, amortization or analogous provisions or at the option of a Holder thereof and the price or prices at which, the period or periods within which or the date or dates on which, the Currency or Currencies in which and the terms and conditions upon which Securities of the series shall be redeemed, purchased or repaid, in whole or in part, pursuant to such obligation;</w:t>
      </w:r>
    </w:p>
    <w:p>
      <w:pPr>
        <w:spacing w:after="0" w:line="156"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other than denominations of $2,000 or any integral multiple of $1,000 in excess thereof, the denominations in which Securities of the series shall be issuable;</w:t>
      </w:r>
    </w:p>
    <w:p>
      <w:pPr>
        <w:spacing w:after="0" w:line="205" w:lineRule="exact"/>
        <w:rPr>
          <w:rFonts w:ascii="Times New Roman" w:cs="Times New Roman" w:eastAsia="Times New Roman" w:hAnsi="Times New Roman"/>
          <w:sz w:val="16"/>
          <w:szCs w:val="16"/>
          <w:color w:val="auto"/>
        </w:rPr>
      </w:pPr>
    </w:p>
    <w:p>
      <w:pPr>
        <w:ind w:right="660" w:firstLine="582"/>
        <w:spacing w:after="0" w:line="288" w:lineRule="auto"/>
        <w:tabs>
          <w:tab w:leader="none" w:pos="819"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other than the principal amount thereof, the portion of the principal amount of the Securities of the series which shall be payable upon declaration of acceleration of the maturity thereof pursuant to Section 6.02;</w:t>
      </w:r>
    </w:p>
    <w:p>
      <w:pPr>
        <w:spacing w:after="0" w:line="143" w:lineRule="exact"/>
        <w:rPr>
          <w:rFonts w:ascii="Times New Roman" w:cs="Times New Roman" w:eastAsia="Times New Roman" w:hAnsi="Times New Roman"/>
          <w:sz w:val="16"/>
          <w:szCs w:val="16"/>
          <w:color w:val="auto"/>
        </w:rPr>
      </w:pPr>
    </w:p>
    <w:p>
      <w:pPr>
        <w:ind w:firstLine="582"/>
        <w:spacing w:after="0" w:line="288" w:lineRule="auto"/>
        <w:tabs>
          <w:tab w:leader="none" w:pos="9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guarantors, if any, of the Securities of the series, and the extent of the guarantees (including provisions relating to seniority, subordination and the release of the guarantors), if any, and any additions or changes to permit or facilitate guarantees of such Securities;</w:t>
      </w:r>
    </w:p>
    <w:p>
      <w:pPr>
        <w:spacing w:after="0" w:line="143"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Securities of the series are to be issued as Original Issue Discount Securities and the amount of discount with which such Securities may be issued;</w:t>
      </w:r>
    </w:p>
    <w:p>
      <w:pPr>
        <w:spacing w:after="0" w:line="205"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addition to or change in the provisions related to satisfaction and discharge or defeasance of Securities of the series in whole or in part;</w:t>
      </w:r>
    </w:p>
    <w:p>
      <w:pPr>
        <w:spacing w:after="0" w:line="205" w:lineRule="exact"/>
        <w:rPr>
          <w:rFonts w:ascii="Times New Roman" w:cs="Times New Roman" w:eastAsia="Times New Roman" w:hAnsi="Times New Roman"/>
          <w:sz w:val="16"/>
          <w:szCs w:val="16"/>
          <w:color w:val="auto"/>
        </w:rPr>
      </w:pPr>
    </w:p>
    <w:p>
      <w:pPr>
        <w:ind w:right="160" w:firstLine="582"/>
        <w:spacing w:after="0" w:line="271" w:lineRule="auto"/>
        <w:tabs>
          <w:tab w:leader="none" w:pos="855"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Securities of the series are to be issued in whole or in part in the form of one or more Global Securities and, in such case, the Depositary for such Global Security or Global Securities, and any addition to or change in the terms and conditions upon which interests in such Global Security or Global Securities may be exchanged in whole or in part for Individual Securities;</w:t>
      </w:r>
    </w:p>
    <w:p>
      <w:pPr>
        <w:spacing w:after="0" w:line="156"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as of which any Global Security of the series shall be dated if other than the original issuance of the first Security of the series to be issued;</w:t>
      </w:r>
    </w:p>
    <w:p>
      <w:pPr>
        <w:spacing w:after="0" w:line="205" w:lineRule="exact"/>
        <w:rPr>
          <w:rFonts w:ascii="Times New Roman" w:cs="Times New Roman" w:eastAsia="Times New Roman" w:hAnsi="Times New Roman"/>
          <w:sz w:val="16"/>
          <w:szCs w:val="16"/>
          <w:color w:val="auto"/>
        </w:rPr>
      </w:pPr>
    </w:p>
    <w:p>
      <w:pPr>
        <w:ind w:left="820" w:hanging="238"/>
        <w:spacing w:after="0"/>
        <w:tabs>
          <w:tab w:leader="none" w:pos="8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form of the Securities of the series;</w:t>
      </w:r>
    </w:p>
    <w:p>
      <w:pPr>
        <w:spacing w:after="0" w:line="205" w:lineRule="exact"/>
        <w:rPr>
          <w:rFonts w:ascii="Times New Roman" w:cs="Times New Roman" w:eastAsia="Times New Roman" w:hAnsi="Times New Roman"/>
          <w:sz w:val="16"/>
          <w:szCs w:val="16"/>
          <w:color w:val="auto"/>
        </w:rPr>
      </w:pPr>
    </w:p>
    <w:p>
      <w:pPr>
        <w:ind w:right="300" w:firstLine="582"/>
        <w:spacing w:after="0" w:line="288" w:lineRule="auto"/>
        <w:tabs>
          <w:tab w:leader="none" w:pos="837"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Securities of the series are to be convertible into or exchangeable for any securities or Property of any Person (including the Company), the terms and conditions upon which such Securities will be so convertible or exchangeable, and any additions or changes, if any, to permit or facilitate such conversion or exchange;</w:t>
      </w:r>
    </w:p>
    <w:p>
      <w:pPr>
        <w:spacing w:after="0" w:line="143" w:lineRule="exact"/>
        <w:rPr>
          <w:rFonts w:ascii="Times New Roman" w:cs="Times New Roman" w:eastAsia="Times New Roman" w:hAnsi="Times New Roman"/>
          <w:sz w:val="16"/>
          <w:szCs w:val="16"/>
          <w:color w:val="auto"/>
        </w:rPr>
      </w:pPr>
    </w:p>
    <w:p>
      <w:pPr>
        <w:ind w:left="820" w:hanging="238"/>
        <w:spacing w:after="0"/>
        <w:tabs>
          <w:tab w:leader="none" w:pos="8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Securities of such series are subject to subordination and the terms of such subordination;</w:t>
      </w:r>
    </w:p>
    <w:p>
      <w:pPr>
        <w:spacing w:after="0" w:line="205"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restriction or condition on the transferability of the Securities of such series;</w:t>
      </w:r>
    </w:p>
    <w:p>
      <w:pPr>
        <w:spacing w:after="0" w:line="205"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addition to or change in the provisions related to compensation and reimbursement of the Trustee which applies to Securities of such series;</w:t>
      </w:r>
    </w:p>
    <w:p>
      <w:pPr>
        <w:spacing w:after="0" w:line="205" w:lineRule="exact"/>
        <w:rPr>
          <w:rFonts w:ascii="Times New Roman" w:cs="Times New Roman" w:eastAsia="Times New Roman" w:hAnsi="Times New Roman"/>
          <w:sz w:val="16"/>
          <w:szCs w:val="16"/>
          <w:color w:val="auto"/>
        </w:rPr>
      </w:pPr>
    </w:p>
    <w:p>
      <w:pPr>
        <w:ind w:left="880" w:hanging="298"/>
        <w:spacing w:after="0"/>
        <w:tabs>
          <w:tab w:leader="none" w:pos="8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addition to or change in the provisions related to supplemental indentures set forth in Sections 8.02 and 8.07 which applies to Securities of such series;</w:t>
      </w:r>
    </w:p>
    <w:p>
      <w:pPr>
        <w:spacing w:after="0" w:line="205"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if any, granting special rights to Holders upon the occurrence of specified events;</w:t>
      </w:r>
    </w:p>
    <w:p>
      <w:pPr>
        <w:spacing w:after="0" w:line="205" w:lineRule="exact"/>
        <w:rPr>
          <w:rFonts w:ascii="Times New Roman" w:cs="Times New Roman" w:eastAsia="Times New Roman" w:hAnsi="Times New Roman"/>
          <w:sz w:val="16"/>
          <w:szCs w:val="16"/>
          <w:color w:val="auto"/>
        </w:rPr>
      </w:pPr>
    </w:p>
    <w:p>
      <w:pPr>
        <w:jc w:val="both"/>
        <w:ind w:right="20" w:firstLine="582"/>
        <w:spacing w:after="0" w:line="271" w:lineRule="auto"/>
        <w:tabs>
          <w:tab w:leader="none" w:pos="855"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addition to or change in the Events of Default which applies to Securities of the series and any change in the right of the Trustee or the requisite Holders of such Securities to declare the principal amount thereof due and payable pursuant to Section 6.02 and any addition to or change in the provisions set forth in Article VI which applies to Securities of the series;</w:t>
      </w:r>
    </w:p>
    <w:p>
      <w:pPr>
        <w:spacing w:after="0" w:line="156" w:lineRule="exact"/>
        <w:rPr>
          <w:rFonts w:ascii="Times New Roman" w:cs="Times New Roman" w:eastAsia="Times New Roman" w:hAnsi="Times New Roman"/>
          <w:sz w:val="16"/>
          <w:szCs w:val="16"/>
          <w:color w:val="auto"/>
        </w:rPr>
      </w:pPr>
    </w:p>
    <w:p>
      <w:pPr>
        <w:ind w:right="220" w:firstLine="582"/>
        <w:spacing w:after="0" w:line="288" w:lineRule="auto"/>
        <w:tabs>
          <w:tab w:leader="none" w:pos="846"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Securities of such series will be secured by any collateral and, if so, the terms and conditions upon which such Securities shall be secured and, if applicable, upon which such liens may be subordinated to other liens securing other Indebtedness of the Company or any Guarantor;</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ind w:left="920" w:hanging="338"/>
        <w:spacing w:after="0"/>
        <w:tabs>
          <w:tab w:leader="none" w:pos="9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addition to or change in the covenants set forth in Article IV or Article V which applies to Securities of the series; and</w:t>
      </w:r>
    </w:p>
    <w:p>
      <w:pPr>
        <w:spacing w:after="0" w:line="205" w:lineRule="exact"/>
        <w:rPr>
          <w:rFonts w:ascii="Times New Roman" w:cs="Times New Roman" w:eastAsia="Times New Roman" w:hAnsi="Times New Roman"/>
          <w:sz w:val="16"/>
          <w:szCs w:val="16"/>
          <w:color w:val="auto"/>
        </w:rPr>
      </w:pPr>
    </w:p>
    <w:p>
      <w:pPr>
        <w:ind w:right="140" w:firstLine="582"/>
        <w:spacing w:after="0" w:line="288" w:lineRule="auto"/>
        <w:tabs>
          <w:tab w:leader="none" w:pos="93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terms of the Securities of such series (which terms shall not be inconsistent with the provisions of the TIA, but may modify, amend, supplement or delete any of the terms of this Indenture with respect to such series).</w:t>
      </w:r>
    </w:p>
    <w:p>
      <w:pPr>
        <w:spacing w:after="0" w:line="143" w:lineRule="exact"/>
        <w:rPr>
          <w:sz w:val="20"/>
          <w:szCs w:val="20"/>
          <w:color w:val="auto"/>
        </w:rPr>
      </w:pPr>
    </w:p>
    <w:p>
      <w:pPr>
        <w:ind w:right="660" w:firstLine="585"/>
        <w:spacing w:after="0" w:line="288" w:lineRule="auto"/>
        <w:rPr>
          <w:sz w:val="20"/>
          <w:szCs w:val="20"/>
          <w:color w:val="auto"/>
        </w:rPr>
      </w:pPr>
      <w:r>
        <w:rPr>
          <w:rFonts w:ascii="Times New Roman" w:cs="Times New Roman" w:eastAsia="Times New Roman" w:hAnsi="Times New Roman"/>
          <w:sz w:val="16"/>
          <w:szCs w:val="16"/>
          <w:color w:val="auto"/>
        </w:rPr>
        <w:t>All Securities of any one series shall be substantially identical, except as to denomination and except as may otherwise be provided herein or set forth in a Company Order or in one or more indentures supplemental hereto.</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2.03. Execution and Authentication.</w:t>
      </w:r>
    </w:p>
    <w:p>
      <w:pPr>
        <w:spacing w:after="0" w:line="208" w:lineRule="exact"/>
        <w:rPr>
          <w:sz w:val="20"/>
          <w:szCs w:val="20"/>
          <w:color w:val="auto"/>
        </w:rPr>
      </w:pPr>
    </w:p>
    <w:p>
      <w:pPr>
        <w:ind w:right="140" w:firstLine="582"/>
        <w:spacing w:after="0" w:line="265" w:lineRule="auto"/>
        <w:tabs>
          <w:tab w:leader="none" w:pos="84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Securities shall be executed on behalf of the Company by its chairman of the Board of Directors, chief executive officer, chief financial officer, controller or assistant controller, president or any vice president, any treasurer or any assistant treasurer, secretary or any assistant secretary or any other officer designated in an Officer’s Certificate. The signature of any of these officers on the Securities may be manual or electronic. Typographic and other minor defects in any electronic signature shall not affect the validity or enforceability of any Security which has been authenticated and delivered to the Trustee.</w:t>
      </w:r>
    </w:p>
    <w:p>
      <w:pPr>
        <w:spacing w:after="0" w:line="161" w:lineRule="exact"/>
        <w:rPr>
          <w:rFonts w:ascii="Times New Roman" w:cs="Times New Roman" w:eastAsia="Times New Roman" w:hAnsi="Times New Roman"/>
          <w:sz w:val="16"/>
          <w:szCs w:val="16"/>
          <w:color w:val="auto"/>
        </w:rPr>
      </w:pPr>
    </w:p>
    <w:p>
      <w:pPr>
        <w:ind w:right="160" w:firstLine="582"/>
        <w:spacing w:after="0" w:line="288" w:lineRule="auto"/>
        <w:tabs>
          <w:tab w:leader="none" w:pos="85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 Officer whose signature is on a Security was an Officer at the time of such execution but no longer holds that office at the time the Trustee authenticates the Security, the Security shall be valid nevertheless.</w:t>
      </w:r>
    </w:p>
    <w:p>
      <w:pPr>
        <w:spacing w:after="0" w:line="143" w:lineRule="exact"/>
        <w:rPr>
          <w:rFonts w:ascii="Times New Roman" w:cs="Times New Roman" w:eastAsia="Times New Roman" w:hAnsi="Times New Roman"/>
          <w:sz w:val="16"/>
          <w:szCs w:val="16"/>
          <w:color w:val="auto"/>
        </w:rPr>
      </w:pPr>
    </w:p>
    <w:p>
      <w:pPr>
        <w:ind w:right="20" w:firstLine="582"/>
        <w:spacing w:after="0" w:line="261" w:lineRule="auto"/>
        <w:tabs>
          <w:tab w:leader="none" w:pos="84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Security shall be entitled to any benefit under this Indenture or be valid or obligatory for any purpose unless there appears on such Security a certificate of authentication substantially in the form set forth in Section 2.04(a) executed by the Trustee by manual or electronic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2.13, for all purposes of this Indenture such Security shall be deemed never to have been authenticated and delivered hereunder and shall never be entitled to the benefits of this Indenture.</w:t>
      </w:r>
    </w:p>
    <w:p>
      <w:pPr>
        <w:spacing w:after="0" w:line="163" w:lineRule="exact"/>
        <w:rPr>
          <w:rFonts w:ascii="Times New Roman" w:cs="Times New Roman" w:eastAsia="Times New Roman" w:hAnsi="Times New Roman"/>
          <w:sz w:val="16"/>
          <w:szCs w:val="16"/>
          <w:color w:val="auto"/>
        </w:rPr>
      </w:pPr>
    </w:p>
    <w:p>
      <w:pPr>
        <w:ind w:right="20" w:firstLine="582"/>
        <w:spacing w:after="0" w:line="288" w:lineRule="auto"/>
        <w:tabs>
          <w:tab w:leader="none" w:pos="85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Securities shall be issuable only in fully registered form without coupons in denominations of $2,000 and any integral multiple of $1,000 in excess thereof, unless otherwise specified pursuant to Section 2.02 with respect to Securities of any series.</w:t>
      </w:r>
    </w:p>
    <w:p>
      <w:pPr>
        <w:spacing w:after="0" w:line="143" w:lineRule="exact"/>
        <w:rPr>
          <w:rFonts w:ascii="Times New Roman" w:cs="Times New Roman" w:eastAsia="Times New Roman" w:hAnsi="Times New Roman"/>
          <w:sz w:val="16"/>
          <w:szCs w:val="16"/>
          <w:color w:val="auto"/>
        </w:rPr>
      </w:pPr>
    </w:p>
    <w:p>
      <w:pPr>
        <w:jc w:val="both"/>
        <w:ind w:right="60" w:firstLine="582"/>
        <w:spacing w:after="0" w:line="262" w:lineRule="auto"/>
        <w:tabs>
          <w:tab w:leader="none" w:pos="84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if not previously delivered, a supplemental indenture or Company Order as contemplated by Section 2.02 setting forth the terms of the Securities of a series. The Trustee shall thereupon authenticate and deliver such Securities without any further action by the Company. The Company Order shall specify the amount of Securities to be authenticated and the date on which the original issue of Securities is to be authenticated.</w:t>
      </w:r>
    </w:p>
    <w:p>
      <w:pPr>
        <w:spacing w:after="0" w:line="164" w:lineRule="exact"/>
        <w:rPr>
          <w:rFonts w:ascii="Times New Roman" w:cs="Times New Roman" w:eastAsia="Times New Roman" w:hAnsi="Times New Roman"/>
          <w:sz w:val="16"/>
          <w:szCs w:val="16"/>
          <w:color w:val="auto"/>
        </w:rPr>
      </w:pPr>
    </w:p>
    <w:p>
      <w:pPr>
        <w:ind w:firstLine="582"/>
        <w:spacing w:after="0" w:line="265" w:lineRule="auto"/>
        <w:tabs>
          <w:tab w:leader="none" w:pos="828"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authenticating the Securities of any series for original issuance and accepting the additional responsibilities under this Indenture in relation to such Securities, the Trustee shall receive and (subject to Section 7.01) shall be fully protected in relying upon an Officer’s Certificate and an Opinion of Counsel, each prepared in accordance with Section 12.03, stating that the conditions precedent, if any, provided for in this Indenture relating to the authentication and delivery of such Securities have been complied with.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Such Opinion of Counsel shall further state:</w:t>
      </w:r>
    </w:p>
    <w:p>
      <w:pPr>
        <w:spacing w:after="0" w:line="206" w:lineRule="exact"/>
        <w:rPr>
          <w:sz w:val="20"/>
          <w:szCs w:val="20"/>
          <w:color w:val="auto"/>
        </w:rPr>
      </w:pPr>
    </w:p>
    <w:p>
      <w:pPr>
        <w:ind w:left="1160" w:right="100" w:hanging="578"/>
        <w:spacing w:after="0" w:line="288" w:lineRule="auto"/>
        <w:tabs>
          <w:tab w:leader="none" w:pos="11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form of such Securities has been established by a supplemental indenture or by or pursuant to a Company Order in accordance with Sections 2.01 and 2.02 and in conformity with the provisions of this Indenture;</w:t>
      </w:r>
    </w:p>
    <w:p>
      <w:pPr>
        <w:spacing w:after="0" w:line="143" w:lineRule="exact"/>
        <w:rPr>
          <w:rFonts w:ascii="Times New Roman" w:cs="Times New Roman" w:eastAsia="Times New Roman" w:hAnsi="Times New Roman"/>
          <w:sz w:val="16"/>
          <w:szCs w:val="16"/>
          <w:color w:val="auto"/>
        </w:rPr>
      </w:pPr>
    </w:p>
    <w:p>
      <w:pPr>
        <w:ind w:left="1160" w:right="440" w:hanging="578"/>
        <w:spacing w:after="0" w:line="288" w:lineRule="auto"/>
        <w:tabs>
          <w:tab w:leader="none" w:pos="11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terms of such Securities have been established in accordance with Sections 2.01 and 2.02 and in conformity with the other provisions of this Indenture; and</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ind w:left="1160" w:right="120" w:hanging="578"/>
        <w:spacing w:after="0" w:line="262" w:lineRule="auto"/>
        <w:tabs>
          <w:tab w:leader="none" w:pos="11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reorganization, moratorium, fraudulent transfer and other laws of general applicability relating to or affecting the enforcement of creditors’ rights from time to time in effect and to general equity principles, including, without limitation, concepts of materiality, reasonableness, good faith and fair dealing, regardless of whether considered in a proceeding in equity or at law.</w:t>
      </w:r>
    </w:p>
    <w:p>
      <w:pPr>
        <w:spacing w:after="0" w:line="165" w:lineRule="exact"/>
        <w:rPr>
          <w:sz w:val="20"/>
          <w:szCs w:val="20"/>
          <w:color w:val="auto"/>
        </w:rPr>
      </w:pPr>
    </w:p>
    <w:p>
      <w:pPr>
        <w:ind w:right="120" w:firstLine="582"/>
        <w:spacing w:after="0" w:line="271" w:lineRule="auto"/>
        <w:tabs>
          <w:tab w:leader="none" w:pos="855"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have the right to decline to authenticate and deliver the Securities under this Section 2.03 if the issue of the Securities pursuant to this Indenture will affect the Trustee’s own rights, duties or immunities under the Securities or this Indenture or otherwise in a manner which is not reasonably acceptable to the Trustee.</w:t>
      </w:r>
    </w:p>
    <w:p>
      <w:pPr>
        <w:spacing w:after="0" w:line="156"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Security shall be dated the date of its authentication, except as otherwise provided pursuant to Section 2.02 with respect to the Securities of such series.</w:t>
      </w:r>
    </w:p>
    <w:p>
      <w:pPr>
        <w:spacing w:after="0" w:line="205" w:lineRule="exact"/>
        <w:rPr>
          <w:rFonts w:ascii="Times New Roman" w:cs="Times New Roman" w:eastAsia="Times New Roman" w:hAnsi="Times New Roman"/>
          <w:sz w:val="16"/>
          <w:szCs w:val="16"/>
          <w:color w:val="auto"/>
        </w:rPr>
      </w:pPr>
    </w:p>
    <w:p>
      <w:pPr>
        <w:ind w:right="40" w:firstLine="582"/>
        <w:spacing w:after="0" w:line="288" w:lineRule="auto"/>
        <w:tabs>
          <w:tab w:leader="none" w:pos="819"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provisions of Section 2.01 and of this Section 2.03, if all of the Securities of any series are not to be originally issued at the same time, then the documents required to be delivered pursuant to this Section 2.03 must be delivered only once prior to the authentication and delivery of the first Security of such series.</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2.04. Forms of Certificate of Authentication.</w:t>
      </w:r>
    </w:p>
    <w:p>
      <w:pPr>
        <w:spacing w:after="0" w:line="208" w:lineRule="exact"/>
        <w:rPr>
          <w:sz w:val="20"/>
          <w:szCs w:val="20"/>
          <w:color w:val="auto"/>
        </w:rPr>
      </w:pPr>
    </w:p>
    <w:p>
      <w:pPr>
        <w:ind w:left="840" w:hanging="258"/>
        <w:spacing w:after="0"/>
        <w:tabs>
          <w:tab w:leader="none" w:pos="8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Trustee’s certificates of authentication shall be in substantially the following form:</w:t>
      </w:r>
    </w:p>
    <w:p>
      <w:pPr>
        <w:spacing w:after="0" w:line="205" w:lineRule="exact"/>
        <w:rPr>
          <w:rFonts w:ascii="Times New Roman" w:cs="Times New Roman" w:eastAsia="Times New Roman" w:hAnsi="Times New Roman"/>
          <w:sz w:val="16"/>
          <w:szCs w:val="16"/>
          <w:color w:val="auto"/>
        </w:rPr>
      </w:pPr>
    </w:p>
    <w:p>
      <w:pPr>
        <w:ind w:left="38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TRUSTEE’S CERTIFICATE OF AUTHENTICATION</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This is one of the Securities of the series designated therein referred to in the within-mentioned Senior Indenture.</w:t>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THE BANK OF NEW YORK MELLON,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as Trustee</w:t>
      </w:r>
    </w:p>
    <w:p>
      <w:pPr>
        <w:spacing w:after="0" w:line="19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17145</wp:posOffset>
            </wp:positionV>
            <wp:extent cx="320929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3209290" cy="15240"/>
                    </a:xfrm>
                    <a:prstGeom prst="rect">
                      <a:avLst/>
                    </a:prstGeom>
                    <a:noFill/>
                  </pic:spPr>
                </pic:pic>
              </a:graphicData>
            </a:graphic>
          </wp:anchor>
        </w:drawing>
      </w:r>
    </w:p>
    <w:p>
      <w:pPr>
        <w:spacing w:after="0" w:line="1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Authorized Signatory</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Dated:</w:t>
      </w:r>
    </w:p>
    <w:p>
      <w:pPr>
        <w:spacing w:after="0" w:line="206" w:lineRule="exact"/>
        <w:rPr>
          <w:sz w:val="20"/>
          <w:szCs w:val="20"/>
          <w:color w:val="auto"/>
        </w:rPr>
      </w:pPr>
    </w:p>
    <w:p>
      <w:pPr>
        <w:ind w:right="100" w:firstLine="582"/>
        <w:spacing w:after="0" w:line="288" w:lineRule="auto"/>
        <w:tabs>
          <w:tab w:leader="none" w:pos="855"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any time there shall be an Authenticating Agent appointed with respect to any series of Securities, then the Trustee’s Certificate of Authentication by such Authenticating Agent to be borne by Securities of each such series shall be substantially as follows: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TRUSTEE’S CERTIFICATE OF AUTHENTICATION</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This is one of the Securities of the series designated therein referred to in the within-mentioned Senior Indenture.</w:t>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THE BANK OF NEW YORK MELLON,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as Trustee</w:t>
      </w:r>
    </w:p>
    <w:p>
      <w:pPr>
        <w:spacing w:after="0" w:line="181" w:lineRule="exact"/>
        <w:rPr>
          <w:sz w:val="20"/>
          <w:szCs w:val="20"/>
          <w:color w:val="auto"/>
        </w:rPr>
      </w:pPr>
    </w:p>
    <w:tbl>
      <w:tblPr>
        <w:tblLayout w:type="fixed"/>
        <w:tblInd w:w="5640" w:type="dxa"/>
        <w:tblCellMar>
          <w:top w:w="0" w:type="dxa"/>
          <w:left w:w="0" w:type="dxa"/>
          <w:bottom w:w="0" w:type="dxa"/>
          <w:right w:w="0" w:type="dxa"/>
        </w:tblCellMar>
      </w:tblPr>
      <w:tr>
        <w:trPr>
          <w:trHeight w:val="184"/>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[NAME OF AUTHENTICATING AGENT]</w:t>
            </w:r>
          </w:p>
        </w:tc>
        <w:tc>
          <w:tcPr>
            <w:tcW w:w="2180" w:type="dxa"/>
            <w:vAlign w:val="bottom"/>
          </w:tcPr>
          <w:p>
            <w:pPr>
              <w:spacing w:after="0"/>
              <w:rPr>
                <w:sz w:val="16"/>
                <w:szCs w:val="16"/>
                <w:color w:val="auto"/>
              </w:rPr>
            </w:pPr>
          </w:p>
        </w:tc>
      </w:tr>
      <w:tr>
        <w:trPr>
          <w:trHeight w:val="211"/>
        </w:trPr>
        <w:tc>
          <w:tcPr>
            <w:tcW w:w="56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 Authenticating Agent</w:t>
            </w:r>
          </w:p>
        </w:tc>
      </w:tr>
      <w:tr>
        <w:trPr>
          <w:trHeight w:val="395"/>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28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r>
        <w:trPr>
          <w:trHeight w:val="211"/>
        </w:trPr>
        <w:tc>
          <w:tcPr>
            <w:tcW w:w="56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Authorized Signatory</w:t>
            </w:r>
          </w:p>
        </w:tc>
      </w:tr>
    </w:tbl>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Dated: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4" w:name="page75"/>
    <w:bookmarkEnd w:id="74"/>
    <w:p>
      <w:pPr>
        <w:ind w:left="580"/>
        <w:spacing w:after="0"/>
        <w:rPr>
          <w:sz w:val="20"/>
          <w:szCs w:val="20"/>
          <w:color w:val="auto"/>
        </w:rPr>
      </w:pPr>
      <w:r>
        <w:rPr>
          <w:rFonts w:ascii="Times New Roman" w:cs="Times New Roman" w:eastAsia="Times New Roman" w:hAnsi="Times New Roman"/>
          <w:sz w:val="16"/>
          <w:szCs w:val="16"/>
          <w:i w:val="1"/>
          <w:iCs w:val="1"/>
          <w:color w:val="auto"/>
        </w:rPr>
        <w:t>Section 2.05. Registrar and Paying Agent.</w:t>
      </w:r>
    </w:p>
    <w:p>
      <w:pPr>
        <w:spacing w:after="0" w:line="206" w:lineRule="exact"/>
        <w:rPr>
          <w:sz w:val="20"/>
          <w:szCs w:val="20"/>
          <w:color w:val="auto"/>
        </w:rPr>
      </w:pPr>
    </w:p>
    <w:p>
      <w:pPr>
        <w:ind w:right="100" w:firstLine="585"/>
        <w:spacing w:after="0" w:line="266" w:lineRule="auto"/>
        <w:rPr>
          <w:sz w:val="20"/>
          <w:szCs w:val="20"/>
          <w:color w:val="auto"/>
        </w:rPr>
      </w:pPr>
      <w:r>
        <w:rPr>
          <w:rFonts w:ascii="Times New Roman" w:cs="Times New Roman" w:eastAsia="Times New Roman" w:hAnsi="Times New Roman"/>
          <w:sz w:val="16"/>
          <w:szCs w:val="16"/>
          <w:color w:val="auto"/>
        </w:rPr>
        <w:t>The Company shall maintain an office or agency where Securities may be presented for registration of transfer or for exchange (the “</w:t>
      </w:r>
      <w:r>
        <w:rPr>
          <w:rFonts w:ascii="Times New Roman" w:cs="Times New Roman" w:eastAsia="Times New Roman" w:hAnsi="Times New Roman"/>
          <w:sz w:val="16"/>
          <w:szCs w:val="16"/>
          <w:i w:val="1"/>
          <w:iCs w:val="1"/>
          <w:color w:val="auto"/>
        </w:rPr>
        <w:t>Registrar</w:t>
      </w:r>
      <w:r>
        <w:rPr>
          <w:rFonts w:ascii="Times New Roman" w:cs="Times New Roman" w:eastAsia="Times New Roman" w:hAnsi="Times New Roman"/>
          <w:sz w:val="16"/>
          <w:szCs w:val="16"/>
          <w:color w:val="auto"/>
        </w:rPr>
        <w:t>”), an office or agency where Securities may be presented for payment (the “</w:t>
      </w:r>
      <w:r>
        <w:rPr>
          <w:rFonts w:ascii="Times New Roman" w:cs="Times New Roman" w:eastAsia="Times New Roman" w:hAnsi="Times New Roman"/>
          <w:sz w:val="16"/>
          <w:szCs w:val="16"/>
          <w:i w:val="1"/>
          <w:iCs w:val="1"/>
          <w:color w:val="auto"/>
        </w:rPr>
        <w:t>Paying Agent</w:t>
      </w:r>
      <w:r>
        <w:rPr>
          <w:rFonts w:ascii="Times New Roman" w:cs="Times New Roman" w:eastAsia="Times New Roman" w:hAnsi="Times New Roman"/>
          <w:sz w:val="16"/>
          <w:szCs w:val="16"/>
          <w:color w:val="auto"/>
        </w:rPr>
        <w:t>”) and an office or agency where notices and demands to or upon the Company, if any, in respect of the Securities and this Indenture may be served. The Registrar shall keep a register of the Securities and of their transfer and exchange. The Company may have one or more additional Paying Agents. The term “Paying Agent” includes any additional Paying Agent.</w:t>
      </w:r>
    </w:p>
    <w:p>
      <w:pPr>
        <w:spacing w:after="0" w:line="161" w:lineRule="exact"/>
        <w:rPr>
          <w:sz w:val="20"/>
          <w:szCs w:val="20"/>
          <w:color w:val="auto"/>
        </w:rPr>
      </w:pPr>
    </w:p>
    <w:p>
      <w:pPr>
        <w:ind w:right="200" w:firstLine="585"/>
        <w:spacing w:after="0" w:line="265" w:lineRule="auto"/>
        <w:rPr>
          <w:sz w:val="20"/>
          <w:szCs w:val="20"/>
          <w:color w:val="auto"/>
        </w:rPr>
      </w:pPr>
      <w:r>
        <w:rPr>
          <w:rFonts w:ascii="Times New Roman" w:cs="Times New Roman" w:eastAsia="Times New Roman" w:hAnsi="Times New Roman"/>
          <w:sz w:val="16"/>
          <w:szCs w:val="16"/>
          <w:color w:val="auto"/>
        </w:rPr>
        <w:t>The Company shall enter into an appropriate agency agreement, which shall incorporate the provisions of the TIA, with any Agent that is not a party to this Indenture. The agreement shall implement the provisions of this Indenture that relate to such Agent. The Company shall notify the Trustee of the name and address of any such Agent. If the Company fails to maintain a Registrar or Paying Agent, or fails to give the foregoing notice, the Trustee shall act as such and shall be entitled to appropriate compensation in accordance with Section 7.06.</w:t>
      </w:r>
    </w:p>
    <w:p>
      <w:pPr>
        <w:spacing w:after="0" w:line="162" w:lineRule="exact"/>
        <w:rPr>
          <w:sz w:val="20"/>
          <w:szCs w:val="20"/>
          <w:color w:val="auto"/>
        </w:rPr>
      </w:pPr>
    </w:p>
    <w:p>
      <w:pPr>
        <w:ind w:right="80" w:firstLine="585"/>
        <w:spacing w:after="0" w:line="271" w:lineRule="auto"/>
        <w:rPr>
          <w:sz w:val="20"/>
          <w:szCs w:val="20"/>
          <w:color w:val="auto"/>
        </w:rPr>
      </w:pPr>
      <w:r>
        <w:rPr>
          <w:rFonts w:ascii="Times New Roman" w:cs="Times New Roman" w:eastAsia="Times New Roman" w:hAnsi="Times New Roman"/>
          <w:sz w:val="16"/>
          <w:szCs w:val="16"/>
          <w:color w:val="auto"/>
        </w:rPr>
        <w:t>The Company initially appoints the Trustee as Registrar, Paying Agent and Agent for service of notices and demands in connection with the Securities and this Indenture, and the Corporate Trust Office of the Trustee as the office or agency of the Company for such purposes, and the Company may change the Paying Agent without prior notice to the Holders. The Company or any of its Subsidiaries may act as Paying Agent.</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2.06. Paying Agent To Hold Money in Trust.</w:t>
      </w:r>
    </w:p>
    <w:p>
      <w:pPr>
        <w:spacing w:after="0" w:line="208" w:lineRule="exact"/>
        <w:rPr>
          <w:sz w:val="20"/>
          <w:szCs w:val="20"/>
          <w:color w:val="auto"/>
        </w:rPr>
      </w:pPr>
    </w:p>
    <w:p>
      <w:pPr>
        <w:ind w:firstLine="585"/>
        <w:spacing w:after="0" w:line="258" w:lineRule="auto"/>
        <w:rPr>
          <w:sz w:val="20"/>
          <w:szCs w:val="20"/>
          <w:color w:val="auto"/>
        </w:rPr>
      </w:pPr>
      <w:r>
        <w:rPr>
          <w:rFonts w:ascii="Times New Roman" w:cs="Times New Roman" w:eastAsia="Times New Roman" w:hAnsi="Times New Roman"/>
          <w:sz w:val="16"/>
          <w:szCs w:val="16"/>
          <w:color w:val="auto"/>
        </w:rPr>
        <w:t xml:space="preserve">Each Paying Agent shall hold in trust for the benefit of the Holders or the Trustee all money held by the Paying Agent for the payment of principal of, premium, if any, or interest on the Securities (whether such money has been paid to it by the Company or any other obligor on the Securities), and the Company and the Paying Agent shall notify the Trustee of any default by the Company (or any other obligor on the Securities) in making any such payment. Money held in trust by the Paying Agent need not be segregated except as required by law and in no event shall the Paying Agent be liable for any interest on any money received by it hereunder;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Company or an Affiliate thereof acts as Paying Agent, it shall segregate the money held by it as Paying Agent and hold such money in a separate trust fund. The Company at any time may require the Paying Agent to pay all money held by it to the Trustee and account for any funds disbursed, and the Trustee may at any time during the continuance of any Event of Default specified in Section 6.01(1) or (2), upon written request to the Paying Agent, require the Paying Agent to pay forthwith all money so held by it to the Trustee and to account for any funds disbursed. Upon making such payment, the Paying Agent shall have no further liability for the money delivered to the Trustee.</w:t>
      </w:r>
    </w:p>
    <w:p>
      <w:pPr>
        <w:spacing w:after="0" w:line="3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2.07. Holder Lists.</w:t>
      </w:r>
    </w:p>
    <w:p>
      <w:pPr>
        <w:spacing w:after="0" w:line="208" w:lineRule="exact"/>
        <w:rPr>
          <w:sz w:val="20"/>
          <w:szCs w:val="20"/>
          <w:color w:val="auto"/>
        </w:rPr>
      </w:pPr>
    </w:p>
    <w:p>
      <w:pPr>
        <w:ind w:right="200" w:firstLine="585"/>
        <w:spacing w:after="0" w:line="265" w:lineRule="auto"/>
        <w:rPr>
          <w:sz w:val="20"/>
          <w:szCs w:val="20"/>
          <w:color w:val="auto"/>
        </w:rPr>
      </w:pPr>
      <w:r>
        <w:rPr>
          <w:rFonts w:ascii="Times New Roman" w:cs="Times New Roman" w:eastAsia="Times New Roman" w:hAnsi="Times New Roman"/>
          <w:sz w:val="16"/>
          <w:szCs w:val="16"/>
          <w:color w:val="auto"/>
        </w:rPr>
        <w:t xml:space="preserve">The Trustee shall preserve in as current a form as is reasonably practicable the most recent list available to it of the names and addresses of the Holders of each series of Securities. If the Trustee is not the Registrar, the Company shall furnish to the Trustee at least five Business Days before each Interest Payment Date, and at such other times as the Trustee may request in writing, a list in such form and as of such date as the Trustee may reasonably require of the names and addresses of the Holders;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as long as the Trustee is the Registrar, no such list need be furnished.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75" w:name="page76"/>
    <w:bookmarkEnd w:id="75"/>
    <w:p>
      <w:pPr>
        <w:ind w:left="580"/>
        <w:spacing w:after="0"/>
        <w:rPr>
          <w:sz w:val="20"/>
          <w:szCs w:val="20"/>
          <w:color w:val="auto"/>
        </w:rPr>
      </w:pPr>
      <w:r>
        <w:rPr>
          <w:rFonts w:ascii="Times New Roman" w:cs="Times New Roman" w:eastAsia="Times New Roman" w:hAnsi="Times New Roman"/>
          <w:sz w:val="16"/>
          <w:szCs w:val="16"/>
          <w:i w:val="1"/>
          <w:iCs w:val="1"/>
          <w:color w:val="auto"/>
        </w:rPr>
        <w:t>Section 2.08. Transfer and Exchange.</w:t>
      </w:r>
    </w:p>
    <w:p>
      <w:pPr>
        <w:spacing w:after="0" w:line="208" w:lineRule="exact"/>
        <w:rPr>
          <w:sz w:val="20"/>
          <w:szCs w:val="20"/>
          <w:color w:val="auto"/>
        </w:rPr>
      </w:pPr>
    </w:p>
    <w:p>
      <w:pPr>
        <w:ind w:firstLine="582"/>
        <w:spacing w:after="0" w:line="258" w:lineRule="auto"/>
        <w:tabs>
          <w:tab w:leader="none" w:pos="846"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Securities are presented to the Registrar with a request from the Holder of such Securities to register a transfer or to exchange them for an equal principal amount of Securities of other authorized denominations of the same series, the Registrar shall register the transfer as requested. Every Security presented or surrendered for registration of transfer or exchange shall be duly endorsed or be accompanied by a written instrument of transfer in form satisfactory to the Company and the Registrar, duly executed by the Holder thereof or its attorney duly authorized in writing. To permit registrations of transfers and exchanges, the Company shall issue and execute, and the Trustee shall authenticate, new Securities evidencing such transfer or exchange at the Registrar’s request. No service charge shall be made to the Holder for any registration of transfer or exchange. The Company may require from the Holder payment of a sum sufficient to cover any transfer taxes or other governmental charge that may be imposed in relation to a transfer or exchange, but this provision shall not apply to any exchange pursuant to Section 2.12, 3.07 or 8.04 (in which events the Company shall be responsible for the payment of such taxes). The Registrar shall not be required to exchange or register a transfer of any Security of any series for a period of 15 days immediately preceding the redemption of Securities of such series, except the unredeemed portion of any Security being redeemed in part.</w:t>
      </w:r>
    </w:p>
    <w:p>
      <w:pPr>
        <w:spacing w:after="0" w:line="168" w:lineRule="exact"/>
        <w:rPr>
          <w:rFonts w:ascii="Times New Roman" w:cs="Times New Roman" w:eastAsia="Times New Roman" w:hAnsi="Times New Roman"/>
          <w:sz w:val="16"/>
          <w:szCs w:val="16"/>
          <w:color w:val="auto"/>
        </w:rPr>
      </w:pPr>
    </w:p>
    <w:p>
      <w:pPr>
        <w:ind w:right="140" w:firstLine="582"/>
        <w:spacing w:after="0" w:line="265" w:lineRule="auto"/>
        <w:tabs>
          <w:tab w:leader="none" w:pos="85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due presentation for registration of transfer or exchange of any Security, the Company, the Trustee, the Paying Agent, the Registrar, any co-Registrar or any of their agents may deem and treat the Person in whose name a Security is registered as the absolute owner of such Security (whether or not such Security shall be overdue and notwithstanding any notation of ownership or other writing thereon) for all purposes whatsoever, and none of the Company, the Trustee, the Paying Agent, the Registrar, any co-Registrar or any of their agents shall be affected by any notice to the contrary.</w:t>
      </w:r>
    </w:p>
    <w:p>
      <w:pPr>
        <w:spacing w:after="0" w:line="161" w:lineRule="exact"/>
        <w:rPr>
          <w:rFonts w:ascii="Times New Roman" w:cs="Times New Roman" w:eastAsia="Times New Roman" w:hAnsi="Times New Roman"/>
          <w:sz w:val="16"/>
          <w:szCs w:val="16"/>
          <w:color w:val="auto"/>
        </w:rPr>
      </w:pPr>
    </w:p>
    <w:p>
      <w:pPr>
        <w:ind w:right="40" w:firstLine="582"/>
        <w:spacing w:after="0" w:line="259" w:lineRule="auto"/>
        <w:tabs>
          <w:tab w:leader="none" w:pos="846"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a Successor Company has executed an indenture supplemental hereto with the Trustee, any of the Securities authenticated or delivered pursuant to such transaction may, from time to time, at the request of the Successor Company, be exchanged for other Securities executed in the name of the Successor Company with such changes in phraseology and form as may be appropriate, but otherwise identical to the Securities surrendered for such exchange and of like principal amount; and the Trustee, upon Company Order of the Successor Company, shall authenticate and deliver Securities as specified in such order for the purpose of such exchange. If Securities shall at any time be authenticated and delivered in any new name of a Successor Company pursuant to this Section 2.08 in exchange or substitution for or upon registration of transfer of any Securities, such Successor Company, at the option of the Holders but without expense to them, shall provide for the exchange of all Securities at the time outstanding for Securities authenticated and delivered in such new name.</w:t>
      </w:r>
    </w:p>
    <w:p>
      <w:pPr>
        <w:spacing w:after="0" w:line="169" w:lineRule="exact"/>
        <w:rPr>
          <w:rFonts w:ascii="Times New Roman" w:cs="Times New Roman" w:eastAsia="Times New Roman" w:hAnsi="Times New Roman"/>
          <w:sz w:val="16"/>
          <w:szCs w:val="16"/>
          <w:color w:val="auto"/>
        </w:rPr>
      </w:pPr>
    </w:p>
    <w:p>
      <w:pPr>
        <w:ind w:right="60" w:firstLine="582"/>
        <w:spacing w:after="0" w:line="288" w:lineRule="auto"/>
        <w:tabs>
          <w:tab w:leader="none" w:pos="85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Holder of a Security agrees to indemnify the Company, the Guarantors and the Trustee against any liability that may result from the transfer, exchange or assignment of such Holder’s Security in violation of any provision of this Indenture and/or applicable United States federal or state securities laws.</w:t>
      </w:r>
    </w:p>
    <w:p>
      <w:pPr>
        <w:spacing w:after="0" w:line="143" w:lineRule="exact"/>
        <w:rPr>
          <w:rFonts w:ascii="Times New Roman" w:cs="Times New Roman" w:eastAsia="Times New Roman" w:hAnsi="Times New Roman"/>
          <w:sz w:val="16"/>
          <w:szCs w:val="16"/>
          <w:color w:val="auto"/>
        </w:rPr>
      </w:pPr>
    </w:p>
    <w:p>
      <w:pPr>
        <w:jc w:val="both"/>
        <w:ind w:right="20" w:firstLine="582"/>
        <w:spacing w:after="0" w:line="265" w:lineRule="auto"/>
        <w:tabs>
          <w:tab w:leader="none" w:pos="846"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Trustee, the Paying Agent or the Registrar shall have any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2.09. Replacement Securities.</w:t>
      </w:r>
    </w:p>
    <w:p>
      <w:pPr>
        <w:spacing w:after="0" w:line="208" w:lineRule="exact"/>
        <w:rPr>
          <w:sz w:val="20"/>
          <w:szCs w:val="20"/>
          <w:color w:val="auto"/>
        </w:rPr>
      </w:pPr>
    </w:p>
    <w:p>
      <w:pPr>
        <w:ind w:right="40" w:firstLine="585"/>
        <w:spacing w:after="0" w:line="259" w:lineRule="auto"/>
        <w:rPr>
          <w:sz w:val="20"/>
          <w:szCs w:val="20"/>
          <w:color w:val="auto"/>
        </w:rPr>
      </w:pPr>
      <w:r>
        <w:rPr>
          <w:rFonts w:ascii="Times New Roman" w:cs="Times New Roman" w:eastAsia="Times New Roman" w:hAnsi="Times New Roman"/>
          <w:sz w:val="16"/>
          <w:szCs w:val="16"/>
          <w:color w:val="auto"/>
        </w:rPr>
        <w:t>If a mutilated Security of any series is surrendered to the Registrar or the Trustee, or if the Holder of a Security of any series claims that the Security has been lost, destroyed or wrongfully taken, the Company shall issue and the Trustee shall authenticate a replacement Security of such series if the Holder of such Security furnishes to the Company and the Trustee evidence reasonably acceptable to them of the ownership and the destruction, loss or theft of such Security and if the requirements of Section 8-405 of the New York Uniform Commercial Code as in effect on the date of this Indenture are met. If required by the Trustee or the Company, an indemnity bond shall be posted, sufficient in the judgment of all to protect the Company, the Trustee or any Paying Agent from any loss that any of them may suffer if such Security is replaced. The Company may charge such Holder for the Company’s reasonable out-of-pocket expenses in replacing such Security and the Trustee may charge the Company for the Trustee’s expenses (including, without limitation, attorneys’ fees and disbursements) in replacing such Security. Every replacement Security shall constitute a contractual obligation of the Company.</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ind w:left="580"/>
        <w:spacing w:after="0"/>
        <w:rPr>
          <w:sz w:val="20"/>
          <w:szCs w:val="20"/>
          <w:color w:val="auto"/>
        </w:rPr>
      </w:pPr>
      <w:r>
        <w:rPr>
          <w:rFonts w:ascii="Times New Roman" w:cs="Times New Roman" w:eastAsia="Times New Roman" w:hAnsi="Times New Roman"/>
          <w:sz w:val="16"/>
          <w:szCs w:val="16"/>
          <w:i w:val="1"/>
          <w:iCs w:val="1"/>
          <w:color w:val="auto"/>
        </w:rPr>
        <w:t>Section 2.10. Outstanding Securities.</w:t>
      </w:r>
    </w:p>
    <w:p>
      <w:pPr>
        <w:spacing w:after="0" w:line="208" w:lineRule="exact"/>
        <w:rPr>
          <w:sz w:val="20"/>
          <w:szCs w:val="20"/>
          <w:color w:val="auto"/>
        </w:rPr>
      </w:pPr>
    </w:p>
    <w:p>
      <w:pPr>
        <w:ind w:firstLine="585"/>
        <w:spacing w:after="0" w:line="265" w:lineRule="auto"/>
        <w:rPr>
          <w:sz w:val="20"/>
          <w:szCs w:val="20"/>
          <w:color w:val="auto"/>
        </w:rPr>
      </w:pPr>
      <w:r>
        <w:rPr>
          <w:rFonts w:ascii="Times New Roman" w:cs="Times New Roman" w:eastAsia="Times New Roman" w:hAnsi="Times New Roman"/>
          <w:sz w:val="16"/>
          <w:szCs w:val="16"/>
          <w:color w:val="auto"/>
        </w:rPr>
        <w:t>The Securities outstanding at any time are all Securities that have been authenticated by the Trustee except for (a) those canceled by it, (b) those delivered to it for cancellation, (c) to the extent set forth in Sections 9.02 and 9.03, on or after the date on which the conditions set forth in Section 9.02 or 9.03 have been satisfied, those Securities theretofore authenticated and delivered by the Trustee hereunder and (d) those described in this Section 2.10 as not outstanding. Subject to Section 2.11, a Security does not cease to be outstanding because the Company or one of its Affiliates holds the Security.</w:t>
      </w:r>
    </w:p>
    <w:p>
      <w:pPr>
        <w:spacing w:after="0" w:line="162" w:lineRule="exact"/>
        <w:rPr>
          <w:sz w:val="20"/>
          <w:szCs w:val="20"/>
          <w:color w:val="auto"/>
        </w:rPr>
      </w:pPr>
    </w:p>
    <w:p>
      <w:pPr>
        <w:ind w:right="80" w:firstLine="585"/>
        <w:spacing w:after="0" w:line="288" w:lineRule="auto"/>
        <w:rPr>
          <w:sz w:val="20"/>
          <w:szCs w:val="20"/>
          <w:color w:val="auto"/>
        </w:rPr>
      </w:pPr>
      <w:r>
        <w:rPr>
          <w:rFonts w:ascii="Times New Roman" w:cs="Times New Roman" w:eastAsia="Times New Roman" w:hAnsi="Times New Roman"/>
          <w:sz w:val="16"/>
          <w:szCs w:val="16"/>
          <w:color w:val="auto"/>
        </w:rPr>
        <w:t>If a Security is replaced pursuant to Section 2.09, it ceases to be outstanding unless the Trustee receives proof satisfactory to it that the replaced Security is held by a bona fide purchaser in whose hands such Security is a legal, valid and binding obligation of the Company.</w:t>
      </w:r>
    </w:p>
    <w:p>
      <w:pPr>
        <w:spacing w:after="0" w:line="143" w:lineRule="exact"/>
        <w:rPr>
          <w:sz w:val="20"/>
          <w:szCs w:val="20"/>
          <w:color w:val="auto"/>
        </w:rPr>
      </w:pPr>
    </w:p>
    <w:p>
      <w:pPr>
        <w:ind w:right="140" w:firstLine="585"/>
        <w:spacing w:after="0" w:line="271" w:lineRule="auto"/>
        <w:rPr>
          <w:sz w:val="20"/>
          <w:szCs w:val="20"/>
          <w:color w:val="auto"/>
        </w:rPr>
      </w:pPr>
      <w:r>
        <w:rPr>
          <w:rFonts w:ascii="Times New Roman" w:cs="Times New Roman" w:eastAsia="Times New Roman" w:hAnsi="Times New Roman"/>
          <w:sz w:val="16"/>
          <w:szCs w:val="16"/>
          <w:color w:val="auto"/>
        </w:rPr>
        <w:t>If the Paying Agent holds, in its capacity as such, on any Maturity Date, money sufficient to pay all accrued interest and principal with respect to the Securities payable on that date and is not prohibited from paying such money to the Holders thereof pursuant to the terms of this Indenture, then on and after that date such Securities cease to be outstanding and interest on them ceases to accrue.</w:t>
      </w:r>
    </w:p>
    <w:p>
      <w:pPr>
        <w:spacing w:after="0" w:line="156" w:lineRule="exact"/>
        <w:rPr>
          <w:sz w:val="20"/>
          <w:szCs w:val="20"/>
          <w:color w:val="auto"/>
        </w:rPr>
      </w:pPr>
    </w:p>
    <w:p>
      <w:pPr>
        <w:ind w:right="60" w:firstLine="585"/>
        <w:spacing w:after="0" w:line="265" w:lineRule="auto"/>
        <w:rPr>
          <w:sz w:val="20"/>
          <w:szCs w:val="20"/>
          <w:color w:val="auto"/>
        </w:rPr>
      </w:pPr>
      <w:r>
        <w:rPr>
          <w:rFonts w:ascii="Times New Roman" w:cs="Times New Roman" w:eastAsia="Times New Roman" w:hAnsi="Times New Roman"/>
          <w:sz w:val="16"/>
          <w:szCs w:val="16"/>
          <w:color w:val="auto"/>
        </w:rPr>
        <w:t>For each series of Original Issue Discount Securities, the principal amount of such Securities that shall be deemed to be outstanding and used to determine whether the necessary Holders have given any request, demand, authorization, direction, notice, consent or waiver shall be the amount of the principal thereof that would be due and payable as of the date of such determination upon a declaration of acceleration of the maturity thereof pursuant to Section 6.02. The principal amount of a Security denominated in a Foreign Currency that shall be deemed to be outstanding for such purposes shall be the amount calculated pursuant to Section 2.20(b).</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2.11. Treasury Securities.</w:t>
      </w:r>
    </w:p>
    <w:p>
      <w:pPr>
        <w:spacing w:after="0" w:line="208" w:lineRule="exact"/>
        <w:rPr>
          <w:sz w:val="20"/>
          <w:szCs w:val="20"/>
          <w:color w:val="auto"/>
        </w:rPr>
      </w:pPr>
    </w:p>
    <w:p>
      <w:pPr>
        <w:ind w:right="20" w:firstLine="585"/>
        <w:spacing w:after="0" w:line="259" w:lineRule="auto"/>
        <w:rPr>
          <w:sz w:val="20"/>
          <w:szCs w:val="20"/>
          <w:color w:val="auto"/>
        </w:rPr>
      </w:pPr>
      <w:r>
        <w:rPr>
          <w:rFonts w:ascii="Times New Roman" w:cs="Times New Roman" w:eastAsia="Times New Roman" w:hAnsi="Times New Roman"/>
          <w:sz w:val="16"/>
          <w:szCs w:val="16"/>
          <w:color w:val="auto"/>
        </w:rPr>
        <w:t>In determining whether the Holders of the required principal amount of Securities of a series have concurred in any declaration of acceleration or notice of default or direction, waiver or consent or any amendment, modification or other change to this Indenture, Securities owned by the Company or any other Affiliate of the Company shall be disregarded as though they were not outstanding, except that for the purposes of determining whether the Trustee shall be protected in relying on any such direction, waiver or consent or any amendment, modification or other change to this Indenture, only Securities as to which a Responsible Officer of the Trustee has actually received an Officer’s Certificate stating that such Securities are so owned shall be so disregarded. Securities so owned which have been pledged in good faith shall not be disregarded if the pledgee established to the satisfaction of the Trustee the pledgee’s right so to act with respect to the Securities and that the pledgee is not the Company, any other obligor on the Securities or any of their respective Affiliates.</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2.12. Temporary Securities.</w:t>
      </w:r>
    </w:p>
    <w:p>
      <w:pPr>
        <w:spacing w:after="0" w:line="208" w:lineRule="exact"/>
        <w:rPr>
          <w:sz w:val="20"/>
          <w:szCs w:val="20"/>
          <w:color w:val="auto"/>
        </w:rPr>
      </w:pPr>
    </w:p>
    <w:p>
      <w:pPr>
        <w:ind w:right="380" w:firstLine="585"/>
        <w:spacing w:after="0" w:line="262" w:lineRule="auto"/>
        <w:rPr>
          <w:sz w:val="20"/>
          <w:szCs w:val="20"/>
          <w:color w:val="auto"/>
        </w:rPr>
      </w:pPr>
      <w:r>
        <w:rPr>
          <w:rFonts w:ascii="Times New Roman" w:cs="Times New Roman" w:eastAsia="Times New Roman" w:hAnsi="Times New Roman"/>
          <w:sz w:val="16"/>
          <w:szCs w:val="16"/>
          <w:color w:val="auto"/>
        </w:rPr>
        <w:t>Until definitive Securities are prepared and ready for delivery, the Company may prepare and the Trustee shall authenticate temporary Securities. Temporary Securities shall be substantially in the form of definitive Securities but may have variations that the Company considers appropriate for temporary Securities. Any such temporary Security may be in the form of one or more Global Securities, representing all or a portion of the Securities of such series. Without unreasonable delay, the Company shall prepare and the Trustee shall authenticate definitive Securities in exchange for temporary Securities. Until such exchange, temporary Securities shall be entitled to the same rights, benefits and privileges as definitive Securities.</w:t>
      </w:r>
    </w:p>
    <w:p>
      <w:pPr>
        <w:spacing w:after="0" w:line="165" w:lineRule="exact"/>
        <w:rPr>
          <w:sz w:val="20"/>
          <w:szCs w:val="20"/>
          <w:color w:val="auto"/>
        </w:rPr>
      </w:pPr>
    </w:p>
    <w:p>
      <w:pPr>
        <w:jc w:val="both"/>
        <w:ind w:right="60" w:firstLine="585"/>
        <w:spacing w:after="0" w:line="271" w:lineRule="auto"/>
        <w:rPr>
          <w:sz w:val="20"/>
          <w:szCs w:val="20"/>
          <w:color w:val="auto"/>
        </w:rPr>
      </w:pPr>
      <w:r>
        <w:rPr>
          <w:rFonts w:ascii="Times New Roman" w:cs="Times New Roman" w:eastAsia="Times New Roman" w:hAnsi="Times New Roman"/>
          <w:sz w:val="16"/>
          <w:szCs w:val="16"/>
          <w:color w:val="auto"/>
        </w:rPr>
        <w:t>Upon any exchange of a portion of a temporary Global Security for a definitive Global Security or for the Individual Securities represented thereby pursuant to this Section 2.12 or Section 2.08, the temporary Global Security shall be endorsed by the Trustee to reflect the reduction of the principal amount evidenced thereby, whereupon the principal amount of such temporary Global Security shall be reduced for all purposes by the amount so exchanged and endorsed.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ind w:left="580"/>
        <w:spacing w:after="0"/>
        <w:rPr>
          <w:sz w:val="20"/>
          <w:szCs w:val="20"/>
          <w:color w:val="auto"/>
        </w:rPr>
      </w:pPr>
      <w:r>
        <w:rPr>
          <w:rFonts w:ascii="Times New Roman" w:cs="Times New Roman" w:eastAsia="Times New Roman" w:hAnsi="Times New Roman"/>
          <w:sz w:val="16"/>
          <w:szCs w:val="16"/>
          <w:i w:val="1"/>
          <w:iCs w:val="1"/>
          <w:color w:val="auto"/>
        </w:rPr>
        <w:t>Section 2.13. Cancellation.</w:t>
      </w:r>
    </w:p>
    <w:p>
      <w:pPr>
        <w:spacing w:after="0" w:line="208" w:lineRule="exact"/>
        <w:rPr>
          <w:sz w:val="20"/>
          <w:szCs w:val="20"/>
          <w:color w:val="auto"/>
        </w:rPr>
      </w:pPr>
    </w:p>
    <w:p>
      <w:pPr>
        <w:ind w:right="140" w:firstLine="585"/>
        <w:spacing w:after="0" w:line="262" w:lineRule="auto"/>
        <w:rPr>
          <w:sz w:val="20"/>
          <w:szCs w:val="20"/>
          <w:color w:val="auto"/>
        </w:rPr>
      </w:pPr>
      <w:r>
        <w:rPr>
          <w:rFonts w:ascii="Times New Roman" w:cs="Times New Roman" w:eastAsia="Times New Roman" w:hAnsi="Times New Roman"/>
          <w:sz w:val="16"/>
          <w:szCs w:val="16"/>
          <w:color w:val="auto"/>
        </w:rPr>
        <w:t>The Company at any time may deliver Securities to the Trustee for cancellation along with a Company Order directing the cancellation thereof. The Registrar and the Paying Agent shall forward to the Trustee any Securities surrendered to them for registration of transfer, exchange, payment or credit against any sinking fund. The Trustee shall cancel all Securities surrendered for registration of transfer, exchange, payment, replacement or cancellation and shall deliver such canceled Securities to the Company. The Company may not reissue or resell, or issue new Securities to replace Securities that the Company has redeemed or paid, or that have been delivered to the Trustee for cancellation (other than in accordance with this Indenture).</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2.14. Defaulted Interest.</w:t>
      </w:r>
    </w:p>
    <w:p>
      <w:pPr>
        <w:spacing w:after="0" w:line="206" w:lineRule="exact"/>
        <w:rPr>
          <w:sz w:val="20"/>
          <w:szCs w:val="20"/>
          <w:color w:val="auto"/>
        </w:rPr>
      </w:pPr>
    </w:p>
    <w:p>
      <w:pPr>
        <w:ind w:right="180" w:firstLine="585"/>
        <w:spacing w:after="0" w:line="260" w:lineRule="auto"/>
        <w:rPr>
          <w:sz w:val="20"/>
          <w:szCs w:val="20"/>
          <w:color w:val="auto"/>
        </w:rPr>
      </w:pPr>
      <w:r>
        <w:rPr>
          <w:rFonts w:ascii="Times New Roman" w:cs="Times New Roman" w:eastAsia="Times New Roman" w:hAnsi="Times New Roman"/>
          <w:sz w:val="16"/>
          <w:szCs w:val="16"/>
          <w:color w:val="auto"/>
        </w:rPr>
        <w:t xml:space="preserve">If the Company defaults on a payment of interest on the Securities, it shall pay the defaulted interest,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(to the extent permitted by law) any interest payable on the defaulted interest, in accordance with the terms hereof, to the Persons who are Holders on a subsequent special record date, which date shall be at least five Business Days prior to the payment date. The Company shall fix such special record date and payment date in a manner satisfactory to the Trustee. At least 10 days before such special record date, the Company shall deliver in accordance with the procedures of the Depositary to each Holder a notice that states the special record date, the payment date and the amount of defaulted interest to be paid. The Company may make payment of any defaulted interest in any other lawful manner not inconsistent with the requirements (if applicable) of any securities exchange on which the Securities may be listed and, upon such notice as may be required by such exchange, if, after written notice given by the Company to the Trustee of the proposed payment pursuant to this sentence, such manner of payment shall be deemed practicable by the Trustee.</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2.15. Identifying Number.</w:t>
      </w:r>
    </w:p>
    <w:p>
      <w:pPr>
        <w:spacing w:after="0" w:line="208" w:lineRule="exact"/>
        <w:rPr>
          <w:sz w:val="20"/>
          <w:szCs w:val="20"/>
          <w:color w:val="auto"/>
        </w:rPr>
      </w:pPr>
    </w:p>
    <w:p>
      <w:pPr>
        <w:ind w:firstLine="585"/>
        <w:spacing w:after="0" w:line="262" w:lineRule="auto"/>
        <w:rPr>
          <w:sz w:val="20"/>
          <w:szCs w:val="20"/>
          <w:color w:val="auto"/>
        </w:rPr>
      </w:pPr>
      <w:r>
        <w:rPr>
          <w:rFonts w:ascii="Times New Roman" w:cs="Times New Roman" w:eastAsia="Times New Roman" w:hAnsi="Times New Roman"/>
          <w:sz w:val="16"/>
          <w:szCs w:val="16"/>
          <w:color w:val="auto"/>
        </w:rPr>
        <w:t xml:space="preserve">The Company in issuing the Securities of a series may use a “CUSIP,” “ISIN” or other similar number, and if so, such CUSIP, ISIN or other similar number shall be included in notices of redemption or exchange as a convenience to Holders;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such notice may state that no representation is made as to the correctness or accuracy of the CUSIP, ISIN or other similar number printed in the notice or on the Securities of such series, and that reliance may be placed only on the other identification numbers printed on the Securities of such series. The Company shall promptly notify the Trustee of any such CUSIP, ISIN or other similar number used by the Company in connection with the issuance of Securities of a series and of any change in the CUSIP, ISIN or other similar number.</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2.16. Deposit of Moneys.</w:t>
      </w:r>
    </w:p>
    <w:p>
      <w:pPr>
        <w:spacing w:after="0" w:line="208" w:lineRule="exact"/>
        <w:rPr>
          <w:sz w:val="20"/>
          <w:szCs w:val="20"/>
          <w:color w:val="auto"/>
        </w:rPr>
      </w:pPr>
    </w:p>
    <w:p>
      <w:pPr>
        <w:ind w:right="20" w:firstLine="585"/>
        <w:spacing w:after="0" w:line="261" w:lineRule="auto"/>
        <w:rPr>
          <w:sz w:val="20"/>
          <w:szCs w:val="20"/>
          <w:color w:val="auto"/>
        </w:rPr>
      </w:pPr>
      <w:r>
        <w:rPr>
          <w:rFonts w:ascii="Times New Roman" w:cs="Times New Roman" w:eastAsia="Times New Roman" w:hAnsi="Times New Roman"/>
          <w:sz w:val="16"/>
          <w:szCs w:val="16"/>
          <w:color w:val="auto"/>
        </w:rPr>
        <w:t>Prior to 11:00 a.m., New York City time, on each Interest Payment Date and Maturity Date, the Company shall have deposited with the Paying Agent in immediately available funds money in the Currency in which such Securities are denominated sufficient to make cash payments, if any, due on such Interest Payment Date or Maturity Date, as the case may be, in a timely manner which permits the Trustee to remit payment to the Holders on such Interest Payment Date or Maturity Date, as the case may be. The principal and interest on a Global Security shall be payable to the Depositary of such Global Security or its nominee, as the case may be, as the sole registered owner and the sole Holder of the Securities represented thereby. The principal and interest on Individual Securities shall be payable, either in person or by mail, at the office of the Paying Agent.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2.17. Global Securities.</w:t>
      </w:r>
    </w:p>
    <w:p>
      <w:pPr>
        <w:spacing w:after="0" w:line="208" w:lineRule="exact"/>
        <w:rPr>
          <w:sz w:val="20"/>
          <w:szCs w:val="20"/>
          <w:color w:val="auto"/>
        </w:rPr>
      </w:pPr>
    </w:p>
    <w:p>
      <w:pPr>
        <w:ind w:right="80" w:firstLine="582"/>
        <w:spacing w:after="0" w:line="262" w:lineRule="auto"/>
        <w:tabs>
          <w:tab w:leader="none" w:pos="846"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shall establish pursuant to Section 2.02 that the Securities of a series are to be issued in whole or in part in the form of one or more Global Securities, then the Company shall execute and the Trustee shall authenticate and deliver one or more Global Securities that (i) shall represent an aggregate amount equal to the aggregate principal amount of the outstanding Securities of such series to be represented by such Global Securities, (ii) shall be registered in the name of the Depositary for such Global Security or Global Securities or the nominee of such Depositary, (iii) shall be delivered by the Trustee to such Depositary or pursuant to such Depositary’s instruction and (iv) shall bear a legend substantially to the following effect, or such other legend(s) as the Company and the Depositary may agree:</w:t>
      </w:r>
    </w:p>
    <w:p>
      <w:pPr>
        <w:spacing w:after="0" w:line="165" w:lineRule="exact"/>
        <w:rPr>
          <w:sz w:val="20"/>
          <w:szCs w:val="20"/>
          <w:color w:val="auto"/>
        </w:rPr>
      </w:pPr>
    </w:p>
    <w:p>
      <w:pPr>
        <w:ind w:left="580" w:right="600"/>
        <w:spacing w:after="0" w:line="271" w:lineRule="auto"/>
        <w:rPr>
          <w:sz w:val="20"/>
          <w:szCs w:val="20"/>
          <w:color w:val="auto"/>
        </w:rPr>
      </w:pPr>
      <w:r>
        <w:rPr>
          <w:rFonts w:ascii="Times New Roman" w:cs="Times New Roman" w:eastAsia="Times New Roman" w:hAnsi="Times New Roman"/>
          <w:sz w:val="16"/>
          <w:szCs w:val="16"/>
          <w:color w:val="auto"/>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ind w:left="580" w:right="560"/>
        <w:spacing w:after="0" w:line="259" w:lineRule="auto"/>
        <w:rPr>
          <w:sz w:val="20"/>
          <w:szCs w:val="20"/>
          <w:color w:val="auto"/>
        </w:rPr>
      </w:pPr>
      <w:r>
        <w:rPr>
          <w:rFonts w:ascii="Times New Roman" w:cs="Times New Roman" w:eastAsia="Times New Roman" w:hAnsi="Times New Roman"/>
          <w:sz w:val="16"/>
          <w:szCs w:val="16"/>
          <w:color w:val="auto"/>
        </w:rPr>
        <w:t>UNLESS THIS CERTIFICATE IS PRESENTED BY AN AUTHORIZED REPRESENTATIVE OF [THE DEPOSITARY] TO THE COMPANY OR ITS AGENT FOR REGISTRATION OF TRANSFER, EXCHANGE OR PAYMENT, AND ANY CERTIFICATE ISSUED IS REGISTERED IN THE NAME OF [THE NOMINEE OF THE DEPOSITARY] OR IN SUCH OTHER NAME AS IS REQUESTED BY AN AUTHORIZED REPRESENTATIVE OF [THE DEPOSITARY] (AND ANY PAYMENT HEREON IS MADE TO [THE NOMINEE OF THE DEPOSITARY] OR TO SUCH OTHER ENTITY AS IS REQUESTED BY AN AUTHORIZED REPRESENTATIVE OF [THE DEPOSITARY]), ANY TRANSFER, PLEDGE OR OTHER USE HEREOF FOR VALUE OR OTHERWISE BY OR TO ANY PERSON IS WRONGFUL SINCE THE REGISTERED OWNER HEREOF, [THE NOMINEE OF THE DEPOSITARY], HAS AN INTEREST HEREIN.</w:t>
      </w:r>
    </w:p>
    <w:p>
      <w:pPr>
        <w:spacing w:after="0" w:line="169" w:lineRule="exact"/>
        <w:rPr>
          <w:sz w:val="20"/>
          <w:szCs w:val="20"/>
          <w:color w:val="auto"/>
        </w:rPr>
      </w:pPr>
    </w:p>
    <w:p>
      <w:pPr>
        <w:ind w:left="580" w:right="600"/>
        <w:spacing w:after="0" w:line="265" w:lineRule="auto"/>
        <w:rPr>
          <w:sz w:val="20"/>
          <w:szCs w:val="20"/>
          <w:color w:val="auto"/>
        </w:rPr>
      </w:pPr>
      <w:r>
        <w:rPr>
          <w:rFonts w:ascii="Times New Roman" w:cs="Times New Roman" w:eastAsia="Times New Roman" w:hAnsi="Times New Roman"/>
          <w:sz w:val="16"/>
          <w:szCs w:val="16"/>
          <w:color w:val="auto"/>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62" w:lineRule="exact"/>
        <w:rPr>
          <w:sz w:val="20"/>
          <w:szCs w:val="20"/>
          <w:color w:val="auto"/>
        </w:rPr>
      </w:pPr>
    </w:p>
    <w:p>
      <w:pPr>
        <w:ind w:right="60" w:firstLine="585"/>
        <w:spacing w:after="0" w:line="265" w:lineRule="auto"/>
        <w:rPr>
          <w:sz w:val="20"/>
          <w:szCs w:val="20"/>
          <w:color w:val="auto"/>
        </w:rPr>
      </w:pPr>
      <w:r>
        <w:rPr>
          <w:rFonts w:ascii="Times New Roman" w:cs="Times New Roman" w:eastAsia="Times New Roman" w:hAnsi="Times New Roman"/>
          <w:sz w:val="16"/>
          <w:szCs w:val="16"/>
          <w:color w:val="auto"/>
        </w:rPr>
        <w:t>The aggregate principal amount of each Global Security may from time to time be increased or decreased by adjustments made on the records of the Security Custodian, as provided in this Indenture. Any endorsements of a Global Security to reflect the amount of increase or decrease in the amount of outstanding Securities of the series represented thereby shall be made by the Security Custodian in accordance with the standing instructions and procedures existing between the Depositary and the Security Custodian.</w:t>
      </w:r>
    </w:p>
    <w:p>
      <w:pPr>
        <w:spacing w:after="0" w:line="162" w:lineRule="exact"/>
        <w:rPr>
          <w:sz w:val="20"/>
          <w:szCs w:val="20"/>
          <w:color w:val="auto"/>
        </w:rPr>
      </w:pPr>
    </w:p>
    <w:p>
      <w:pPr>
        <w:ind w:right="40" w:firstLine="582"/>
        <w:spacing w:after="0" w:line="288" w:lineRule="auto"/>
        <w:tabs>
          <w:tab w:leader="none" w:pos="855"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Depositary designated pursuant to Section 2.02 for a Global Security in registered form must, at the time of its designation and at all times while it serves as such Depositary, be a clearing agency registered under the Exchange Act and any other applicable statute or regulation.</w:t>
      </w:r>
    </w:p>
    <w:p>
      <w:pPr>
        <w:spacing w:after="0" w:line="141" w:lineRule="exact"/>
        <w:rPr>
          <w:rFonts w:ascii="Times New Roman" w:cs="Times New Roman" w:eastAsia="Times New Roman" w:hAnsi="Times New Roman"/>
          <w:sz w:val="16"/>
          <w:szCs w:val="16"/>
          <w:color w:val="auto"/>
        </w:rPr>
      </w:pPr>
    </w:p>
    <w:p>
      <w:pPr>
        <w:ind w:firstLine="582"/>
        <w:spacing w:after="0" w:line="259" w:lineRule="auto"/>
        <w:tabs>
          <w:tab w:leader="none" w:pos="846"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Members of, or direct or indirect participants in, the Depositary (“</w:t>
      </w:r>
      <w:r>
        <w:rPr>
          <w:rFonts w:ascii="Times New Roman" w:cs="Times New Roman" w:eastAsia="Times New Roman" w:hAnsi="Times New Roman"/>
          <w:sz w:val="16"/>
          <w:szCs w:val="16"/>
          <w:i w:val="1"/>
          <w:iCs w:val="1"/>
          <w:color w:val="auto"/>
        </w:rPr>
        <w:t>Agent Members</w:t>
      </w:r>
      <w:r>
        <w:rPr>
          <w:rFonts w:ascii="Times New Roman" w:cs="Times New Roman" w:eastAsia="Times New Roman" w:hAnsi="Times New Roman"/>
          <w:sz w:val="16"/>
          <w:szCs w:val="16"/>
          <w:color w:val="auto"/>
        </w:rPr>
        <w:t>”) shall have no rights under this Indenture with respect to any Global Security held on their behalf by the Depositary or by the Security Custodian under such Global Security, and the Depositary may be treated by the Company, the Trustee, the Paying Agent and the Registrar and any of their agents as the absolute owner of such Global Security for all purposes whatsoever. Notwithstanding the foregoing, nothing herein shall prevent the Company, the Trustee, the Paying Agent or the Registrar or any of their agents from giving effect to any written certification, proxy or other authorization (which may be in electronic form) furnished by the Depositary or impair, as between the Depositary and its Agent Members, the operation of customary practices of the Depositary governing the exercise of the rights of an owner of a beneficial interest in any Global Security. The Holder of a Global Security may grant proxies and otherwise authorize any Person, including Agent Members and Persons that may hold interests through Agent Members, to take any action that a Holder is entitled to take under this Indenture or the Securities.</w:t>
      </w:r>
    </w:p>
    <w:p>
      <w:pPr>
        <w:spacing w:after="0" w:line="167" w:lineRule="exact"/>
        <w:rPr>
          <w:rFonts w:ascii="Times New Roman" w:cs="Times New Roman" w:eastAsia="Times New Roman" w:hAnsi="Times New Roman"/>
          <w:sz w:val="16"/>
          <w:szCs w:val="16"/>
          <w:color w:val="auto"/>
        </w:rPr>
      </w:pPr>
    </w:p>
    <w:p>
      <w:pPr>
        <w:ind w:right="20" w:firstLine="582"/>
        <w:spacing w:after="0" w:line="258" w:lineRule="auto"/>
        <w:tabs>
          <w:tab w:leader="none" w:pos="855"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Company, any Guarantor, the Trustee, the Registrar, any Paying Agent or any agent of any of them shall have any responsibility or liability for any aspect of the records relating to or payments made on account of beneficial ownership interests in the Securities, for maintaining, supervising or reviewing any records relating to such beneficial owner interests, or for any acts or omissions of a Depositary or for any transactions between a Depositary and any beneficial owner or between or among beneficial owners. No owner of a beneficial interest in the Securities shall have any rights under this Indenture, and the Depositary or its nominee, if any, shall be deemed and treated by the Company, any Guarantor, the Trustee, the Registrar, any Paying Agent or any agent of any of them as the absolute owner and holder of such Securities for all purposes whatsoever. Notwithstanding the foregoing, nothing herein shall prevent the Company, any Guarantor, the Trustee, the Registrar, any Paying Agent or any agent of any of them from giving effect to any written certification, proxy or other authorization furnished by a Depositary, or any of its members and any other Person on whose behalf such member may act, the operation of customary practices of such Persons governing the exercise of the rights of a beneficial owner of any Securities.</w:t>
      </w:r>
    </w:p>
    <w:p>
      <w:pPr>
        <w:spacing w:after="0" w:line="366" w:lineRule="exact"/>
        <w:rPr>
          <w:rFonts w:ascii="Times New Roman" w:cs="Times New Roman" w:eastAsia="Times New Roman" w:hAnsi="Times New Roman"/>
          <w:sz w:val="16"/>
          <w:szCs w:val="16"/>
          <w:color w:val="auto"/>
        </w:rPr>
      </w:pPr>
    </w:p>
    <w:p>
      <w:pPr>
        <w:ind w:left="840" w:hanging="258"/>
        <w:spacing w:after="0"/>
        <w:tabs>
          <w:tab w:leader="none" w:pos="8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provided below, owners of beneficial interests in Global Securities will not be entitled to receive Individual Securities.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9" w:name="page80"/>
    <w:bookmarkEnd w:id="79"/>
    <w:p>
      <w:pPr>
        <w:ind w:right="140" w:firstLine="587"/>
        <w:spacing w:after="0" w:line="262" w:lineRule="auto"/>
        <w:tabs>
          <w:tab w:leader="none" w:pos="85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Securities shall be issued to all owners of beneficial interests in a Global Security in exchange for such interests if: (A) at any time the Depositary for the Securities of a series notifies the Company that it is unwilling or unable to continue as Depositary for the Securities of such series or if at any time the Depositary for the Securities of such series shall no longer be eligible under Section 2.17(b) and, in each case, a successor Depositary is not appointed by the Company within 90 days of such notice, or (B) the Company executes and delivers to the Trustee and the Registrar an Officer’s Certificate stating that such Global Security shall be so exchangeable.</w:t>
      </w:r>
    </w:p>
    <w:p>
      <w:pPr>
        <w:spacing w:after="0" w:line="165" w:lineRule="exact"/>
        <w:rPr>
          <w:sz w:val="20"/>
          <w:szCs w:val="20"/>
          <w:color w:val="auto"/>
        </w:rPr>
      </w:pPr>
    </w:p>
    <w:p>
      <w:pPr>
        <w:ind w:right="120" w:firstLine="585"/>
        <w:spacing w:after="0" w:line="265" w:lineRule="auto"/>
        <w:rPr>
          <w:sz w:val="20"/>
          <w:szCs w:val="20"/>
          <w:color w:val="auto"/>
        </w:rPr>
      </w:pPr>
      <w:r>
        <w:rPr>
          <w:rFonts w:ascii="Times New Roman" w:cs="Times New Roman" w:eastAsia="Times New Roman" w:hAnsi="Times New Roman"/>
          <w:sz w:val="16"/>
          <w:szCs w:val="16"/>
          <w:color w:val="auto"/>
        </w:rPr>
        <w:t>In connection with the exchange of an entire Global Security for Individual Securities pursuant to this subsection (e), such Global Security shall be deemed to be surrendered to the Trustee for cancellation, and the Company shall execute, and the Trustee, upon receipt of a Company Order for the authentication and delivery of Individual Securities of such series, shall authenticate and deliver, to each beneficial owner identified by the Depositary in writing in exchange for its beneficial interest in such Global Security, an equal aggregate principal amount of Individual Securities of authorized denominations.</w:t>
      </w:r>
    </w:p>
    <w:p>
      <w:pPr>
        <w:spacing w:after="0" w:line="162" w:lineRule="exact"/>
        <w:rPr>
          <w:sz w:val="20"/>
          <w:szCs w:val="20"/>
          <w:color w:val="auto"/>
        </w:rPr>
      </w:pPr>
    </w:p>
    <w:p>
      <w:pPr>
        <w:ind w:firstLine="587"/>
        <w:spacing w:after="0" w:line="265" w:lineRule="auto"/>
        <w:tabs>
          <w:tab w:leader="none" w:pos="855"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owner of a beneficial interest in a Global Security will be entitled to receive an Individual Security in exchange for such interest if an Event of Default has occurred and is continuing. Upon receipt by the Security Custodian and Registrar of instructions from the Holder of a Global Security directing the Security Custodian and Registrar to (x) issue one or more Individual Securities in the amounts specified to the owner of a beneficial interest in such Global Security and (y) debit or cause to be debited an equivalent amount of beneficial interest in such Global Security, subject to the rules and regulations of the Depositary:</w:t>
      </w:r>
    </w:p>
    <w:p>
      <w:pPr>
        <w:spacing w:after="0" w:line="161" w:lineRule="exact"/>
        <w:rPr>
          <w:rFonts w:ascii="Times New Roman" w:cs="Times New Roman" w:eastAsia="Times New Roman" w:hAnsi="Times New Roman"/>
          <w:sz w:val="16"/>
          <w:szCs w:val="16"/>
          <w:color w:val="auto"/>
        </w:rPr>
      </w:pPr>
    </w:p>
    <w:p>
      <w:pPr>
        <w:ind w:left="580" w:right="300" w:firstLine="591"/>
        <w:spacing w:after="0" w:line="288" w:lineRule="auto"/>
        <w:tabs>
          <w:tab w:leader="none" w:pos="1471"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Security Custodian and Registrar shall notify the Company and the Trustee of such instructions, identifying the owner and amount of such beneficial interest in such Global Security;</w:t>
      </w:r>
    </w:p>
    <w:p>
      <w:pPr>
        <w:spacing w:after="0" w:line="143" w:lineRule="exact"/>
        <w:rPr>
          <w:rFonts w:ascii="Times New Roman" w:cs="Times New Roman" w:eastAsia="Times New Roman" w:hAnsi="Times New Roman"/>
          <w:sz w:val="16"/>
          <w:szCs w:val="16"/>
          <w:color w:val="auto"/>
        </w:rPr>
      </w:pPr>
    </w:p>
    <w:p>
      <w:pPr>
        <w:ind w:left="580" w:right="40" w:firstLine="591"/>
        <w:spacing w:after="0" w:line="271" w:lineRule="auto"/>
        <w:tabs>
          <w:tab w:leader="none" w:pos="1462"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promptly execute and the Trustee, upon receipt of a Company Order for the authentication and delivery of Individual Securities of such series, shall authenticate and deliver to such beneficial owner Individual Securities in an equivalent amount to such beneficial interest in such Global Security; and</w:t>
      </w:r>
    </w:p>
    <w:p>
      <w:pPr>
        <w:spacing w:after="0" w:line="156" w:lineRule="exact"/>
        <w:rPr>
          <w:rFonts w:ascii="Times New Roman" w:cs="Times New Roman" w:eastAsia="Times New Roman" w:hAnsi="Times New Roman"/>
          <w:sz w:val="16"/>
          <w:szCs w:val="16"/>
          <w:color w:val="auto"/>
        </w:rPr>
      </w:pPr>
    </w:p>
    <w:p>
      <w:pPr>
        <w:ind w:left="580" w:right="80" w:firstLine="591"/>
        <w:spacing w:after="0" w:line="262" w:lineRule="auto"/>
        <w:tabs>
          <w:tab w:leader="none" w:pos="1462"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Security Custodian and Registrar shall decrease such Global Security by such amount in accordance with the foregoing. In the event that the Individual Securities are not issued to each such beneficial owner promptly after the Registrar has received a request from the Holder of a Global Security to issue such Individual Securities, the Company expressly acknowledges, with respect to the right of any Holder to pursue a remedy pursuant to Section 6.07, the right of any beneficial Holder of Securities to pursue such remedy with respect to the portion of the Global Security that represents such beneficial Holder’s Securities as if such Individual Securities had been issued.</w:t>
      </w:r>
    </w:p>
    <w:p>
      <w:pPr>
        <w:spacing w:after="0" w:line="164" w:lineRule="exact"/>
        <w:rPr>
          <w:rFonts w:ascii="Times New Roman" w:cs="Times New Roman" w:eastAsia="Times New Roman" w:hAnsi="Times New Roman"/>
          <w:sz w:val="16"/>
          <w:szCs w:val="16"/>
          <w:color w:val="auto"/>
        </w:rPr>
      </w:pPr>
    </w:p>
    <w:p>
      <w:pPr>
        <w:jc w:val="both"/>
        <w:ind w:firstLine="587"/>
        <w:spacing w:after="0" w:line="271" w:lineRule="auto"/>
        <w:tabs>
          <w:tab w:leader="none" w:pos="855"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specified by the Company pursuant to Section 2.02 with respect to a series of Securities, the Depositary for such series of Securities may surrender a Global Security for such series of Securities in exchange in whole or in part for Individual Securities of such series on such terms as are acceptable to the Company and such Depositary. Thereupon, the Company shall execute, and the Trustee shall authenticate and deliver:</w:t>
      </w:r>
    </w:p>
    <w:p>
      <w:pPr>
        <w:spacing w:after="0" w:line="156" w:lineRule="exact"/>
        <w:rPr>
          <w:rFonts w:ascii="Times New Roman" w:cs="Times New Roman" w:eastAsia="Times New Roman" w:hAnsi="Times New Roman"/>
          <w:sz w:val="16"/>
          <w:szCs w:val="16"/>
          <w:color w:val="auto"/>
        </w:rPr>
      </w:pPr>
    </w:p>
    <w:p>
      <w:pPr>
        <w:ind w:left="580" w:right="320" w:firstLine="591"/>
        <w:spacing w:after="0" w:line="271" w:lineRule="auto"/>
        <w:tabs>
          <w:tab w:leader="none" w:pos="1471"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each Person specified by such Depositary a new Individual Security or new Individual Securities of the same series, of any authorized denomination as requested by such Person in aggregate principal amount equal to and in exchange for such Person’s beneficial interest in the Global Security; and</w:t>
      </w:r>
    </w:p>
    <w:p>
      <w:pPr>
        <w:spacing w:after="0" w:line="156" w:lineRule="exact"/>
        <w:rPr>
          <w:rFonts w:ascii="Times New Roman" w:cs="Times New Roman" w:eastAsia="Times New Roman" w:hAnsi="Times New Roman"/>
          <w:sz w:val="16"/>
          <w:szCs w:val="16"/>
          <w:color w:val="auto"/>
        </w:rPr>
      </w:pPr>
    </w:p>
    <w:p>
      <w:pPr>
        <w:ind w:left="580" w:right="100" w:firstLine="591"/>
        <w:spacing w:after="0" w:line="288" w:lineRule="auto"/>
        <w:tabs>
          <w:tab w:leader="none" w:pos="1462"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such Depositary a new Global Security in a denomination equal to the difference, if any, between the principal amount of the surrendered Global Security and the aggregate principal amount of Individual Securities delivered to Holders thereof.</w:t>
      </w:r>
    </w:p>
    <w:p>
      <w:pPr>
        <w:spacing w:after="0" w:line="143" w:lineRule="exact"/>
        <w:rPr>
          <w:rFonts w:ascii="Times New Roman" w:cs="Times New Roman" w:eastAsia="Times New Roman" w:hAnsi="Times New Roman"/>
          <w:sz w:val="16"/>
          <w:szCs w:val="16"/>
          <w:color w:val="auto"/>
        </w:rPr>
      </w:pPr>
    </w:p>
    <w:p>
      <w:pPr>
        <w:ind w:right="120" w:firstLine="587"/>
        <w:spacing w:after="0" w:line="288" w:lineRule="auto"/>
        <w:tabs>
          <w:tab w:leader="none" w:pos="855"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any exchange provided for in clauses (1) through (3), the Company will execute and the Trustee will authenticate and deliver Individual Securities in registered form in authorized denominations.</w:t>
      </w:r>
    </w:p>
    <w:p>
      <w:pPr>
        <w:spacing w:after="0" w:line="29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33655</wp:posOffset>
            </wp:positionV>
            <wp:extent cx="714565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60"/>
          </w:cols>
          <w:pgMar w:left="900" w:top="123" w:right="339" w:bottom="1440" w:gutter="0" w:footer="0" w:header="0"/>
        </w:sectPr>
      </w:pPr>
    </w:p>
    <w:bookmarkStart w:id="80" w:name="page81"/>
    <w:bookmarkEnd w:id="80"/>
    <w:p>
      <w:pPr>
        <w:ind w:left="580" w:firstLine="587"/>
        <w:spacing w:after="0" w:line="265" w:lineRule="auto"/>
        <w:tabs>
          <w:tab w:leader="none" w:pos="1435"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exchange in full of a Global Security for Individual Securities, such Global Security shall be canceled by the Trustee. Individual Securities issued in exchange for a Global Security pursuant to this Section 2.17 shall be registered in such names and in such authorized denominations as the Depositary for such Global Security, pursuant to instructions from its direct or indirect participants or otherwise, shall instruct the Trustee. The Trustee shall deliver such Securities to the Persons in whose names such Securities are so registered.</w:t>
      </w:r>
    </w:p>
    <w:p>
      <w:pPr>
        <w:spacing w:after="0" w:line="161" w:lineRule="exact"/>
        <w:rPr>
          <w:rFonts w:ascii="Times New Roman" w:cs="Times New Roman" w:eastAsia="Times New Roman" w:hAnsi="Times New Roman"/>
          <w:sz w:val="16"/>
          <w:szCs w:val="16"/>
          <w:color w:val="auto"/>
        </w:rPr>
      </w:pPr>
    </w:p>
    <w:p>
      <w:pPr>
        <w:ind w:firstLine="582"/>
        <w:spacing w:after="0" w:line="259" w:lineRule="auto"/>
        <w:tabs>
          <w:tab w:leader="none" w:pos="828"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that Individual Securities of a series are issued in exchange for beneficial interests in Global Securities of such series in accordance with this Section 2.17, on or after such event when Individual Securities of such series are presented by a Holder to the Registrar with a request: (x) to register the transfer of such Individual Securities to a person who shall take delivery thereof in the form of Individual Securities only; or (y) to exchange such Individual Securities for an equal principal amount of Individual Securities of such series of other authorized denominations, the Registrar shall register the transfer or make the exchange as requested if the requirements for such transaction under this Indenture are satisfied;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Individual Securities presented or surrendered for register of transfer or exchange shall be duly endorsed or accompanied by an assignment form and, if applicable, a transfer certificate, each in the form included in the supplemental indenture or Company Order authorizing the applicable Securities, and in each case in a form satisfactory to the Registrar duly executed by the Holder thereof or its attorney duly authorized in writing.</w:t>
      </w:r>
    </w:p>
    <w:p>
      <w:pPr>
        <w:spacing w:after="0" w:line="363" w:lineRule="exact"/>
        <w:rPr>
          <w:rFonts w:ascii="Times New Roman" w:cs="Times New Roman" w:eastAsia="Times New Roman" w:hAnsi="Times New Roman"/>
          <w:sz w:val="16"/>
          <w:szCs w:val="16"/>
          <w:color w:val="auto"/>
        </w:rPr>
      </w:pPr>
    </w:p>
    <w:p>
      <w:pPr>
        <w:ind w:right="20" w:firstLine="582"/>
        <w:spacing w:after="0" w:line="257" w:lineRule="auto"/>
        <w:tabs>
          <w:tab w:leader="none" w:pos="855"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that Individual Securities of a series are issued in exchange for beneficial interests in Global Securities of such series and, thereafter, the events or conditions specified in Section 2.17(e)(1) or (2) which required such exchange shall cease to exist, the Company shall send notice to the Trustee and to the Holders of Securities of such series stating that such Holders may exchange Individual Securities of such series for interests in Global Securities of such series by complying with the procedures set forth in this Indenture and briefly describing such procedures and the events or circumstances requiring that such notice be given. Thereafter, if Individual Securities of such series are presented by a Holder to the Registrar with a request: (x) to register the transfer of such Individual Securities to a person who shall take delivery thereof in the form of a beneficial interest in a Global Security of such series; or (y) to exchange such Individual Securities for an equal principal amount of beneficial interests in a Global Security of such series, which beneficial interests shall be owned by the Holder transferring such Individual Securities, the Registrar shall register the transfer or make the exchange as requested by canceling such Individual Security and causing, or directing the Security Custodian to cause, the aggregate principal amount of the applicable Global Security to be increased accordingly and, if no such Global Security is then-outstanding, the Company shall issue and the Trustee shall authenticate and deliver a new Global Security of such series in accordance with Section 2.03;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Individual Securities presented or surrendered for registration of transfer or exchange shall be duly endorsed and accompanied by an assignment form and, if applicable, a transfer certificate, each in the form included in the supplemental indenture or Company Order authorizing the applicable Securities, and in each case in a form satisfactory to the Registrar duly executed by the Holder thereof or its attorney duly authorized in writing.</w:t>
      </w:r>
    </w:p>
    <w:p>
      <w:pPr>
        <w:spacing w:after="0" w:line="166" w:lineRule="exact"/>
        <w:rPr>
          <w:rFonts w:ascii="Times New Roman" w:cs="Times New Roman" w:eastAsia="Times New Roman" w:hAnsi="Times New Roman"/>
          <w:sz w:val="16"/>
          <w:szCs w:val="16"/>
          <w:color w:val="auto"/>
        </w:rPr>
      </w:pPr>
    </w:p>
    <w:p>
      <w:pPr>
        <w:ind w:right="80" w:firstLine="582"/>
        <w:spacing w:after="0" w:line="288" w:lineRule="auto"/>
        <w:tabs>
          <w:tab w:leader="none" w:pos="855"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in this Indenture or in the Securities shall prohibit the sale or other transfer of any Securities (including beneficial interests in Global Securities) to the Company or any of its Subsidiaries.</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2.18.  Issuance of Additional Securities.</w:t>
      </w:r>
    </w:p>
    <w:p>
      <w:pPr>
        <w:spacing w:after="0" w:line="208" w:lineRule="exact"/>
        <w:rPr>
          <w:sz w:val="20"/>
          <w:szCs w:val="20"/>
          <w:color w:val="auto"/>
        </w:rPr>
      </w:pPr>
    </w:p>
    <w:p>
      <w:pPr>
        <w:ind w:right="40" w:firstLine="582"/>
        <w:spacing w:after="0" w:line="265" w:lineRule="auto"/>
        <w:tabs>
          <w:tab w:leader="none" w:pos="846"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initial issue date of a series of Securities, the Company shall be entitled to issue Additional Securities of such series, which Additional Securities shall have identical terms as the Initial Securities of such series, other than with respect to the date of issuance and the amount of the issue price. All the Securities of a series issued under this Indenture shall be treated as a single class for all purposes of this Indenture, including waivers, amendments, redemptions and offers to purchase with respect to such series.</w:t>
      </w:r>
    </w:p>
    <w:p>
      <w:pPr>
        <w:spacing w:after="0" w:line="161" w:lineRule="exact"/>
        <w:rPr>
          <w:rFonts w:ascii="Times New Roman" w:cs="Times New Roman" w:eastAsia="Times New Roman" w:hAnsi="Times New Roman"/>
          <w:sz w:val="16"/>
          <w:szCs w:val="16"/>
          <w:color w:val="auto"/>
        </w:rPr>
      </w:pPr>
    </w:p>
    <w:p>
      <w:pPr>
        <w:ind w:left="900" w:hanging="318"/>
        <w:spacing w:after="0"/>
        <w:tabs>
          <w:tab w:leader="none" w:pos="9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Additional Securities of a series, the Company shall set forth in a Company Order, which shall be delivered to the Trustee, the following</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w:t>
      </w:r>
    </w:p>
    <w:p>
      <w:pPr>
        <w:spacing w:after="0" w:line="189" w:lineRule="exact"/>
        <w:rPr>
          <w:rFonts w:ascii="Times New Roman" w:cs="Times New Roman" w:eastAsia="Times New Roman" w:hAnsi="Times New Roman"/>
          <w:sz w:val="16"/>
          <w:szCs w:val="16"/>
          <w:color w:val="auto"/>
        </w:rPr>
      </w:pPr>
    </w:p>
    <w:p>
      <w:pPr>
        <w:ind w:left="1720" w:hanging="553"/>
        <w:spacing w:after="0"/>
        <w:tabs>
          <w:tab w:leader="none" w:pos="1720"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principal amount of such Additional Securities to be authenticated and delivered pursuant to this Indenture; and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1" w:name="page82"/>
    <w:bookmarkEnd w:id="81"/>
    <w:p>
      <w:pPr>
        <w:ind w:left="580" w:right="160" w:firstLine="587"/>
        <w:spacing w:after="0" w:line="272" w:lineRule="auto"/>
        <w:tabs>
          <w:tab w:leader="none" w:pos="1769"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issue price, the issue date and the CUSIP, ISIN or other identifying number of such Additional Securities;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Additional Securities of a series may be issued at a price that would cause such Additional Securities to not be fungible for U.S. federal income tax purposes with any other Securities of such series issued under this Indenture, unless such Securities bear a separate CUSIP, ISIN or other identifying number.</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2.19. Computation of Interest.</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Interest on the Securities shall be computed in accordance with the terms of the Securities of a series as specified pursuant to Section 2.02.</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2.20. Currency of Payments in Respect of Securities.</w:t>
      </w:r>
    </w:p>
    <w:p>
      <w:pPr>
        <w:spacing w:after="0" w:line="208" w:lineRule="exact"/>
        <w:rPr>
          <w:sz w:val="20"/>
          <w:szCs w:val="20"/>
          <w:color w:val="auto"/>
        </w:rPr>
      </w:pPr>
    </w:p>
    <w:p>
      <w:pPr>
        <w:ind w:right="140" w:firstLine="582"/>
        <w:spacing w:after="0" w:line="288" w:lineRule="auto"/>
        <w:tabs>
          <w:tab w:leader="none" w:pos="886"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specified pursuant to Section 2.02 for any series of Securities, payment of the principal of and premium, if any, and interest on Securities of such series will be made in U.S. Dollars.</w:t>
      </w:r>
    </w:p>
    <w:p>
      <w:pPr>
        <w:spacing w:after="0" w:line="143" w:lineRule="exact"/>
        <w:rPr>
          <w:rFonts w:ascii="Times New Roman" w:cs="Times New Roman" w:eastAsia="Times New Roman" w:hAnsi="Times New Roman"/>
          <w:sz w:val="16"/>
          <w:szCs w:val="16"/>
          <w:color w:val="auto"/>
        </w:rPr>
      </w:pPr>
    </w:p>
    <w:p>
      <w:pPr>
        <w:ind w:firstLine="582"/>
        <w:spacing w:after="0" w:line="261" w:lineRule="auto"/>
        <w:tabs>
          <w:tab w:leader="none" w:pos="896"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any provision of this Indenture where the Holders of outstanding Securities may perform an action that requires that a specified percentage of the Securities of all series perform such action and for purposes of any decision or determination by the Trustee of amounts due and unpaid for the principal of and premium, if any, and interest on the outstanding Securities of all series in respect of which moneys are to be disbursed ratably, the principal of and premium, if any, and interest on the outstanding Securities denominated in a Foreign Currency will be the amount in U.S. Dollars based upon exchange rates, determined as specified pursuant to Section 2.02 for Securities of such series, as of the date for determining whether the Holders entitled to perform such action have performed it or as of the date of such decision or determination by the Trustee, as the case may be.</w:t>
      </w:r>
    </w:p>
    <w:p>
      <w:pPr>
        <w:spacing w:after="0" w:line="161" w:lineRule="exact"/>
        <w:rPr>
          <w:rFonts w:ascii="Times New Roman" w:cs="Times New Roman" w:eastAsia="Times New Roman" w:hAnsi="Times New Roman"/>
          <w:sz w:val="16"/>
          <w:szCs w:val="16"/>
          <w:color w:val="auto"/>
        </w:rPr>
      </w:pPr>
    </w:p>
    <w:p>
      <w:pPr>
        <w:ind w:firstLine="582"/>
        <w:spacing w:after="0" w:line="263" w:lineRule="auto"/>
        <w:tabs>
          <w:tab w:leader="none" w:pos="886"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decision or determination to be made regarding exchange rates shall be made by an agent appointed by the Company;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agent shall accept such appointment in writing and the terms of such appointment shall, in the opinion of the Company at the time of such appointment, require such agent to make such determination by a method consistent with the method provided pursuant to Section 2.02 for the making of such decision or determination. All decisions and determinations of such agent regarding exchange rates shall, in the absence of manifest error, be conclusive for all purposes and irrevocably binding upon the Company, the Trustee and all Holders of the Securities.</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2.21. Judgments.</w:t>
      </w:r>
    </w:p>
    <w:p>
      <w:pPr>
        <w:spacing w:after="0" w:line="208" w:lineRule="exact"/>
        <w:rPr>
          <w:sz w:val="20"/>
          <w:szCs w:val="20"/>
          <w:color w:val="auto"/>
        </w:rPr>
      </w:pPr>
    </w:p>
    <w:p>
      <w:pPr>
        <w:ind w:right="100" w:firstLine="585"/>
        <w:spacing w:after="0" w:line="258" w:lineRule="auto"/>
        <w:rPr>
          <w:sz w:val="20"/>
          <w:szCs w:val="20"/>
          <w:color w:val="auto"/>
        </w:rPr>
      </w:pPr>
      <w:r>
        <w:rPr>
          <w:rFonts w:ascii="Times New Roman" w:cs="Times New Roman" w:eastAsia="Times New Roman" w:hAnsi="Times New Roman"/>
          <w:sz w:val="16"/>
          <w:szCs w:val="16"/>
          <w:color w:val="auto"/>
        </w:rPr>
        <w:t>The Company may provide pursuant to Section 2.02 for Securities of any series that (a) the obligation, if any, of the Company to pay the principal of, premium, if any, and interest on the Securities of any series in a Foreign Currency or U.S. Dollars (the “</w:t>
      </w:r>
      <w:r>
        <w:rPr>
          <w:rFonts w:ascii="Times New Roman" w:cs="Times New Roman" w:eastAsia="Times New Roman" w:hAnsi="Times New Roman"/>
          <w:sz w:val="16"/>
          <w:szCs w:val="16"/>
          <w:i w:val="1"/>
          <w:iCs w:val="1"/>
          <w:color w:val="auto"/>
        </w:rPr>
        <w:t>Designated Currency</w:t>
      </w:r>
      <w:r>
        <w:rPr>
          <w:rFonts w:ascii="Times New Roman" w:cs="Times New Roman" w:eastAsia="Times New Roman" w:hAnsi="Times New Roman"/>
          <w:sz w:val="16"/>
          <w:szCs w:val="16"/>
          <w:color w:val="auto"/>
        </w:rPr>
        <w:t>”) as may be specified pursuant to Section 2.02 is of the essence and agrees that, to the fullest extent possible under applicable law, judgments in respect of such Securities shall be given in the Designated Currency; (b) the obligation of the Company to make payments in the Designated Currency of the principal of and premium, if any, and interest on such Securities shall, notwithstanding any payment in any other Currency (whether pursuant to a judgment or otherwise), be discharged only to the extent of the amount in the Designated Currency that the Holder receiving such payment may, in accordance with normal banking procedures, purchase with the sum paid in such other Currency (after any premium and cost of exchange) on the business day in the country of issue of the Designated Currency or in the international banking community (in the case of a composite currency) immediately following the day on which such Holder receives such payment; (c) if the amount in the Designated Currency that may be so purchased for any reason falls short of the amount originally due, the Company shall pay such additional amounts as may be necessary to compensate for such shortfall; and (d) any obligation of the Company not discharged by such payment shall be due as a separate and independent obligation and, until discharged as provided herein, shall continue in full force and effect.</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ind w:right="-59"/>
        <w:spacing w:after="0"/>
        <w:rPr>
          <w:sz w:val="20"/>
          <w:szCs w:val="20"/>
          <w:color w:val="auto"/>
        </w:rPr>
      </w:pPr>
      <w:r>
        <w:rPr>
          <w:rFonts w:ascii="Times New Roman" w:cs="Times New Roman" w:eastAsia="Times New Roman" w:hAnsi="Times New Roman"/>
          <w:sz w:val="16"/>
          <w:szCs w:val="16"/>
          <w:color w:val="auto"/>
        </w:rPr>
        <w:t>ARTICLE III</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REDEMPTION AND PREPAYMENT</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3.01. Applicability of Right of Redemption.</w:t>
      </w:r>
    </w:p>
    <w:p>
      <w:pPr>
        <w:spacing w:after="0" w:line="208" w:lineRule="exact"/>
        <w:rPr>
          <w:sz w:val="20"/>
          <w:szCs w:val="20"/>
          <w:color w:val="auto"/>
        </w:rPr>
      </w:pPr>
    </w:p>
    <w:p>
      <w:pPr>
        <w:ind w:right="200" w:firstLine="585"/>
        <w:spacing w:after="0" w:line="288" w:lineRule="auto"/>
        <w:rPr>
          <w:sz w:val="20"/>
          <w:szCs w:val="20"/>
          <w:color w:val="auto"/>
        </w:rPr>
      </w:pPr>
      <w:r>
        <w:rPr>
          <w:rFonts w:ascii="Times New Roman" w:cs="Times New Roman" w:eastAsia="Times New Roman" w:hAnsi="Times New Roman"/>
          <w:sz w:val="16"/>
          <w:szCs w:val="16"/>
          <w:color w:val="auto"/>
        </w:rPr>
        <w:t>Except as otherwise provided as contemplated by Section 2.02 with respect to any series of Securities, redemption of Securities (other than pursuant to a sinking fund, amortization or analogous provision) permitted by the terms of any series of Securities shall be made in accordance with this Article III.</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3.02. Election To Redeem; Notices to Trustee.</w:t>
      </w:r>
    </w:p>
    <w:p>
      <w:pPr>
        <w:spacing w:after="0" w:line="208" w:lineRule="exact"/>
        <w:rPr>
          <w:sz w:val="20"/>
          <w:szCs w:val="20"/>
          <w:color w:val="auto"/>
        </w:rPr>
      </w:pPr>
    </w:p>
    <w:p>
      <w:pPr>
        <w:ind w:right="20" w:firstLine="585"/>
        <w:spacing w:after="0" w:line="259" w:lineRule="auto"/>
        <w:rPr>
          <w:sz w:val="20"/>
          <w:szCs w:val="20"/>
          <w:color w:val="auto"/>
        </w:rPr>
      </w:pPr>
      <w:r>
        <w:rPr>
          <w:rFonts w:ascii="Times New Roman" w:cs="Times New Roman" w:eastAsia="Times New Roman" w:hAnsi="Times New Roman"/>
          <w:sz w:val="16"/>
          <w:szCs w:val="16"/>
          <w:color w:val="auto"/>
        </w:rPr>
        <w:t>If the Company elects to redeem any Securities pursuant to this Article III, at least 10 days prior to the Redemption Date (unless a shorter notice shall be agreed to in writing by the Trustee) but not more than 60 days before the Redemption Date, the Company shall notify the Trustee in writing of the series of Securities to be redeemed, the Redemption Date and the principal amount of such Securities to be redeemed and the Redemption Price (or, if not then ascertainable, the manner of calculation thereof), and deliver to the Trustee, no later than two Business Days prior to the Redemption Date, an Officer’s Certificate stating that such redemption will comply with the conditions contained this Article III. Notice given to the Trustee pursuant to this Section 3.02 may, at the Company’s discretion, be subject to the satisfaction or waiver of one or more conditions precedent. Failure to give such notice, or any defect in such notice, shall not affect the sufficiency of any notice of redemption sent to the Holder of any Security of such series.</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3.03. Selection by Trustee of Securities To Be Redeemed.</w:t>
      </w:r>
    </w:p>
    <w:p>
      <w:pPr>
        <w:spacing w:after="0" w:line="208" w:lineRule="exact"/>
        <w:rPr>
          <w:sz w:val="20"/>
          <w:szCs w:val="20"/>
          <w:color w:val="auto"/>
        </w:rPr>
      </w:pPr>
    </w:p>
    <w:p>
      <w:pPr>
        <w:jc w:val="both"/>
        <w:ind w:right="220" w:firstLine="585"/>
        <w:spacing w:after="0" w:line="271" w:lineRule="auto"/>
        <w:rPr>
          <w:sz w:val="20"/>
          <w:szCs w:val="20"/>
          <w:color w:val="auto"/>
        </w:rPr>
      </w:pPr>
      <w:r>
        <w:rPr>
          <w:rFonts w:ascii="Times New Roman" w:cs="Times New Roman" w:eastAsia="Times New Roman" w:hAnsi="Times New Roman"/>
          <w:sz w:val="16"/>
          <w:szCs w:val="16"/>
          <w:color w:val="auto"/>
        </w:rPr>
        <w:t xml:space="preserve">If the Company elects to redeem less than all of the Securities of any series at any time, in the case of Securities issued in definitive form, the Trustee will select Securities of such series by lot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(or, in the case of Global Securities, the Securities will be selected in accordance with the applicable procedures of the relevant Depositary) unless an alternative method of selection is otherwise required by law or applicable stock exchange or Depositary requirements.</w:t>
      </w:r>
    </w:p>
    <w:p>
      <w:pPr>
        <w:spacing w:after="0" w:line="156" w:lineRule="exact"/>
        <w:rPr>
          <w:sz w:val="20"/>
          <w:szCs w:val="20"/>
          <w:color w:val="auto"/>
        </w:rPr>
      </w:pPr>
    </w:p>
    <w:p>
      <w:pPr>
        <w:ind w:right="40" w:firstLine="585"/>
        <w:spacing w:after="0" w:line="288" w:lineRule="auto"/>
        <w:rPr>
          <w:sz w:val="20"/>
          <w:szCs w:val="20"/>
          <w:color w:val="auto"/>
        </w:rPr>
      </w:pPr>
      <w:r>
        <w:rPr>
          <w:rFonts w:ascii="Times New Roman" w:cs="Times New Roman" w:eastAsia="Times New Roman" w:hAnsi="Times New Roman"/>
          <w:sz w:val="16"/>
          <w:szCs w:val="16"/>
          <w:color w:val="auto"/>
        </w:rPr>
        <w:t>The Trustee shall promptly notify the Company of the Securities selected for redemption and, in the case of any partial redemption, the principal amount thereof to be redeemed.</w:t>
      </w:r>
    </w:p>
    <w:p>
      <w:pPr>
        <w:spacing w:after="0" w:line="143" w:lineRule="exact"/>
        <w:rPr>
          <w:sz w:val="20"/>
          <w:szCs w:val="20"/>
          <w:color w:val="auto"/>
        </w:rPr>
      </w:pPr>
    </w:p>
    <w:p>
      <w:pPr>
        <w:ind w:right="20" w:firstLine="585"/>
        <w:spacing w:after="0" w:line="288" w:lineRule="auto"/>
        <w:rPr>
          <w:sz w:val="20"/>
          <w:szCs w:val="20"/>
          <w:color w:val="auto"/>
        </w:rPr>
      </w:pPr>
      <w:r>
        <w:rPr>
          <w:rFonts w:ascii="Times New Roman" w:cs="Times New Roman" w:eastAsia="Times New Roman" w:hAnsi="Times New Roman"/>
          <w:sz w:val="16"/>
          <w:szCs w:val="16"/>
          <w:color w:val="auto"/>
        </w:rPr>
        <w:t>The Company will redeem Securities of $2,000 or less in whole and not in part. For all purposes of this Indenture, unless the context otherwise requires, provisions of this Indenture that apply to Securities called for redemption also apply to portions of Securities called for redemption.</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3.04. Notice of Redemption.</w:t>
      </w:r>
    </w:p>
    <w:p>
      <w:pPr>
        <w:spacing w:after="0" w:line="208" w:lineRule="exact"/>
        <w:rPr>
          <w:sz w:val="20"/>
          <w:szCs w:val="20"/>
          <w:color w:val="auto"/>
        </w:rPr>
      </w:pPr>
    </w:p>
    <w:p>
      <w:pPr>
        <w:ind w:firstLine="585"/>
        <w:spacing w:after="0" w:line="265" w:lineRule="auto"/>
        <w:rPr>
          <w:sz w:val="20"/>
          <w:szCs w:val="20"/>
          <w:color w:val="auto"/>
        </w:rPr>
      </w:pPr>
      <w:r>
        <w:rPr>
          <w:rFonts w:ascii="Times New Roman" w:cs="Times New Roman" w:eastAsia="Times New Roman" w:hAnsi="Times New Roman"/>
          <w:sz w:val="16"/>
          <w:szCs w:val="16"/>
          <w:color w:val="auto"/>
        </w:rPr>
        <w:t>The Company will cause notices of redemption to be sent by electronic transmission or by first-class mail at least 10 but not more than 60 days before the Redemption Date to each Holder of Securities of the series to be redeemed at its registered address or otherwise in accordance with the applicable procedures of the Depositary. The Company may provide in the notice that payment of the Redemption Price and performance of the Company’s obligations with respect to the redemption or purchase may be performed by another Person. Any notice may, at the Company’s discretion, be subject to the satisfaction or waiver of one or more conditions precedent.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notice shall identify the Securities to be redeemed (including the series and the CUSIP, ISIN or other identifying numbers thereof) and shall state:</w:t>
      </w:r>
    </w:p>
    <w:p>
      <w:pPr>
        <w:spacing w:after="0" w:line="206" w:lineRule="exact"/>
        <w:rPr>
          <w:sz w:val="20"/>
          <w:szCs w:val="20"/>
          <w:color w:val="auto"/>
        </w:rPr>
      </w:pPr>
    </w:p>
    <w:p>
      <w:pPr>
        <w:ind w:left="1440" w:hanging="273"/>
        <w:spacing w:after="0"/>
        <w:tabs>
          <w:tab w:leader="none" w:pos="14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Date;</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Price (or, if not then ascertainable, the manner of calculation thereof);</w:t>
      </w:r>
    </w:p>
    <w:p>
      <w:pPr>
        <w:spacing w:after="0" w:line="205" w:lineRule="exact"/>
        <w:rPr>
          <w:rFonts w:ascii="Times New Roman" w:cs="Times New Roman" w:eastAsia="Times New Roman" w:hAnsi="Times New Roman"/>
          <w:sz w:val="16"/>
          <w:szCs w:val="16"/>
          <w:color w:val="auto"/>
        </w:rPr>
      </w:pPr>
    </w:p>
    <w:p>
      <w:pPr>
        <w:ind w:left="580" w:right="140" w:firstLine="587"/>
        <w:spacing w:after="0" w:line="271" w:lineRule="auto"/>
        <w:tabs>
          <w:tab w:leader="none" w:pos="1435"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fewer than all outstanding Securities of a series are to be redeemed, the portion of the principal amount of such Security to be redeemed and that, after the Redemption Date and upon surrender of such Security, a new Security or Securities of the applicable series in principal amount equal to the unredeemed portion will be issued;</w:t>
      </w:r>
    </w:p>
    <w:p>
      <w:pPr>
        <w:spacing w:after="0" w:line="156"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and address of the Paying Agent;</w:t>
      </w: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83" w:name="page84"/>
    <w:bookmarkEnd w:id="83"/>
    <w:p>
      <w:pPr>
        <w:ind w:left="1440" w:hanging="273"/>
        <w:spacing w:after="0"/>
        <w:tabs>
          <w:tab w:leader="none" w:pos="14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Securities called for redemption must be surrendered to the Paying Agent to collect the Redemption Price;</w:t>
      </w:r>
    </w:p>
    <w:p>
      <w:pPr>
        <w:spacing w:after="0" w:line="205" w:lineRule="exact"/>
        <w:rPr>
          <w:rFonts w:ascii="Times New Roman" w:cs="Times New Roman" w:eastAsia="Times New Roman" w:hAnsi="Times New Roman"/>
          <w:sz w:val="16"/>
          <w:szCs w:val="16"/>
          <w:color w:val="auto"/>
        </w:rPr>
      </w:pPr>
    </w:p>
    <w:p>
      <w:pPr>
        <w:ind w:left="580" w:right="140" w:firstLine="587"/>
        <w:spacing w:after="0" w:line="288" w:lineRule="auto"/>
        <w:tabs>
          <w:tab w:leader="none" w:pos="1435"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unless the Company defaults in the payment of the applicable Redemption Price, interest on Securities called for redemption ceases to accrue on and after the Redemption Date;</w:t>
      </w:r>
    </w:p>
    <w:p>
      <w:pPr>
        <w:spacing w:after="0" w:line="14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such notice is conditioned upon the occurrence of one or more conditions precedent, the nature of such conditions precedent;</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principal amount of Securities of such series that are being redeemed;</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redemption is for a sinking fund, if such is the case;</w:t>
      </w:r>
    </w:p>
    <w:p>
      <w:pPr>
        <w:spacing w:after="0" w:line="205" w:lineRule="exact"/>
        <w:rPr>
          <w:rFonts w:ascii="Times New Roman" w:cs="Times New Roman" w:eastAsia="Times New Roman" w:hAnsi="Times New Roman"/>
          <w:sz w:val="16"/>
          <w:szCs w:val="16"/>
          <w:color w:val="auto"/>
        </w:rPr>
      </w:pPr>
    </w:p>
    <w:p>
      <w:pPr>
        <w:ind w:left="1520" w:hanging="353"/>
        <w:spacing w:after="0"/>
        <w:tabs>
          <w:tab w:leader="none" w:pos="15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paragraph of the Securities and/or Section of this Indenture pursuant to which the Securities called for redemption are being redeemed; and</w:t>
      </w:r>
    </w:p>
    <w:p>
      <w:pPr>
        <w:spacing w:after="0" w:line="205" w:lineRule="exact"/>
        <w:rPr>
          <w:rFonts w:ascii="Times New Roman" w:cs="Times New Roman" w:eastAsia="Times New Roman" w:hAnsi="Times New Roman"/>
          <w:sz w:val="16"/>
          <w:szCs w:val="16"/>
          <w:color w:val="auto"/>
        </w:rPr>
      </w:pPr>
    </w:p>
    <w:p>
      <w:pPr>
        <w:ind w:left="580" w:right="20" w:firstLine="587"/>
        <w:spacing w:after="0" w:line="288" w:lineRule="auto"/>
        <w:tabs>
          <w:tab w:leader="none" w:pos="151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no representation is made as to the correctness or accuracy of the CUSIP, ISIN or other identifying number, if any, listed in such notice or printed on the Securities.</w:t>
      </w:r>
    </w:p>
    <w:p>
      <w:pPr>
        <w:spacing w:after="0" w:line="143" w:lineRule="exact"/>
        <w:rPr>
          <w:sz w:val="20"/>
          <w:szCs w:val="20"/>
          <w:color w:val="auto"/>
        </w:rPr>
      </w:pPr>
    </w:p>
    <w:p>
      <w:pPr>
        <w:ind w:right="140" w:firstLine="585"/>
        <w:spacing w:after="0" w:line="288" w:lineRule="auto"/>
        <w:rPr>
          <w:sz w:val="20"/>
          <w:szCs w:val="20"/>
          <w:color w:val="auto"/>
        </w:rPr>
      </w:pPr>
      <w:r>
        <w:rPr>
          <w:rFonts w:ascii="Times New Roman" w:cs="Times New Roman" w:eastAsia="Times New Roman" w:hAnsi="Times New Roman"/>
          <w:sz w:val="16"/>
          <w:szCs w:val="16"/>
          <w:color w:val="auto"/>
        </w:rPr>
        <w:t>At the Company’s written request made at least five Business Days prior to the date on which notice is to be given, the Trustee shall give the notice of redemption in the Company’s name and at the Company’s sole expense.</w:t>
      </w:r>
    </w:p>
    <w:p>
      <w:pPr>
        <w:spacing w:after="0" w:line="143" w:lineRule="exact"/>
        <w:rPr>
          <w:sz w:val="20"/>
          <w:szCs w:val="20"/>
          <w:color w:val="auto"/>
        </w:rPr>
      </w:pPr>
    </w:p>
    <w:p>
      <w:pPr>
        <w:ind w:firstLine="585"/>
        <w:spacing w:after="0" w:line="288" w:lineRule="auto"/>
        <w:rPr>
          <w:sz w:val="20"/>
          <w:szCs w:val="20"/>
          <w:color w:val="auto"/>
        </w:rPr>
      </w:pPr>
      <w:r>
        <w:rPr>
          <w:rFonts w:ascii="Times New Roman" w:cs="Times New Roman" w:eastAsia="Times New Roman" w:hAnsi="Times New Roman"/>
          <w:sz w:val="16"/>
          <w:szCs w:val="16"/>
          <w:color w:val="auto"/>
        </w:rPr>
        <w:t>If the Redemption Price is not ascertainable on the date on which the notice of redemption is delivered, the Company shall send to the Trustee, at least one Business Day prior to the Redemption Date, the Redemption Price.</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3.05. Effect of Notice of Redemption.</w:t>
      </w:r>
    </w:p>
    <w:p>
      <w:pPr>
        <w:spacing w:after="0" w:line="208" w:lineRule="exact"/>
        <w:rPr>
          <w:sz w:val="20"/>
          <w:szCs w:val="20"/>
          <w:color w:val="auto"/>
        </w:rPr>
      </w:pPr>
    </w:p>
    <w:p>
      <w:pPr>
        <w:ind w:right="20" w:firstLine="585"/>
        <w:spacing w:after="0" w:line="258" w:lineRule="auto"/>
        <w:rPr>
          <w:sz w:val="20"/>
          <w:szCs w:val="20"/>
          <w:color w:val="auto"/>
        </w:rPr>
      </w:pPr>
      <w:r>
        <w:rPr>
          <w:rFonts w:ascii="Times New Roman" w:cs="Times New Roman" w:eastAsia="Times New Roman" w:hAnsi="Times New Roman"/>
          <w:sz w:val="16"/>
          <w:szCs w:val="16"/>
          <w:color w:val="auto"/>
        </w:rPr>
        <w:t xml:space="preserve">Once the notice of redemption described in Section 3.04 is delivered, except as provided in the last sentence of the first paragraph of Section 3.04, Securities called for redemption become irrevocably due and payable on the Redemption Date and at the Redemption Price, including any premium, plus accrued and unpaid interest thereon, if any, to, but excluding, the Redemption Date. Upon surrender to the Paying Agent, such Securities shall be paid at the Redemption Price, including any premium, plus accrued and unpaid interest thereon, if any, to, but excluding, the Redemption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if the Redemption Date is on or after a regular record date and on or before the related Interest Payment Date, the accrued and unpaid interest thereon, if any, shall be paid to the Holder in whose name the Security is registered at the close of business on such regular record date, and no additional interest will be payable to Holders whose Securities are subject to redemption by the Company; and (b) if a Redemption Date is not a Business Day, payment shall be made on the next succeeding Business Day and no interest shall accrue for the period from such Redemption Date to such succeeding Business Day. Such notice, if delivered in the manner provided in Section 3.04, shall be conclusively presumed to have been given whether or not the Holder receives such notice. Failure to give notice, or any defect in such notice to the Holder of any Security of a series designated for redemption, in whole or in part, shall not affect the sufficiency of any notice of redemption with respect to the Holder of any other Security of such series.</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3.06. Deposit of Redemption Price.</w:t>
      </w:r>
    </w:p>
    <w:p>
      <w:pPr>
        <w:spacing w:after="0" w:line="208" w:lineRule="exact"/>
        <w:rPr>
          <w:sz w:val="20"/>
          <w:szCs w:val="20"/>
          <w:color w:val="auto"/>
        </w:rPr>
      </w:pPr>
    </w:p>
    <w:p>
      <w:pPr>
        <w:ind w:right="120" w:firstLine="585"/>
        <w:spacing w:after="0" w:line="265" w:lineRule="auto"/>
        <w:rPr>
          <w:sz w:val="20"/>
          <w:szCs w:val="20"/>
          <w:color w:val="auto"/>
        </w:rPr>
      </w:pPr>
      <w:r>
        <w:rPr>
          <w:rFonts w:ascii="Times New Roman" w:cs="Times New Roman" w:eastAsia="Times New Roman" w:hAnsi="Times New Roman"/>
          <w:sz w:val="16"/>
          <w:szCs w:val="16"/>
          <w:color w:val="auto"/>
        </w:rPr>
        <w:t>On or prior to 11:00 A.M., New York City time, on each Redemption Date, the Company shall deposit with the Paying Agent in immediately available funds money in the Currency in which such Securities are denominated (except as provided pursuant to Section 2.02) sufficient to pay the Redemption Price of, including premium, if any, and accrued and unpaid interest, if any, on all Securities to be redeemed on that date other than Securities or portions thereof called for redemption on that date which have been delivered by the Company to the Trustee for cancellation.</w:t>
      </w:r>
    </w:p>
    <w:p>
      <w:pPr>
        <w:spacing w:after="0" w:line="162" w:lineRule="exact"/>
        <w:rPr>
          <w:sz w:val="20"/>
          <w:szCs w:val="20"/>
          <w:color w:val="auto"/>
        </w:rPr>
      </w:pPr>
    </w:p>
    <w:p>
      <w:pPr>
        <w:ind w:right="100" w:firstLine="585"/>
        <w:spacing w:after="0" w:line="261" w:lineRule="auto"/>
        <w:rPr>
          <w:sz w:val="20"/>
          <w:szCs w:val="20"/>
          <w:color w:val="auto"/>
        </w:rPr>
      </w:pPr>
      <w:r>
        <w:rPr>
          <w:rFonts w:ascii="Times New Roman" w:cs="Times New Roman" w:eastAsia="Times New Roman" w:hAnsi="Times New Roman"/>
          <w:sz w:val="16"/>
          <w:szCs w:val="16"/>
          <w:color w:val="auto"/>
        </w:rPr>
        <w:t>On and after any Redemption Date, if money sufficient to pay the Redemption Price of, including premium, if any, and accrued and unpaid interest, if any, on Securities called for redemption shall have been made available in accordance with the immediately preceding paragraph, the Securities called for redemption will cease to accrue interest and the only right of the Holders of such Securities will be to receive payment of the Redemption Price of and, subject to Section 3.05, accrued and unpaid interest on such Securities to, but excluding, the Redemption Date. If any Security surrendered for redemption shall not be so paid because of the failure of the Company to comply with the preceding paragraph, interest will be paid, from the Redemption Date until such redemption payment is made, on the unpaid principal of the Security and any interest not paid on such unpaid principal, in each case at the rate and in the manner provided in the Securities.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3.07. Securities Redeemed in Part.</w:t>
      </w:r>
    </w:p>
    <w:p>
      <w:pPr>
        <w:spacing w:after="0" w:line="208" w:lineRule="exact"/>
        <w:rPr>
          <w:sz w:val="20"/>
          <w:szCs w:val="20"/>
          <w:color w:val="auto"/>
        </w:rPr>
      </w:pPr>
    </w:p>
    <w:p>
      <w:pPr>
        <w:ind w:right="40" w:firstLine="585"/>
        <w:spacing w:after="0" w:line="262" w:lineRule="auto"/>
        <w:rPr>
          <w:sz w:val="20"/>
          <w:szCs w:val="20"/>
          <w:color w:val="auto"/>
        </w:rPr>
      </w:pPr>
      <w:r>
        <w:rPr>
          <w:rFonts w:ascii="Times New Roman" w:cs="Times New Roman" w:eastAsia="Times New Roman" w:hAnsi="Times New Roman"/>
          <w:sz w:val="16"/>
          <w:szCs w:val="16"/>
          <w:color w:val="auto"/>
        </w:rPr>
        <w:t>If any Security is to be redeemed in part only, the notice of redemption that relates to that Security will state the portion of the principal amount thereof that is to be redeemed. The Company will issue a new Security of the applicable series in a principal amount equal to the unredeemed portion of the original Security in the name of the Holder upon cancellation of the original Security; except that if a Global Security is so redeemed, the balance of such Global Security shall be reduced in accordance with Section 2.17. Securities called for redemption become due on the date fixed for redemption. Unless the Company defaults in payment of the Redemption Price, interest will cease to accrue on the Securities or portions thereof called for such redemption on the Redemption Date.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4" w:name="page85"/>
    <w:bookmarkEnd w:id="84"/>
    <w:p>
      <w:pPr>
        <w:ind w:left="5180"/>
        <w:spacing w:after="0"/>
        <w:rPr>
          <w:sz w:val="20"/>
          <w:szCs w:val="20"/>
          <w:color w:val="auto"/>
        </w:rPr>
      </w:pPr>
      <w:r>
        <w:rPr>
          <w:rFonts w:ascii="Times New Roman" w:cs="Times New Roman" w:eastAsia="Times New Roman" w:hAnsi="Times New Roman"/>
          <w:sz w:val="16"/>
          <w:szCs w:val="16"/>
          <w:color w:val="auto"/>
        </w:rPr>
        <w:t>ARTICLE IV</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COVENANTS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4.01. Payment of Principal, Premium and Interest.</w:t>
      </w:r>
    </w:p>
    <w:p>
      <w:pPr>
        <w:spacing w:after="0" w:line="208" w:lineRule="exact"/>
        <w:rPr>
          <w:sz w:val="20"/>
          <w:szCs w:val="20"/>
          <w:color w:val="auto"/>
        </w:rPr>
      </w:pPr>
    </w:p>
    <w:p>
      <w:pPr>
        <w:ind w:right="60" w:firstLine="585"/>
        <w:spacing w:after="0" w:line="288" w:lineRule="auto"/>
        <w:rPr>
          <w:sz w:val="20"/>
          <w:szCs w:val="20"/>
          <w:color w:val="auto"/>
        </w:rPr>
      </w:pPr>
      <w:r>
        <w:rPr>
          <w:rFonts w:ascii="Times New Roman" w:cs="Times New Roman" w:eastAsia="Times New Roman" w:hAnsi="Times New Roman"/>
          <w:sz w:val="16"/>
          <w:szCs w:val="16"/>
          <w:color w:val="auto"/>
        </w:rPr>
        <w:t>The Company covenants and agrees that it will duly and punctually pay the principal of (and premium, if any) and interest on the Securities in accordance with the terms of the Securities and this Indenture.</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4.02. Maintenance of Office or Agency.</w:t>
      </w:r>
    </w:p>
    <w:p>
      <w:pPr>
        <w:spacing w:after="0" w:line="208" w:lineRule="exact"/>
        <w:rPr>
          <w:sz w:val="20"/>
          <w:szCs w:val="20"/>
          <w:color w:val="auto"/>
        </w:rPr>
      </w:pPr>
    </w:p>
    <w:p>
      <w:pPr>
        <w:ind w:right="20" w:firstLine="585"/>
        <w:spacing w:after="0" w:line="261" w:lineRule="auto"/>
        <w:rPr>
          <w:sz w:val="20"/>
          <w:szCs w:val="20"/>
          <w:color w:val="auto"/>
        </w:rPr>
      </w:pPr>
      <w:r>
        <w:rPr>
          <w:rFonts w:ascii="Times New Roman" w:cs="Times New Roman" w:eastAsia="Times New Roman" w:hAnsi="Times New Roman"/>
          <w:sz w:val="16"/>
          <w:szCs w:val="16"/>
          <w:color w:val="auto"/>
        </w:rPr>
        <w:t>The Company will maintain in each Place of Payment for Securities an office or agency where Securities may be presented or surrendered for payment, where Securities may be surrendered for registration of transfer or exchange and where notices and demands to or upon the Company in respect of the Securities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64" w:lineRule="exact"/>
        <w:rPr>
          <w:sz w:val="20"/>
          <w:szCs w:val="20"/>
          <w:color w:val="auto"/>
        </w:rPr>
      </w:pPr>
    </w:p>
    <w:p>
      <w:pPr>
        <w:ind w:right="60" w:firstLine="585"/>
        <w:spacing w:after="0" w:line="265" w:lineRule="auto"/>
        <w:rPr>
          <w:sz w:val="20"/>
          <w:szCs w:val="20"/>
          <w:color w:val="auto"/>
        </w:rPr>
      </w:pPr>
      <w:r>
        <w:rPr>
          <w:rFonts w:ascii="Times New Roman" w:cs="Times New Roman" w:eastAsia="Times New Roman" w:hAnsi="Times New Roman"/>
          <w:sz w:val="16"/>
          <w:szCs w:val="16"/>
          <w:color w:val="auto"/>
        </w:rPr>
        <w:t xml:space="preserve">The Company may also from time to time designate one or more other offices or agencies where the Securities may be presented or surrendered for any or all such purposes and may from time to time rescind such designations;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such designation or rescission shall in any manner relieve the Company of its obligation to maintain an office or agency in each Place of Payment for Securities for such purposes. The Company will give prompt written notice to the Trustee of any such designation or rescission and of any change in the location of any such other office or agency.</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4.03. Reports to Holders.</w:t>
      </w:r>
    </w:p>
    <w:p>
      <w:pPr>
        <w:spacing w:after="0" w:line="208" w:lineRule="exact"/>
        <w:rPr>
          <w:sz w:val="20"/>
          <w:szCs w:val="20"/>
          <w:color w:val="auto"/>
        </w:rPr>
      </w:pPr>
    </w:p>
    <w:p>
      <w:pPr>
        <w:ind w:firstLine="582"/>
        <w:spacing w:after="0" w:line="257" w:lineRule="auto"/>
        <w:tabs>
          <w:tab w:leader="none" w:pos="84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that the Company may not be subject to the reporting requirements of Section 13 or 15(d) of the Exchange Act, the Company will file with the Commission and provide the Trustee with such annual and quarterly reports and such information, documents and other reports as are specified in Sections 13 and 15(d) of the Exchange Act and applicable to a U.S. corporation subject to such sections, such information, documents and reports to be so filed and provided at the times specified for the filing of such information, documents and reports under such sections;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(1) the Company will not be required to provide the Trustee with any such information, documents and reports that are filed with the Commission and (2) the Company will not be so obligated to file such information, documents and reports with the Commission if the Commission does not permit such filings;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the Commission does not permit such filings, the Company will be required to provide to Holders any such information, documents or reports that are not so filed. The Company will also comply with the other provisions of TIA § 314(a), including the provision of the compliance certificate under TIA § 314(a)(4), which compliance certificate shall be delivered to the Trustee, commencing with the first fiscal year in which Securities are offered pursuant to this Indenture. Delivery of such reports, information and documents to the Trustee is for informational purposes only and the Trustee’s receipt of such shall not constitute actual or constructive notice or knowledge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71" w:lineRule="exact"/>
        <w:rPr>
          <w:rFonts w:ascii="Times New Roman" w:cs="Times New Roman" w:eastAsia="Times New Roman" w:hAnsi="Times New Roman"/>
          <w:sz w:val="16"/>
          <w:szCs w:val="16"/>
          <w:color w:val="auto"/>
        </w:rPr>
      </w:pPr>
    </w:p>
    <w:p>
      <w:pPr>
        <w:ind w:right="180" w:firstLine="582"/>
        <w:spacing w:after="0" w:line="265" w:lineRule="auto"/>
        <w:tabs>
          <w:tab w:leader="none" w:pos="855"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herein to the contrary, in the event that the Company fails to comply with its obligation to file or provide such information, documents and reports as required hereunder, the Company will be deemed to have cured such Default for purposes of Section 6.01(4) upon the filing or provision of all such information, documents and reports required hereunder prior to the expiration of 120 days after written notice to the Company of such failure from the Trustee or the Holders of at least 25% of the principal amount of the applicable series of Securities.</w:t>
      </w:r>
    </w:p>
    <w:p>
      <w:pPr>
        <w:spacing w:after="0" w:line="161" w:lineRule="exact"/>
        <w:rPr>
          <w:rFonts w:ascii="Times New Roman" w:cs="Times New Roman" w:eastAsia="Times New Roman" w:hAnsi="Times New Roman"/>
          <w:sz w:val="16"/>
          <w:szCs w:val="16"/>
          <w:color w:val="auto"/>
        </w:rPr>
      </w:pPr>
    </w:p>
    <w:p>
      <w:pPr>
        <w:jc w:val="both"/>
        <w:ind w:right="20" w:firstLine="582"/>
        <w:spacing w:after="0" w:line="265" w:lineRule="auto"/>
        <w:tabs>
          <w:tab w:leader="none" w:pos="84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herein to the contrary, the information, documents and reports required pursuant to this Indenture may, at the option of the Company, instead be those of any direct or indirect parent entity of the Company so long as such parent entity fully and unconditionally guarantees, by execution of this Indenture or a supplemental indenture, the obligations of the Company in respect of the Securities and such parent entity and the Company comply with the requirements of Rule 3-10 and Rule 13-01 of Regulation S-X promulgated by the Commission (or any successor provisions).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4.04. Additional Guarantees.</w:t>
      </w:r>
    </w:p>
    <w:p>
      <w:pPr>
        <w:spacing w:after="0" w:line="208" w:lineRule="exact"/>
        <w:rPr>
          <w:sz w:val="20"/>
          <w:szCs w:val="20"/>
          <w:color w:val="auto"/>
        </w:rPr>
      </w:pPr>
    </w:p>
    <w:p>
      <w:pPr>
        <w:ind w:right="80" w:firstLine="585"/>
        <w:spacing w:after="0" w:line="261" w:lineRule="auto"/>
        <w:rPr>
          <w:sz w:val="20"/>
          <w:szCs w:val="20"/>
          <w:color w:val="auto"/>
        </w:rPr>
      </w:pPr>
      <w:r>
        <w:rPr>
          <w:rFonts w:ascii="Times New Roman" w:cs="Times New Roman" w:eastAsia="Times New Roman" w:hAnsi="Times New Roman"/>
          <w:sz w:val="16"/>
          <w:szCs w:val="16"/>
          <w:color w:val="auto"/>
        </w:rPr>
        <w:t xml:space="preserve">Except as otherwise provided as contemplated by Section 2.02 with respect to any series of Securities, if any Subsidiary of the Company (other than a Receivables Entity) that was not a Guarantor at the time of the execution of this Indenture becomes a guarantor or an obligor in respect of any Triggering Indebtedness, within 10 Business Days of such event, the Company shall cause such Subsidiary to enter into a supplemental indenture pursuant to which such Subsidiary shall agree to Guarantee the Company’s Indenture Obligations, fully and unconditionally and on a senior basis;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no event shall a Subsidiary of the Company be required to provide a Guarantee of the Company’s Indenture Obligations if the Company reasonably determines that such Guarantee is prohibited by, or would be unduly burdensome under, applicable laws or would result in adverse tax consequences to the Company or any of its Subsidiaries.</w:t>
      </w:r>
    </w:p>
    <w:p>
      <w:pPr>
        <w:spacing w:after="0" w:line="164" w:lineRule="exact"/>
        <w:rPr>
          <w:sz w:val="20"/>
          <w:szCs w:val="20"/>
          <w:color w:val="auto"/>
        </w:rPr>
      </w:pPr>
    </w:p>
    <w:p>
      <w:pPr>
        <w:ind w:right="40" w:firstLine="585"/>
        <w:spacing w:after="0" w:line="288" w:lineRule="auto"/>
        <w:rPr>
          <w:sz w:val="20"/>
          <w:szCs w:val="20"/>
          <w:color w:val="auto"/>
        </w:rPr>
      </w:pPr>
      <w:r>
        <w:rPr>
          <w:rFonts w:ascii="Times New Roman" w:cs="Times New Roman" w:eastAsia="Times New Roman" w:hAnsi="Times New Roman"/>
          <w:sz w:val="16"/>
          <w:szCs w:val="16"/>
          <w:color w:val="auto"/>
        </w:rPr>
        <w:t>Notwithstanding the foregoing, any Guarantee by any Guarantor shall be automatically and unconditionally terminated and released, without any action on the part of the Trustee, any Holder of the Securities or any other person in accordance with Section 10.07.</w:t>
      </w:r>
    </w:p>
    <w:p>
      <w:pPr>
        <w:spacing w:after="0" w:line="143" w:lineRule="exact"/>
        <w:rPr>
          <w:sz w:val="20"/>
          <w:szCs w:val="20"/>
          <w:color w:val="auto"/>
        </w:rPr>
      </w:pPr>
    </w:p>
    <w:p>
      <w:pPr>
        <w:ind w:right="60" w:firstLine="585"/>
        <w:spacing w:after="0" w:line="271" w:lineRule="auto"/>
        <w:rPr>
          <w:sz w:val="20"/>
          <w:szCs w:val="20"/>
          <w:color w:val="auto"/>
        </w:rPr>
      </w:pPr>
      <w:r>
        <w:rPr>
          <w:rFonts w:ascii="Times New Roman" w:cs="Times New Roman" w:eastAsia="Times New Roman" w:hAnsi="Times New Roman"/>
          <w:sz w:val="16"/>
          <w:szCs w:val="16"/>
          <w:color w:val="auto"/>
        </w:rPr>
        <w:t>Each Guarantee shall be limited in amount to an amount not to exceed the maximum amount that can be guaranteed by the applicable Guarantor without rendering the Guarantee, as it relates to such Guarantor, voidable under applicable law relating to fraudulent conveyance or fraudulent transfer or similar laws affecting the rights of creditors generally.</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4.05. Compliance Certificate.</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Except as otherwise provided as contemplated by Section 2.02 with respect to any series of Securities:</w:t>
      </w:r>
    </w:p>
    <w:p>
      <w:pPr>
        <w:spacing w:after="0" w:line="206" w:lineRule="exact"/>
        <w:rPr>
          <w:sz w:val="20"/>
          <w:szCs w:val="20"/>
          <w:color w:val="auto"/>
        </w:rPr>
      </w:pPr>
    </w:p>
    <w:p>
      <w:pPr>
        <w:ind w:right="20" w:firstLine="582"/>
        <w:spacing w:after="0" w:line="262" w:lineRule="auto"/>
        <w:tabs>
          <w:tab w:leader="none" w:pos="846"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any Guarantor shall furnish to the Trustee annually, within 120 days after the end of each fiscal year, a brief certificate from the principal executive officer, principal financial officer or principal accounting officer (or, if no such officer exists, a board member), to such person’s knowledge, of the compliance by the Company or any Guarantor, as applicable, with all conditions and covenants under this Indenture (which compliance shall be determined without regard to any period of grace or requirement of notice provided under this Indenture) and, in the event of any Default, specifying each such Default and the nature and status thereof of which such Person may have knowledge. Such certificates need not comply with Sections 12.03 and 12.04 of this Indenture.</w:t>
      </w:r>
    </w:p>
    <w:p>
      <w:pPr>
        <w:spacing w:after="0" w:line="164" w:lineRule="exact"/>
        <w:rPr>
          <w:rFonts w:ascii="Times New Roman" w:cs="Times New Roman" w:eastAsia="Times New Roman" w:hAnsi="Times New Roman"/>
          <w:sz w:val="16"/>
          <w:szCs w:val="16"/>
          <w:color w:val="auto"/>
        </w:rPr>
      </w:pPr>
    </w:p>
    <w:p>
      <w:pPr>
        <w:ind w:right="100" w:firstLine="582"/>
        <w:spacing w:after="0" w:line="288" w:lineRule="auto"/>
        <w:tabs>
          <w:tab w:leader="none" w:pos="855"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 long as any of the Securities are outstanding, the Company will deliver to the Trustee, forthwith upon any Officer becoming aware of any Default or Event of Default, an Officer’s Certificate specifying such Default or Event of Default and what action the Company is taking or proposes to take with respect thereto.</w:t>
      </w:r>
    </w:p>
    <w:p>
      <w:pPr>
        <w:sectPr>
          <w:pgSz w:w="11900" w:h="16838" w:orient="portrait"/>
          <w:cols w:equalWidth="0" w:num="1">
            <w:col w:w="11220"/>
          </w:cols>
          <w:pgMar w:left="320" w:top="123" w:right="359" w:bottom="1440" w:gutter="0" w:footer="0" w:header="0"/>
        </w:sect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4565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type w:val="continuous"/>
        </w:sectPr>
      </w:pPr>
    </w:p>
    <w:bookmarkStart w:id="85" w:name="page86"/>
    <w:bookmarkEnd w:id="85"/>
    <w:p>
      <w:pPr>
        <w:jc w:val="center"/>
        <w:ind w:right="-79"/>
        <w:spacing w:after="0"/>
        <w:rPr>
          <w:sz w:val="20"/>
          <w:szCs w:val="20"/>
          <w:color w:val="auto"/>
        </w:rPr>
      </w:pPr>
      <w:r>
        <w:rPr>
          <w:rFonts w:ascii="Times New Roman" w:cs="Times New Roman" w:eastAsia="Times New Roman" w:hAnsi="Times New Roman"/>
          <w:sz w:val="16"/>
          <w:szCs w:val="16"/>
          <w:color w:val="auto"/>
        </w:rPr>
        <w:t>ARTICLE V</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SUCCESSORS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5.01. Consolidation, Merger and Sale of Assets.</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Except as otherwise provided as contemplated by Section 2.02 with respect to any series of Securities:</w:t>
      </w:r>
    </w:p>
    <w:p>
      <w:pPr>
        <w:spacing w:after="0" w:line="206" w:lineRule="exact"/>
        <w:rPr>
          <w:sz w:val="20"/>
          <w:szCs w:val="20"/>
          <w:color w:val="auto"/>
        </w:rPr>
      </w:pPr>
    </w:p>
    <w:p>
      <w:pPr>
        <w:ind w:right="280" w:firstLine="582"/>
        <w:spacing w:after="0" w:line="288" w:lineRule="auto"/>
        <w:tabs>
          <w:tab w:leader="none" w:pos="846"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not consolidate with any other entity or accept a merger of any other entity into the Company or permit the Company to be merged into another Person, or sell or lease all or substantially all the assets of the Company and its Subsidiaries to, any entity, unless:</w:t>
      </w:r>
    </w:p>
    <w:p>
      <w:pPr>
        <w:spacing w:after="0" w:line="141" w:lineRule="exact"/>
        <w:rPr>
          <w:rFonts w:ascii="Times New Roman" w:cs="Times New Roman" w:eastAsia="Times New Roman" w:hAnsi="Times New Roman"/>
          <w:sz w:val="16"/>
          <w:szCs w:val="16"/>
          <w:color w:val="auto"/>
        </w:rPr>
      </w:pPr>
    </w:p>
    <w:p>
      <w:pPr>
        <w:ind w:left="580" w:firstLine="587"/>
        <w:spacing w:after="0" w:line="272" w:lineRule="auto"/>
        <w:tabs>
          <w:tab w:leader="none" w:pos="1435"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 the Company shall be the continuing entity or the successor, transferee or lessee entity, if other than the Company (the “</w:t>
      </w:r>
      <w:r>
        <w:rPr>
          <w:rFonts w:ascii="Times New Roman" w:cs="Times New Roman" w:eastAsia="Times New Roman" w:hAnsi="Times New Roman"/>
          <w:sz w:val="16"/>
          <w:szCs w:val="16"/>
          <w:i w:val="1"/>
          <w:iCs w:val="1"/>
          <w:color w:val="auto"/>
        </w:rPr>
        <w:t>Successor Company</w:t>
      </w:r>
      <w:r>
        <w:rPr>
          <w:rFonts w:ascii="Times New Roman" w:cs="Times New Roman" w:eastAsia="Times New Roman" w:hAnsi="Times New Roman"/>
          <w:sz w:val="16"/>
          <w:szCs w:val="16"/>
          <w:color w:val="auto"/>
        </w:rPr>
        <w:t>”), shall expressly assume, by a supplemental indenture, executed and delivered to the Trustee, in form reasonably satisfactory to the Trustee, all the obligations of the Company under the Securities and this Indenture;</w:t>
      </w:r>
    </w:p>
    <w:p>
      <w:pPr>
        <w:spacing w:after="0" w:line="15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after such transaction, no Default shall have occurred and be continuing; and</w:t>
      </w:r>
    </w:p>
    <w:p>
      <w:pPr>
        <w:spacing w:after="0" w:line="205" w:lineRule="exact"/>
        <w:rPr>
          <w:rFonts w:ascii="Times New Roman" w:cs="Times New Roman" w:eastAsia="Times New Roman" w:hAnsi="Times New Roman"/>
          <w:sz w:val="16"/>
          <w:szCs w:val="16"/>
          <w:color w:val="auto"/>
        </w:rPr>
      </w:pPr>
    </w:p>
    <w:p>
      <w:pPr>
        <w:ind w:left="580" w:firstLine="587"/>
        <w:spacing w:after="0" w:line="288" w:lineRule="auto"/>
        <w:tabs>
          <w:tab w:leader="none" w:pos="1435"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the Trustee an Officer’s Certificate and an Opinion of Counsel, each stating that such consolidation, merger, sale or lease and such supplemental indenture (if any) comply with this Indenture.</w:t>
      </w:r>
    </w:p>
    <w:p>
      <w:pPr>
        <w:spacing w:after="0" w:line="143" w:lineRule="exact"/>
        <w:rPr>
          <w:rFonts w:ascii="Times New Roman" w:cs="Times New Roman" w:eastAsia="Times New Roman" w:hAnsi="Times New Roman"/>
          <w:sz w:val="16"/>
          <w:szCs w:val="16"/>
          <w:color w:val="auto"/>
        </w:rPr>
      </w:pPr>
    </w:p>
    <w:p>
      <w:pPr>
        <w:ind w:right="60" w:firstLine="582"/>
        <w:spacing w:after="0" w:line="271" w:lineRule="auto"/>
        <w:tabs>
          <w:tab w:leader="none" w:pos="855"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Section 5.01, the sale, lease, conveyance, assignment, transfer or other disposition of all or substantially all of the properties and assets or one or more Subsidiaries of the Company, which properties and assets, if held by the Company instead of such Subsidiaries, would constitute all or substantially all of the properties and assets of the Company on a consolidated basis, shall be deemed to be the transfer of all or substantially all of the properties and assets of the Company.</w:t>
      </w:r>
    </w:p>
    <w:p>
      <w:pPr>
        <w:spacing w:after="0" w:line="156" w:lineRule="exact"/>
        <w:rPr>
          <w:rFonts w:ascii="Times New Roman" w:cs="Times New Roman" w:eastAsia="Times New Roman" w:hAnsi="Times New Roman"/>
          <w:sz w:val="16"/>
          <w:szCs w:val="16"/>
          <w:color w:val="auto"/>
        </w:rPr>
      </w:pPr>
    </w:p>
    <w:p>
      <w:pPr>
        <w:ind w:right="100" w:firstLine="582"/>
        <w:spacing w:after="0" w:line="271" w:lineRule="auto"/>
        <w:tabs>
          <w:tab w:leader="none" w:pos="846"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Successor Company will be the successor to the Company and shall succeed to, and be substituted for, and may exercise every right and power of, the Company under this Indenture, and the Company, as the predecessor company, except in the case of a lease, shall be released from all obligations under this Indenture and the Securities.</w:t>
      </w:r>
    </w:p>
    <w:p>
      <w:pPr>
        <w:spacing w:after="0" w:line="1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ARTICLE VI</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DEFAULTS AND REMEDIES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6.01. Events of Default.</w:t>
      </w:r>
    </w:p>
    <w:p>
      <w:pPr>
        <w:spacing w:after="0" w:line="208" w:lineRule="exact"/>
        <w:rPr>
          <w:sz w:val="20"/>
          <w:szCs w:val="20"/>
          <w:color w:val="auto"/>
        </w:rPr>
      </w:pPr>
    </w:p>
    <w:p>
      <w:pPr>
        <w:ind w:right="220" w:firstLine="585"/>
        <w:spacing w:after="0" w:line="271" w:lineRule="auto"/>
        <w:rPr>
          <w:sz w:val="20"/>
          <w:szCs w:val="20"/>
          <w:color w:val="auto"/>
        </w:rPr>
      </w:pPr>
      <w:r>
        <w:rPr>
          <w:rFonts w:ascii="Times New Roman" w:cs="Times New Roman" w:eastAsia="Times New Roman" w:hAnsi="Times New Roman"/>
          <w:sz w:val="16"/>
          <w:szCs w:val="16"/>
          <w:color w:val="auto"/>
        </w:rPr>
        <w:t>Except where otherwise indicated by the context, the term is otherwise defined for a specific purpose or as otherwise provided as contemplated by Section 2.02 with respect to any series of Securities, the term “</w:t>
      </w:r>
      <w:r>
        <w:rPr>
          <w:rFonts w:ascii="Times New Roman" w:cs="Times New Roman" w:eastAsia="Times New Roman" w:hAnsi="Times New Roman"/>
          <w:sz w:val="16"/>
          <w:szCs w:val="16"/>
          <w:i w:val="1"/>
          <w:iCs w:val="1"/>
          <w:color w:val="auto"/>
        </w:rPr>
        <w:t>Event of Default</w:t>
      </w:r>
      <w:r>
        <w:rPr>
          <w:rFonts w:ascii="Times New Roman" w:cs="Times New Roman" w:eastAsia="Times New Roman" w:hAnsi="Times New Roman"/>
          <w:sz w:val="16"/>
          <w:szCs w:val="16"/>
          <w:color w:val="auto"/>
        </w:rPr>
        <w:t>” as used in this Indenture with respect to the Securities of a series shall mean one of the following described events unless it is inapplicable to a particular series:</w:t>
      </w:r>
    </w:p>
    <w:p>
      <w:pPr>
        <w:spacing w:after="0" w:line="156" w:lineRule="exact"/>
        <w:rPr>
          <w:sz w:val="20"/>
          <w:szCs w:val="20"/>
          <w:color w:val="auto"/>
        </w:rPr>
      </w:pPr>
    </w:p>
    <w:p>
      <w:pPr>
        <w:ind w:left="1440" w:hanging="273"/>
        <w:spacing w:after="0"/>
        <w:tabs>
          <w:tab w:leader="none" w:pos="144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to pay interest on the Securities of such series that continues for a period of 30 days after payment is due;</w:t>
      </w:r>
    </w:p>
    <w:p>
      <w:pPr>
        <w:spacing w:after="0" w:line="205" w:lineRule="exact"/>
        <w:rPr>
          <w:rFonts w:ascii="Times New Roman" w:cs="Times New Roman" w:eastAsia="Times New Roman" w:hAnsi="Times New Roman"/>
          <w:sz w:val="16"/>
          <w:szCs w:val="16"/>
          <w:color w:val="auto"/>
        </w:rPr>
      </w:pPr>
    </w:p>
    <w:p>
      <w:pPr>
        <w:ind w:left="580" w:right="200" w:firstLine="587"/>
        <w:spacing w:after="0" w:line="288" w:lineRule="auto"/>
        <w:tabs>
          <w:tab w:leader="none" w:pos="1435"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to pay the principal or premium, if any, on the Securities of such series when due upon maturity, redemption (otherwise than pursuant to a sinking fund), acceleration or otherwise;</w:t>
      </w:r>
    </w:p>
    <w:p>
      <w:pPr>
        <w:spacing w:after="0" w:line="14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to comply with Section 5.01;</w:t>
      </w:r>
    </w:p>
    <w:p>
      <w:pPr>
        <w:spacing w:after="0" w:line="205" w:lineRule="exact"/>
        <w:rPr>
          <w:rFonts w:ascii="Times New Roman" w:cs="Times New Roman" w:eastAsia="Times New Roman" w:hAnsi="Times New Roman"/>
          <w:sz w:val="16"/>
          <w:szCs w:val="16"/>
          <w:color w:val="auto"/>
        </w:rPr>
      </w:pPr>
    </w:p>
    <w:p>
      <w:pPr>
        <w:ind w:left="580" w:right="20" w:firstLine="587"/>
        <w:spacing w:after="0" w:line="261" w:lineRule="auto"/>
        <w:tabs>
          <w:tab w:leader="none" w:pos="1435"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to comply with (x) any of the Company’s and the Guarantors’ other applicable agreements contained in this Indenture and applicable to the Securities of such series (other than (i) a failure that is subject to clause (1), (2) or (3) of this Section 6.01 or (ii) a failure to comply with Section 4.03) for a period of 60 days after receipt by the Company of written notice of such failure from the Trustee (or receipt by the Company and the Trustee of written notice of such failure from the Holders of at least 25% of the principal amount of the applicable series of Securities) or (y) the requirements set forth in Section 4.03 for a period of 120 days after receipt by the Company of written notice of such failure from the Trustee (or receipt by the Company and the Trustee of written notice of such failure from the Holders of at least 25% of the principal amount of the applicable series of Securities);</w:t>
      </w:r>
    </w:p>
    <w:p>
      <w:pPr>
        <w:spacing w:after="0" w:line="3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160"/>
          </w:cols>
          <w:pgMar w:left="320" w:top="318" w:right="419" w:bottom="1440" w:gutter="0" w:footer="0" w:header="0"/>
        </w:sectPr>
      </w:pPr>
    </w:p>
    <w:bookmarkStart w:id="86" w:name="page87"/>
    <w:bookmarkEnd w:id="86"/>
    <w:p>
      <w:pPr>
        <w:ind w:left="580" w:firstLine="587"/>
        <w:spacing w:after="0" w:line="262" w:lineRule="auto"/>
        <w:tabs>
          <w:tab w:leader="none" w:pos="1435"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or more defaults shall have occurred under any of the agreements, indentures or instruments under which the Company or any Significant Subsidiary has outstanding Indebtedness in excess of $250.0 million, individually or in the aggregate, and either (a) such default results from the failure to pay such Indebtedness at its stated final maturity and such default has not been cured or the Indebtedness repaid in full within 20 days of the default or (b) such default or defaults have resulted in the acceleration of the maturity of such Indebtedness and such acceleration has not been rescinded or such Indebtedness repaid in full within 20 days of the acceleration;</w:t>
      </w:r>
    </w:p>
    <w:p>
      <w:pPr>
        <w:spacing w:after="0" w:line="164" w:lineRule="exact"/>
        <w:rPr>
          <w:rFonts w:ascii="Times New Roman" w:cs="Times New Roman" w:eastAsia="Times New Roman" w:hAnsi="Times New Roman"/>
          <w:sz w:val="16"/>
          <w:szCs w:val="16"/>
          <w:color w:val="auto"/>
        </w:rPr>
      </w:pPr>
    </w:p>
    <w:p>
      <w:pPr>
        <w:ind w:left="580" w:right="160" w:firstLine="587"/>
        <w:spacing w:after="0" w:line="271" w:lineRule="auto"/>
        <w:tabs>
          <w:tab w:leader="none" w:pos="1435"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or more judgments or orders that exceed $250.0 million in the aggregate (net of amounts covered by insurance or bonded) for the payment of money have been entered by a court or courts of competent jurisdiction against the Company or any Significant Subsidiary and such judgment or judgments have not been satisfied, stayed, annulled or rescinded within 60 days after such judgment or judgments become final and nonappealable;</w:t>
      </w:r>
    </w:p>
    <w:p>
      <w:pPr>
        <w:spacing w:after="0" w:line="156" w:lineRule="exact"/>
        <w:rPr>
          <w:rFonts w:ascii="Times New Roman" w:cs="Times New Roman" w:eastAsia="Times New Roman" w:hAnsi="Times New Roman"/>
          <w:sz w:val="16"/>
          <w:szCs w:val="16"/>
          <w:color w:val="auto"/>
        </w:rPr>
      </w:pPr>
    </w:p>
    <w:p>
      <w:pPr>
        <w:ind w:left="580" w:right="20" w:firstLine="587"/>
        <w:spacing w:after="0" w:line="265" w:lineRule="auto"/>
        <w:tabs>
          <w:tab w:leader="none" w:pos="1435"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Guarantee by a Significant Subsidiary of the Company’s Indenture Obligations under the Securities of such series shall for any reason cease to be, or shall for any reason be held in any judicial proceeding not to be, or asserted in writing by any Significant Subsidiary or the Company not to be, in full force and effect and enforceable in accordance with its terms, except to the extent contemplated by this Indenture and any such Guarantee by such Significant Subsidiary of the Company’s Indenture Obligations under the Securities of such series, and any such Default continues for 10 days;</w:t>
      </w:r>
    </w:p>
    <w:p>
      <w:pPr>
        <w:spacing w:after="0" w:line="161"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any Significant Subsidiary:</w:t>
      </w:r>
    </w:p>
    <w:p>
      <w:pPr>
        <w:spacing w:after="0" w:line="205" w:lineRule="exact"/>
        <w:rPr>
          <w:rFonts w:ascii="Times New Roman" w:cs="Times New Roman" w:eastAsia="Times New Roman" w:hAnsi="Times New Roman"/>
          <w:sz w:val="16"/>
          <w:szCs w:val="16"/>
          <w:color w:val="auto"/>
        </w:rPr>
      </w:pPr>
    </w:p>
    <w:p>
      <w:pPr>
        <w:ind w:left="2060" w:hanging="309"/>
        <w:spacing w:after="0"/>
        <w:tabs>
          <w:tab w:leader="none" w:pos="2060"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commences a voluntary insolvency proceeding;</w:t>
      </w:r>
    </w:p>
    <w:p>
      <w:pPr>
        <w:spacing w:after="0" w:line="205" w:lineRule="exact"/>
        <w:rPr>
          <w:rFonts w:ascii="Times New Roman" w:cs="Times New Roman" w:eastAsia="Times New Roman" w:hAnsi="Times New Roman"/>
          <w:sz w:val="16"/>
          <w:szCs w:val="16"/>
          <w:color w:val="auto"/>
        </w:rPr>
      </w:pPr>
    </w:p>
    <w:p>
      <w:pPr>
        <w:ind w:left="2040" w:hanging="289"/>
        <w:spacing w:after="0"/>
        <w:tabs>
          <w:tab w:leader="none" w:pos="2040"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consents to the entry of an order for relief against it in an involuntary insolvency proceeding or consents to its dissolution or winding-up;</w:t>
      </w:r>
    </w:p>
    <w:p>
      <w:pPr>
        <w:spacing w:after="0" w:line="205" w:lineRule="exact"/>
        <w:rPr>
          <w:rFonts w:ascii="Times New Roman" w:cs="Times New Roman" w:eastAsia="Times New Roman" w:hAnsi="Times New Roman"/>
          <w:sz w:val="16"/>
          <w:szCs w:val="16"/>
          <w:color w:val="auto"/>
        </w:rPr>
      </w:pPr>
    </w:p>
    <w:p>
      <w:pPr>
        <w:ind w:left="2040" w:hanging="289"/>
        <w:spacing w:after="0"/>
        <w:tabs>
          <w:tab w:leader="none" w:pos="2040"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consents to the appointment of a Custodian of it or for any substantial part of its property;</w:t>
      </w:r>
    </w:p>
    <w:p>
      <w:pPr>
        <w:spacing w:after="0" w:line="205" w:lineRule="exact"/>
        <w:rPr>
          <w:rFonts w:ascii="Times New Roman" w:cs="Times New Roman" w:eastAsia="Times New Roman" w:hAnsi="Times New Roman"/>
          <w:sz w:val="16"/>
          <w:szCs w:val="16"/>
          <w:color w:val="auto"/>
        </w:rPr>
      </w:pPr>
    </w:p>
    <w:p>
      <w:pPr>
        <w:ind w:left="2060" w:hanging="309"/>
        <w:spacing w:after="0"/>
        <w:tabs>
          <w:tab w:leader="none" w:pos="2060"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makes a general assignment for the benefit of its creditors;</w:t>
      </w:r>
    </w:p>
    <w:p>
      <w:pPr>
        <w:spacing w:after="0" w:line="205" w:lineRule="exact"/>
        <w:rPr>
          <w:rFonts w:ascii="Times New Roman" w:cs="Times New Roman" w:eastAsia="Times New Roman" w:hAnsi="Times New Roman"/>
          <w:sz w:val="16"/>
          <w:szCs w:val="16"/>
          <w:color w:val="auto"/>
        </w:rPr>
      </w:pPr>
    </w:p>
    <w:p>
      <w:pPr>
        <w:ind w:left="2040" w:hanging="289"/>
        <w:spacing w:after="0"/>
        <w:tabs>
          <w:tab w:leader="none" w:pos="2040"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generally is not paying its debts as they become due; or</w:t>
      </w:r>
    </w:p>
    <w:p>
      <w:pPr>
        <w:spacing w:after="0" w:line="205" w:lineRule="exact"/>
        <w:rPr>
          <w:rFonts w:ascii="Times New Roman" w:cs="Times New Roman" w:eastAsia="Times New Roman" w:hAnsi="Times New Roman"/>
          <w:sz w:val="16"/>
          <w:szCs w:val="16"/>
          <w:color w:val="auto"/>
        </w:rPr>
      </w:pPr>
    </w:p>
    <w:p>
      <w:pPr>
        <w:ind w:left="2040" w:hanging="289"/>
        <w:spacing w:after="0"/>
        <w:tabs>
          <w:tab w:leader="none" w:pos="2040"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takes any comparable action under any foreign laws relating to insolvency;</w:t>
      </w:r>
    </w:p>
    <w:p>
      <w:pPr>
        <w:spacing w:after="0" w:line="204" w:lineRule="exact"/>
        <w:rPr>
          <w:sz w:val="20"/>
          <w:szCs w:val="20"/>
          <w:color w:val="auto"/>
        </w:rPr>
      </w:pPr>
    </w:p>
    <w:p>
      <w:pPr>
        <w:ind w:right="820"/>
        <w:spacing w:after="0" w:line="291" w:lineRule="auto"/>
        <w:rPr>
          <w:sz w:val="20"/>
          <w:szCs w:val="20"/>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the liquidation of any Subsidiary of the Company into the Company or another Subsidiary of the Company, other than as part of a credit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reorganization, shall not constitute an Event of Default under this Section 6.01(8);</w:t>
      </w:r>
    </w:p>
    <w:p>
      <w:pPr>
        <w:spacing w:after="0" w:line="140" w:lineRule="exact"/>
        <w:rPr>
          <w:sz w:val="20"/>
          <w:szCs w:val="20"/>
          <w:color w:val="auto"/>
        </w:rPr>
      </w:pPr>
    </w:p>
    <w:p>
      <w:pPr>
        <w:ind w:left="1440" w:hanging="273"/>
        <w:spacing w:after="0"/>
        <w:tabs>
          <w:tab w:leader="none" w:pos="14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court of competent jurisdiction enters an order or decree under any Bankruptcy Law that:</w:t>
      </w:r>
    </w:p>
    <w:p>
      <w:pPr>
        <w:spacing w:after="0" w:line="205" w:lineRule="exact"/>
        <w:rPr>
          <w:rFonts w:ascii="Times New Roman" w:cs="Times New Roman" w:eastAsia="Times New Roman" w:hAnsi="Times New Roman"/>
          <w:sz w:val="16"/>
          <w:szCs w:val="16"/>
          <w:color w:val="auto"/>
        </w:rPr>
      </w:pPr>
    </w:p>
    <w:p>
      <w:pPr>
        <w:ind w:left="2060" w:hanging="309"/>
        <w:spacing w:after="0"/>
        <w:tabs>
          <w:tab w:leader="none" w:pos="206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for relief against the Company or any Significant Subsidiary in an involuntary insolvency proceeding;</w:t>
      </w:r>
    </w:p>
    <w:p>
      <w:pPr>
        <w:spacing w:after="0" w:line="205" w:lineRule="exact"/>
        <w:rPr>
          <w:rFonts w:ascii="Times New Roman" w:cs="Times New Roman" w:eastAsia="Times New Roman" w:hAnsi="Times New Roman"/>
          <w:sz w:val="16"/>
          <w:szCs w:val="16"/>
          <w:color w:val="auto"/>
        </w:rPr>
      </w:pPr>
    </w:p>
    <w:p>
      <w:pPr>
        <w:ind w:left="2040" w:hanging="289"/>
        <w:spacing w:after="0"/>
        <w:tabs>
          <w:tab w:leader="none" w:pos="204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appoints a Custodian of the Company or any Significant Subsidiary or for any substantial part of their property;</w:t>
      </w:r>
    </w:p>
    <w:p>
      <w:pPr>
        <w:spacing w:after="0" w:line="205" w:lineRule="exact"/>
        <w:rPr>
          <w:rFonts w:ascii="Times New Roman" w:cs="Times New Roman" w:eastAsia="Times New Roman" w:hAnsi="Times New Roman"/>
          <w:sz w:val="16"/>
          <w:szCs w:val="16"/>
          <w:color w:val="auto"/>
        </w:rPr>
      </w:pPr>
    </w:p>
    <w:p>
      <w:pPr>
        <w:ind w:left="2040" w:hanging="289"/>
        <w:spacing w:after="0"/>
        <w:tabs>
          <w:tab w:leader="none" w:pos="204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orders the winding-up, liquidation or dissolution of the Company or any Significant Subsidiary;</w:t>
      </w:r>
    </w:p>
    <w:p>
      <w:pPr>
        <w:spacing w:after="0" w:line="205" w:lineRule="exact"/>
        <w:rPr>
          <w:rFonts w:ascii="Times New Roman" w:cs="Times New Roman" w:eastAsia="Times New Roman" w:hAnsi="Times New Roman"/>
          <w:sz w:val="16"/>
          <w:szCs w:val="16"/>
          <w:color w:val="auto"/>
        </w:rPr>
      </w:pPr>
    </w:p>
    <w:p>
      <w:pPr>
        <w:ind w:left="2060" w:hanging="309"/>
        <w:spacing w:after="0"/>
        <w:tabs>
          <w:tab w:leader="none" w:pos="206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orders the presentation of any plan or arrangement, compromise or reorganization of the Company or any Significant Subsidiary; or</w:t>
      </w:r>
    </w:p>
    <w:p>
      <w:pPr>
        <w:spacing w:after="0" w:line="205" w:lineRule="exact"/>
        <w:rPr>
          <w:rFonts w:ascii="Times New Roman" w:cs="Times New Roman" w:eastAsia="Times New Roman" w:hAnsi="Times New Roman"/>
          <w:sz w:val="16"/>
          <w:szCs w:val="16"/>
          <w:color w:val="auto"/>
        </w:rPr>
      </w:pPr>
    </w:p>
    <w:p>
      <w:pPr>
        <w:ind w:left="2040" w:hanging="289"/>
        <w:spacing w:after="0"/>
        <w:tabs>
          <w:tab w:leader="none" w:pos="204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grants any similar relief under any foreign laws;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in each such case the order or decree remains unstayed and in effect for 60 days;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7" w:name="page88"/>
    <w:bookmarkEnd w:id="87"/>
    <w:p>
      <w:pPr>
        <w:ind w:left="580" w:right="160" w:firstLine="587"/>
        <w:spacing w:after="0" w:line="288" w:lineRule="auto"/>
        <w:tabs>
          <w:tab w:leader="none" w:pos="1557"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of the Company to pay a sinking fund installment, if any, when and as the same shall become payable by the terms of a Security of such series, which failure shall have continued unremedied for a period of 30 days; and</w:t>
      </w:r>
    </w:p>
    <w:p>
      <w:pPr>
        <w:spacing w:after="0" w:line="143" w:lineRule="exact"/>
        <w:rPr>
          <w:rFonts w:ascii="Times New Roman" w:cs="Times New Roman" w:eastAsia="Times New Roman" w:hAnsi="Times New Roman"/>
          <w:sz w:val="16"/>
          <w:szCs w:val="16"/>
          <w:color w:val="auto"/>
        </w:rPr>
      </w:pPr>
    </w:p>
    <w:p>
      <w:pPr>
        <w:ind w:left="1520" w:hanging="353"/>
        <w:spacing w:after="0"/>
        <w:tabs>
          <w:tab w:leader="none" w:pos="152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other Event of Default with respect to Securities of such series as provided in Section 2.02.</w:t>
      </w:r>
    </w:p>
    <w:p>
      <w:pPr>
        <w:spacing w:after="0" w:line="206" w:lineRule="exact"/>
        <w:rPr>
          <w:sz w:val="20"/>
          <w:szCs w:val="20"/>
          <w:color w:val="auto"/>
        </w:rPr>
      </w:pPr>
    </w:p>
    <w:p>
      <w:pPr>
        <w:ind w:right="440" w:firstLine="585"/>
        <w:spacing w:after="0" w:line="288" w:lineRule="auto"/>
        <w:rPr>
          <w:sz w:val="20"/>
          <w:szCs w:val="20"/>
          <w:color w:val="auto"/>
        </w:rPr>
      </w:pPr>
      <w:r>
        <w:rPr>
          <w:rFonts w:ascii="Times New Roman" w:cs="Times New Roman" w:eastAsia="Times New Roman" w:hAnsi="Times New Roman"/>
          <w:sz w:val="16"/>
          <w:szCs w:val="16"/>
          <w:color w:val="auto"/>
        </w:rPr>
        <w:t>The foregoing will constitute Events of Default whatever the reason for any such Event of Default and whether it is voluntary or involuntary or is effected by operation of law or pursuant to any judgment, decree or order of any court or any order, rule or regulation of any administrative or governmental body.</w:t>
      </w:r>
    </w:p>
    <w:p>
      <w:pPr>
        <w:spacing w:after="0" w:line="143" w:lineRule="exact"/>
        <w:rPr>
          <w:sz w:val="20"/>
          <w:szCs w:val="20"/>
          <w:color w:val="auto"/>
        </w:rPr>
      </w:pPr>
    </w:p>
    <w:p>
      <w:pPr>
        <w:ind w:firstLine="585"/>
        <w:spacing w:after="0" w:line="259" w:lineRule="auto"/>
        <w:rPr>
          <w:sz w:val="20"/>
          <w:szCs w:val="20"/>
          <w:color w:val="auto"/>
        </w:rPr>
      </w:pPr>
      <w:r>
        <w:rPr>
          <w:rFonts w:ascii="Times New Roman" w:cs="Times New Roman" w:eastAsia="Times New Roman" w:hAnsi="Times New Roman"/>
          <w:sz w:val="16"/>
          <w:szCs w:val="16"/>
          <w:color w:val="auto"/>
        </w:rPr>
        <w:t>Notwithstanding the foregoing provisions of this Section 6.01, if the principal or any premium or interest on any Security is payable in a Currency other than U.S. Dollars and such Currency is not available to the Company for making payment thereof due to the imposition of exchange controls or other circumstances beyond the control of the Company, the Company will be entitled to satisfy its obligations to Holders of the Securities by making such payment in U.S. Dollars in an amount equal to the U.S. Dollars equivalent of the amount payable in such other Currency, as determined by the Company’s agent in accordance with Section 2.20 by reference to the noon buying rate in The City of New York for cable transfers for such Currency (“</w:t>
      </w:r>
      <w:r>
        <w:rPr>
          <w:rFonts w:ascii="Times New Roman" w:cs="Times New Roman" w:eastAsia="Times New Roman" w:hAnsi="Times New Roman"/>
          <w:sz w:val="16"/>
          <w:szCs w:val="16"/>
          <w:i w:val="1"/>
          <w:iCs w:val="1"/>
          <w:color w:val="auto"/>
        </w:rPr>
        <w:t>Exchange Rate</w:t>
      </w:r>
      <w:r>
        <w:rPr>
          <w:rFonts w:ascii="Times New Roman" w:cs="Times New Roman" w:eastAsia="Times New Roman" w:hAnsi="Times New Roman"/>
          <w:sz w:val="16"/>
          <w:szCs w:val="16"/>
          <w:color w:val="auto"/>
        </w:rPr>
        <w:t>”), as such Exchange Rate is reported or otherwise made available by the Federal Reserve Bank of New York on the date of such payment, or, if such rate is not then available, on the basis of the most recently available Exchange Rate. Notwithstanding the foregoing provisions of this Section 6.01, any payment made under such circumstances in U.S. Dollars where the required payment is in a Currency other than U.S. Dollars will not constitute an Event of Default under this Indenture.</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6.02. Acceleration of Maturity; Rescission.</w:t>
      </w:r>
    </w:p>
    <w:p>
      <w:pPr>
        <w:spacing w:after="0" w:line="208" w:lineRule="exact"/>
        <w:rPr>
          <w:sz w:val="20"/>
          <w:szCs w:val="20"/>
          <w:color w:val="auto"/>
        </w:rPr>
      </w:pPr>
    </w:p>
    <w:p>
      <w:pPr>
        <w:ind w:firstLine="585"/>
        <w:spacing w:after="0" w:line="257" w:lineRule="auto"/>
        <w:rPr>
          <w:sz w:val="20"/>
          <w:szCs w:val="20"/>
          <w:color w:val="auto"/>
        </w:rPr>
      </w:pPr>
      <w:r>
        <w:rPr>
          <w:rFonts w:ascii="Times New Roman" w:cs="Times New Roman" w:eastAsia="Times New Roman" w:hAnsi="Times New Roman"/>
          <w:sz w:val="16"/>
          <w:szCs w:val="16"/>
          <w:color w:val="auto"/>
        </w:rPr>
        <w:t>Except as otherwise provided as contemplated by Section 2.02 with respect to any series of Securities, if an Event of Default with respect to the Securities of a series (other than an Event of Default specified in Sections 6.01(8) and 6.01(9) with respect to the Company) shall have occurred and be continuing, the Trustee or the Holders of at least 25% in outstanding principal amount of the Securities of such series may declare to be immediately due and payable the principal amount of all of the Securities of such series then outstanding, plus accrued but unpaid interest thereon, if any, to the date of acceleration. If an Event of Default specified in Sections 6.01(8) and 6.01(9) with respect to the Company shall occur, such amount with respect to all the Securities shall become automatically due and payable immediately without any further action or notice. However, a notice of Default or notice of continuing Event of Default (including any declaration of acceleration) with respect to the Securities of any series may not be given with respect to any action taken, and reported publicly or to Holders of the Securities of such series, more than two years prior to such notice. After any such acceleration, but before a judgment or decree based on acceleration is obtained by the applicable person, the registered Holders of a majority in principal amount of the then outstanding Securities of such series may cancel such acceleration if (i) the rescission would not conflict with any judgment or decree and (ii) if all existing Events of Default have been cured or waived except nonpayment of principal, that has become due solely because of the acceleration. No such rescission shall affect any subsequent Default or impair any right consequent thereto.</w:t>
      </w:r>
    </w:p>
    <w:p>
      <w:pPr>
        <w:spacing w:after="0" w:line="171" w:lineRule="exact"/>
        <w:rPr>
          <w:sz w:val="20"/>
          <w:szCs w:val="20"/>
          <w:color w:val="auto"/>
        </w:rPr>
      </w:pPr>
    </w:p>
    <w:p>
      <w:pPr>
        <w:ind w:right="100" w:firstLine="585"/>
        <w:spacing w:after="0" w:line="262" w:lineRule="auto"/>
        <w:rPr>
          <w:sz w:val="20"/>
          <w:szCs w:val="20"/>
          <w:color w:val="auto"/>
        </w:rPr>
      </w:pPr>
      <w:r>
        <w:rPr>
          <w:rFonts w:ascii="Times New Roman" w:cs="Times New Roman" w:eastAsia="Times New Roman" w:hAnsi="Times New Roman"/>
          <w:sz w:val="16"/>
          <w:szCs w:val="16"/>
          <w:color w:val="auto"/>
        </w:rPr>
        <w:t>Subject to Section 7.01, in case an Event of Default shall occur and be continuing, the Trustee shall be under no obligation to exercise any of its rights or powers under this Indenture at the request or direction of any of the Holders of Securities of any series, unless such Holders have offered to the Trustee reasonable security and/or indemnity to its satisfaction. Subject to Section 7.06, the Holders of a majority in aggregate principal amount of any series of Securities then outstanding will have the right to direct the time, method and place of conducting any proceeding for any remedy available to the Trustee or exercising any trust or power the Trustee holds with respect to the Securities of such series.</w:t>
      </w:r>
    </w:p>
    <w:p>
      <w:pPr>
        <w:spacing w:after="0" w:line="165" w:lineRule="exact"/>
        <w:rPr>
          <w:sz w:val="20"/>
          <w:szCs w:val="20"/>
          <w:color w:val="auto"/>
        </w:rPr>
      </w:pPr>
    </w:p>
    <w:p>
      <w:pPr>
        <w:ind w:right="200" w:firstLine="585"/>
        <w:spacing w:after="0" w:line="262" w:lineRule="auto"/>
        <w:rPr>
          <w:sz w:val="20"/>
          <w:szCs w:val="20"/>
          <w:color w:val="auto"/>
        </w:rPr>
      </w:pPr>
      <w:r>
        <w:rPr>
          <w:rFonts w:ascii="Times New Roman" w:cs="Times New Roman" w:eastAsia="Times New Roman" w:hAnsi="Times New Roman"/>
          <w:sz w:val="16"/>
          <w:szCs w:val="16"/>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8" w:name="page89"/>
    <w:bookmarkEnd w:id="88"/>
    <w:p>
      <w:pPr>
        <w:ind w:left="580"/>
        <w:spacing w:after="0"/>
        <w:rPr>
          <w:sz w:val="20"/>
          <w:szCs w:val="20"/>
          <w:color w:val="auto"/>
        </w:rPr>
      </w:pPr>
      <w:r>
        <w:rPr>
          <w:rFonts w:ascii="Times New Roman" w:cs="Times New Roman" w:eastAsia="Times New Roman" w:hAnsi="Times New Roman"/>
          <w:sz w:val="16"/>
          <w:szCs w:val="16"/>
          <w:i w:val="1"/>
          <w:iCs w:val="1"/>
          <w:color w:val="auto"/>
        </w:rPr>
        <w:t>Section 6.03. Other Remedies.</w:t>
      </w:r>
    </w:p>
    <w:p>
      <w:pPr>
        <w:spacing w:after="0" w:line="208" w:lineRule="exact"/>
        <w:rPr>
          <w:sz w:val="20"/>
          <w:szCs w:val="20"/>
          <w:color w:val="auto"/>
        </w:rPr>
      </w:pPr>
    </w:p>
    <w:p>
      <w:pPr>
        <w:ind w:right="120" w:firstLine="585"/>
        <w:spacing w:after="0" w:line="271" w:lineRule="auto"/>
        <w:rPr>
          <w:sz w:val="20"/>
          <w:szCs w:val="20"/>
          <w:color w:val="auto"/>
        </w:rPr>
      </w:pPr>
      <w:r>
        <w:rPr>
          <w:rFonts w:ascii="Times New Roman" w:cs="Times New Roman" w:eastAsia="Times New Roman" w:hAnsi="Times New Roman"/>
          <w:sz w:val="16"/>
          <w:szCs w:val="16"/>
          <w:color w:val="auto"/>
        </w:rPr>
        <w:t>If an Event of Default occurs and is continuing, the Trustee may pursue any available remedy by proceeding at law or in equity to collect the payment of principal of, or premium, if any, and interest on the Securities of each applicable series or to enforce the performance of any provision of the Securities of each applicable series or this Indenture and may take any necessary action requested of it as Trustee to settle, compromise, adjust or otherwise conclude any proceedings to which it is a party.</w:t>
      </w:r>
    </w:p>
    <w:p>
      <w:pPr>
        <w:spacing w:after="0" w:line="156" w:lineRule="exact"/>
        <w:rPr>
          <w:sz w:val="20"/>
          <w:szCs w:val="20"/>
          <w:color w:val="auto"/>
        </w:rPr>
      </w:pPr>
    </w:p>
    <w:p>
      <w:pPr>
        <w:ind w:right="80" w:firstLine="585"/>
        <w:spacing w:after="0" w:line="261" w:lineRule="auto"/>
        <w:rPr>
          <w:sz w:val="20"/>
          <w:szCs w:val="20"/>
          <w:color w:val="auto"/>
        </w:rPr>
      </w:pPr>
      <w:r>
        <w:rPr>
          <w:rFonts w:ascii="Times New Roman" w:cs="Times New Roman" w:eastAsia="Times New Roman" w:hAnsi="Times New Roman"/>
          <w:sz w:val="16"/>
          <w:szCs w:val="16"/>
          <w:color w:val="auto"/>
        </w:rPr>
        <w:t>The Trustee may maintain a proceeding even if it does not possess any of the Securities or does not produce any of them in the proceeding. Any such proceeding instituted by the Trustee may be brought in its own name and as trustee of an express trust, and any recovery of judgment shall, after provision for the payment of the reasonable compensation, expenses, disbursements of the Trustee and its counsel, be for the ratable benefit of the Holders of the Securities in respect of which such judgment has been recovered.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 Any costs associated with actions taken by the Trustee under this Section 6.03 shall be reimbursed to the Trustee by the Company.</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6.04. Waiver of Past Defaults and Events of Default.</w:t>
      </w:r>
    </w:p>
    <w:p>
      <w:pPr>
        <w:spacing w:after="0" w:line="208" w:lineRule="exact"/>
        <w:rPr>
          <w:sz w:val="20"/>
          <w:szCs w:val="20"/>
          <w:color w:val="auto"/>
        </w:rPr>
      </w:pPr>
    </w:p>
    <w:p>
      <w:pPr>
        <w:ind w:right="20" w:firstLine="585"/>
        <w:spacing w:after="0" w:line="261" w:lineRule="auto"/>
        <w:rPr>
          <w:sz w:val="20"/>
          <w:szCs w:val="20"/>
          <w:color w:val="auto"/>
        </w:rPr>
      </w:pPr>
      <w:r>
        <w:rPr>
          <w:rFonts w:ascii="Times New Roman" w:cs="Times New Roman" w:eastAsia="Times New Roman" w:hAnsi="Times New Roman"/>
          <w:sz w:val="16"/>
          <w:szCs w:val="16"/>
          <w:color w:val="auto"/>
        </w:rPr>
        <w:t xml:space="preserve">Provided the Securities of a series are not then due and payable by reason of a declaration of acceleration, the Holders of a majority in principal amount of the then outstanding Securities of such series may on behalf of the Holders of all the affected Securities of such series waive any past Default with respect to such series of Securities and its consequences by providing written notice thereof to the Company and the Trustee, except a Default (1) in the payment of interest on or the principal of any Security or (2) in respect of a covenant or provision hereof which under this Indenture cannot be modified or amended without the consent of the Holder of each outstanding Security affected. In the case of any such waiver, the Company, the Trustee and the Holders of the Securities of the applicable series will be restored to their former positions and rights under this Indenture, respectively;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such waiver shall extend to any subsequent or other Default or impair any right consequent thereto.</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6.05. Control by Majority.</w:t>
      </w:r>
    </w:p>
    <w:p>
      <w:pPr>
        <w:spacing w:after="0" w:line="208" w:lineRule="exact"/>
        <w:rPr>
          <w:sz w:val="20"/>
          <w:szCs w:val="20"/>
          <w:color w:val="auto"/>
        </w:rPr>
      </w:pPr>
    </w:p>
    <w:p>
      <w:pPr>
        <w:ind w:right="100" w:firstLine="585"/>
        <w:spacing w:after="0" w:line="262" w:lineRule="auto"/>
        <w:rPr>
          <w:sz w:val="20"/>
          <w:szCs w:val="20"/>
          <w:color w:val="auto"/>
        </w:rPr>
      </w:pPr>
      <w:r>
        <w:rPr>
          <w:rFonts w:ascii="Times New Roman" w:cs="Times New Roman" w:eastAsia="Times New Roman" w:hAnsi="Times New Roman"/>
          <w:sz w:val="16"/>
          <w:szCs w:val="16"/>
          <w:color w:val="auto"/>
        </w:rPr>
        <w:t>The Holders of at least a majority in aggregate principal amount of the outstanding Securities of a series may direct the time, method and place of conducting any proceeding for any remedy available to the Trustee or exercising any trust or power conferred on the Trustee with respect to the Securities of such series. However, the Trustee may refuse to follow any direction that conflicts with law or this Indenture, that may involve the Trustee in personal liability, or that the Trustee determines in good faith may be unduly prejudicial to the rights of Holders of the affected Securities not joining in the giving of such direction and may take any other action it deems proper that is not inconsistent with any such direction received from Holders of the Securities.</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6.06. Limitation on Suits.</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 Holder of the Securities of a series will have any right to institute any proceeding with respect to this Indenture, or for any remedy hereunder, unless:</w:t>
      </w:r>
    </w:p>
    <w:p>
      <w:pPr>
        <w:spacing w:after="0" w:line="206" w:lineRule="exact"/>
        <w:rPr>
          <w:sz w:val="20"/>
          <w:szCs w:val="20"/>
          <w:color w:val="auto"/>
        </w:rPr>
      </w:pPr>
    </w:p>
    <w:p>
      <w:pPr>
        <w:ind w:left="580" w:right="60" w:firstLine="587"/>
        <w:spacing w:after="0" w:line="288" w:lineRule="auto"/>
        <w:tabs>
          <w:tab w:leader="none" w:pos="1435"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has failed to institute such proceeding for 60 days after the Holder has previously given to the Trustee written notice of a continuing Event of Default with respect to the Securities of such series;</w:t>
      </w:r>
    </w:p>
    <w:p>
      <w:pPr>
        <w:spacing w:after="0" w:line="143" w:lineRule="exact"/>
        <w:rPr>
          <w:rFonts w:ascii="Times New Roman" w:cs="Times New Roman" w:eastAsia="Times New Roman" w:hAnsi="Times New Roman"/>
          <w:sz w:val="16"/>
          <w:szCs w:val="16"/>
          <w:color w:val="auto"/>
        </w:rPr>
      </w:pPr>
    </w:p>
    <w:p>
      <w:pPr>
        <w:ind w:left="580" w:right="160" w:firstLine="587"/>
        <w:spacing w:after="0" w:line="288" w:lineRule="auto"/>
        <w:tabs>
          <w:tab w:leader="none" w:pos="1435"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at least 25% in aggregate principal amount of the outstanding Securities of such series have made a written request, and offered to the Trustee reasonable security and/or indemnity satisfactory to it to institute such proceeding as Trustee; and</w:t>
      </w:r>
    </w:p>
    <w:p>
      <w:pPr>
        <w:spacing w:after="0" w:line="143" w:lineRule="exact"/>
        <w:rPr>
          <w:rFonts w:ascii="Times New Roman" w:cs="Times New Roman" w:eastAsia="Times New Roman" w:hAnsi="Times New Roman"/>
          <w:sz w:val="16"/>
          <w:szCs w:val="16"/>
          <w:color w:val="auto"/>
        </w:rPr>
      </w:pPr>
    </w:p>
    <w:p>
      <w:pPr>
        <w:ind w:left="580" w:firstLine="587"/>
        <w:spacing w:after="0" w:line="288" w:lineRule="auto"/>
        <w:tabs>
          <w:tab w:leader="none" w:pos="1435"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has not received from the Holders of a majority in aggregate principal amount of the outstanding Securities of such series a direction that is inconsistent with such request.</w:t>
      </w:r>
    </w:p>
    <w:p>
      <w:pPr>
        <w:spacing w:after="0" w:line="143" w:lineRule="exact"/>
        <w:rPr>
          <w:sz w:val="20"/>
          <w:szCs w:val="20"/>
          <w:color w:val="auto"/>
        </w:rPr>
      </w:pPr>
    </w:p>
    <w:p>
      <w:pPr>
        <w:ind w:right="100" w:firstLine="585"/>
        <w:spacing w:after="0" w:line="288" w:lineRule="auto"/>
        <w:rPr>
          <w:sz w:val="20"/>
          <w:szCs w:val="20"/>
          <w:color w:val="auto"/>
        </w:rPr>
      </w:pPr>
      <w:r>
        <w:rPr>
          <w:rFonts w:ascii="Times New Roman" w:cs="Times New Roman" w:eastAsia="Times New Roman" w:hAnsi="Times New Roman"/>
          <w:sz w:val="16"/>
          <w:szCs w:val="16"/>
          <w:color w:val="auto"/>
        </w:rPr>
        <w:t>However, the Holder of any Security will have an absolute and unconditional right to receive payment of the principal of, and premium, if any, or interest on, such Security on or after the date or dates they are to be paid as expressed in such Security and to institute suit for the enforcement of any such payment.</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ind w:left="580"/>
        <w:spacing w:after="0"/>
        <w:rPr>
          <w:sz w:val="20"/>
          <w:szCs w:val="20"/>
          <w:color w:val="auto"/>
        </w:rPr>
      </w:pPr>
      <w:r>
        <w:rPr>
          <w:rFonts w:ascii="Times New Roman" w:cs="Times New Roman" w:eastAsia="Times New Roman" w:hAnsi="Times New Roman"/>
          <w:sz w:val="16"/>
          <w:szCs w:val="16"/>
          <w:i w:val="1"/>
          <w:iCs w:val="1"/>
          <w:color w:val="auto"/>
        </w:rPr>
        <w:t>Section 6.07. Rights of Holders To Receive Payment.</w:t>
      </w:r>
    </w:p>
    <w:p>
      <w:pPr>
        <w:spacing w:after="0" w:line="208" w:lineRule="exact"/>
        <w:rPr>
          <w:sz w:val="20"/>
          <w:szCs w:val="20"/>
          <w:color w:val="auto"/>
        </w:rPr>
      </w:pPr>
    </w:p>
    <w:p>
      <w:pPr>
        <w:ind w:right="20" w:firstLine="585"/>
        <w:spacing w:after="0" w:line="259" w:lineRule="auto"/>
        <w:rPr>
          <w:sz w:val="20"/>
          <w:szCs w:val="20"/>
          <w:color w:val="auto"/>
        </w:rPr>
      </w:pPr>
      <w:r>
        <w:rPr>
          <w:rFonts w:ascii="Times New Roman" w:cs="Times New Roman" w:eastAsia="Times New Roman" w:hAnsi="Times New Roman"/>
          <w:sz w:val="16"/>
          <w:szCs w:val="16"/>
          <w:color w:val="auto"/>
        </w:rPr>
        <w:t>Notwithstanding any other provision of this Indenture, the right of any Holder of a Security to receive payment of the principal of or premium, if any, or interest, if any, on such Security (including in connection with an offer to purchase) or to bring suit for the enforcement of any such payment, on or after the due date expressed in the Securities shall not be impaired or affected without the consent of such Holder. Notwithstanding the foregoing, each Holder of a Security, and each owner of a beneficial interest in a Security, shall be deemed to acknowledge and agree that the release of any Guarantee in accordance with the terms of this Indenture shall not impair the right of such Holder or owner to receive any payment of the principal of or premium, if any, or interest, if any, on such Security, and each such Holder and each such owner, by acquiring any interest in a Security, thereby consents to any such release and waives any and all claims against the Trustee, the Company and any Guarantor in connection with such release.</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6.08. Collection Suit by Trustee.</w:t>
      </w:r>
    </w:p>
    <w:p>
      <w:pPr>
        <w:spacing w:after="0" w:line="208" w:lineRule="exact"/>
        <w:rPr>
          <w:sz w:val="20"/>
          <w:szCs w:val="20"/>
          <w:color w:val="auto"/>
        </w:rPr>
      </w:pPr>
    </w:p>
    <w:p>
      <w:pPr>
        <w:ind w:right="20" w:firstLine="585"/>
        <w:spacing w:after="0" w:line="271" w:lineRule="auto"/>
        <w:rPr>
          <w:sz w:val="20"/>
          <w:szCs w:val="20"/>
          <w:color w:val="auto"/>
        </w:rPr>
      </w:pPr>
      <w:r>
        <w:rPr>
          <w:rFonts w:ascii="Times New Roman" w:cs="Times New Roman" w:eastAsia="Times New Roman" w:hAnsi="Times New Roman"/>
          <w:sz w:val="16"/>
          <w:szCs w:val="16"/>
          <w:color w:val="auto"/>
        </w:rPr>
        <w:t>If an Event of Default in payment of principal, premium or interest specified in Section 6.01(1) or (2) occurs and is continuing, the Trustee may recover judgment in its own name and as trustee of an express trust against the Company (or any other obligor on the Securities) for the whole amount of unpaid principal and accrued interest remaining unpaid.</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6.09. Trustee May File Proofs of Claim.</w:t>
      </w:r>
    </w:p>
    <w:p>
      <w:pPr>
        <w:spacing w:after="0" w:line="208" w:lineRule="exact"/>
        <w:rPr>
          <w:sz w:val="20"/>
          <w:szCs w:val="20"/>
          <w:color w:val="auto"/>
        </w:rPr>
      </w:pPr>
    </w:p>
    <w:p>
      <w:pPr>
        <w:ind w:firstLine="585"/>
        <w:spacing w:after="0" w:line="259" w:lineRule="auto"/>
        <w:rPr>
          <w:sz w:val="20"/>
          <w:szCs w:val="20"/>
          <w:color w:val="auto"/>
        </w:rPr>
      </w:pPr>
      <w:r>
        <w:rPr>
          <w:rFonts w:ascii="Times New Roman" w:cs="Times New Roman" w:eastAsia="Times New Roman" w:hAnsi="Times New Roman"/>
          <w:sz w:val="16"/>
          <w:szCs w:val="16"/>
          <w:color w:val="auto"/>
        </w:rPr>
        <w:t>The Trustee may file such proofs of claim and other papers or documents as may be necessary or advisable in order to have the claims of the Trustee (including any claim for the reasonable compensation, expenses, disbursements and advances of the Trustee, its agents and counsel, and any other amounts due the Trustee under Section 7.06) and the Holders allowed in any judicial proceedings relative to the Company (or any other obligor upon the Securities), its creditors or its property and, unless prohibited by law,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7.06.</w:t>
      </w:r>
    </w:p>
    <w:p>
      <w:pPr>
        <w:spacing w:after="0" w:line="165" w:lineRule="exact"/>
        <w:rPr>
          <w:sz w:val="20"/>
          <w:szCs w:val="20"/>
          <w:color w:val="auto"/>
        </w:rPr>
      </w:pPr>
    </w:p>
    <w:p>
      <w:pPr>
        <w:ind w:right="60" w:firstLine="585"/>
        <w:spacing w:after="0" w:line="261" w:lineRule="auto"/>
        <w:rPr>
          <w:sz w:val="20"/>
          <w:szCs w:val="20"/>
          <w:color w:val="auto"/>
        </w:rPr>
      </w:pPr>
      <w:r>
        <w:rPr>
          <w:rFonts w:ascii="Times New Roman" w:cs="Times New Roman" w:eastAsia="Times New Roman" w:hAnsi="Times New Roman"/>
          <w:sz w:val="16"/>
          <w:szCs w:val="16"/>
          <w:color w:val="auto"/>
        </w:rPr>
        <w:t>Nothing herein contained shall be deemed to authorize the Trustee to authorize or consent to or accept or adopt on behalf of any Holder any plan or reorganization, arrangement, adjustment or composition affecting the Securities or the rights of any Holder thereof, or to authorize the Trustee to vote in respect of the claim of any Holder in any such proceedings. All rights of action and claims under this Indenture or the Securities may be prosecuted and enforced by the Trustee without the possession of any of the Securities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in respect of which such judgment has been recovered.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6.10. Priorities.</w:t>
      </w:r>
    </w:p>
    <w:p>
      <w:pPr>
        <w:spacing w:after="0" w:line="208" w:lineRule="exact"/>
        <w:rPr>
          <w:sz w:val="20"/>
          <w:szCs w:val="20"/>
          <w:color w:val="auto"/>
        </w:rPr>
      </w:pPr>
    </w:p>
    <w:p>
      <w:pPr>
        <w:ind w:right="80" w:firstLine="585"/>
        <w:spacing w:after="0" w:line="288" w:lineRule="auto"/>
        <w:rPr>
          <w:sz w:val="20"/>
          <w:szCs w:val="20"/>
          <w:color w:val="auto"/>
        </w:rPr>
      </w:pPr>
      <w:r>
        <w:rPr>
          <w:rFonts w:ascii="Times New Roman" w:cs="Times New Roman" w:eastAsia="Times New Roman" w:hAnsi="Times New Roman"/>
          <w:sz w:val="16"/>
          <w:szCs w:val="16"/>
          <w:color w:val="auto"/>
        </w:rPr>
        <w:t>Any money or property collected by the Trustee pursuant to this Article VI, and any money or other property distributable in respect of the Company’s obligations under this Indenture after an Event of Default shall be applied in the following order:</w:t>
      </w:r>
    </w:p>
    <w:p>
      <w:pPr>
        <w:spacing w:after="0" w:line="1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FIRST: to the Trustee (including any predecessor Trustee) for amounts due under Section 7.06;</w:t>
      </w:r>
    </w:p>
    <w:p>
      <w:pPr>
        <w:spacing w:after="0" w:line="206" w:lineRule="exact"/>
        <w:rPr>
          <w:sz w:val="20"/>
          <w:szCs w:val="20"/>
          <w:color w:val="auto"/>
        </w:rPr>
      </w:pPr>
    </w:p>
    <w:p>
      <w:pPr>
        <w:ind w:left="580" w:right="540" w:firstLine="585"/>
        <w:spacing w:after="0" w:line="288" w:lineRule="auto"/>
        <w:rPr>
          <w:sz w:val="20"/>
          <w:szCs w:val="20"/>
          <w:color w:val="auto"/>
        </w:rPr>
      </w:pPr>
      <w:r>
        <w:rPr>
          <w:rFonts w:ascii="Times New Roman" w:cs="Times New Roman" w:eastAsia="Times New Roman" w:hAnsi="Times New Roman"/>
          <w:sz w:val="16"/>
          <w:szCs w:val="16"/>
          <w:color w:val="auto"/>
        </w:rPr>
        <w:t>SECOND: to Holders for amounts due and unpaid on the affected Securities for principal, premium, if any, and interest as to each, ratably, without preference or priority of any kind, according to the amounts due and payable on the affected Securities; and</w:t>
      </w:r>
    </w:p>
    <w:p>
      <w:pPr>
        <w:spacing w:after="0" w:line="1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THIRD: to the Company.</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ind w:left="580"/>
        <w:spacing w:after="0"/>
        <w:rPr>
          <w:sz w:val="20"/>
          <w:szCs w:val="20"/>
          <w:color w:val="auto"/>
        </w:rPr>
      </w:pPr>
      <w:r>
        <w:rPr>
          <w:rFonts w:ascii="Times New Roman" w:cs="Times New Roman" w:eastAsia="Times New Roman" w:hAnsi="Times New Roman"/>
          <w:sz w:val="16"/>
          <w:szCs w:val="16"/>
          <w:color w:val="auto"/>
        </w:rPr>
        <w:t>The Trustee may fix a record date and payment date for any payment to Holders pursuant to this Section 6.10.</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6.11. Undertaking for Costs.</w:t>
      </w:r>
    </w:p>
    <w:p>
      <w:pPr>
        <w:spacing w:after="0" w:line="208" w:lineRule="exact"/>
        <w:rPr>
          <w:sz w:val="20"/>
          <w:szCs w:val="20"/>
          <w:color w:val="auto"/>
        </w:rPr>
      </w:pPr>
    </w:p>
    <w:p>
      <w:pPr>
        <w:ind w:right="40" w:firstLine="585"/>
        <w:spacing w:after="0" w:line="262" w:lineRule="auto"/>
        <w:rPr>
          <w:sz w:val="20"/>
          <w:szCs w:val="20"/>
          <w:color w:val="auto"/>
        </w:rPr>
      </w:pPr>
      <w:r>
        <w:rPr>
          <w:rFonts w:ascii="Times New Roman" w:cs="Times New Roman" w:eastAsia="Times New Roman" w:hAnsi="Times New Roman"/>
          <w:sz w:val="16"/>
          <w:szCs w:val="16"/>
          <w:color w:val="auto"/>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pursuant to Section 6.07 or a suit by Holders of more than 10% in principal amount of the Securities of a series then outstanding.</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6.12. Delay or Omission Not Waiver.</w:t>
      </w:r>
    </w:p>
    <w:p>
      <w:pPr>
        <w:spacing w:after="0" w:line="208" w:lineRule="exact"/>
        <w:rPr>
          <w:sz w:val="20"/>
          <w:szCs w:val="20"/>
          <w:color w:val="auto"/>
        </w:rPr>
      </w:pPr>
    </w:p>
    <w:p>
      <w:pPr>
        <w:ind w:firstLine="585"/>
        <w:spacing w:after="0" w:line="271" w:lineRule="auto"/>
        <w:rPr>
          <w:sz w:val="20"/>
          <w:szCs w:val="20"/>
          <w:color w:val="auto"/>
        </w:rPr>
      </w:pPr>
      <w:r>
        <w:rPr>
          <w:rFonts w:ascii="Times New Roman" w:cs="Times New Roman" w:eastAsia="Times New Roman" w:hAnsi="Times New Roman"/>
          <w:sz w:val="16"/>
          <w:szCs w:val="16"/>
          <w:color w:val="auto"/>
        </w:rPr>
        <w:t>No delay or omission of the Trustee or of any Holder of any Securities to exercise any right or remedy occurring upon an Event of Default shall impair any such right or remedy or constitute a waiver of any such Event of Default or an acquiescence therein. Every right and remedy given by this Article VI or by law to the Trustee or to the Holders may be exercised from time to time, and as often as may be deemed expedient, by the Trustee or by the Holders, as the case may be.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TRUSTEE</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7.01. Duties of Trustee.</w:t>
      </w:r>
    </w:p>
    <w:p>
      <w:pPr>
        <w:spacing w:after="0" w:line="208" w:lineRule="exact"/>
        <w:rPr>
          <w:sz w:val="20"/>
          <w:szCs w:val="20"/>
          <w:color w:val="auto"/>
        </w:rPr>
      </w:pPr>
    </w:p>
    <w:p>
      <w:pPr>
        <w:ind w:right="80" w:firstLine="582"/>
        <w:spacing w:after="0" w:line="271" w:lineRule="auto"/>
        <w:tabs>
          <w:tab w:leader="none" w:pos="84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Responsible Officer of the Trustee has received written notice that an Event of Default has occurred and is continuing, the Trustee will exercise such of the rights and powers vested in it under this Indenture, and use the same degree of care and skill in their exercise, as a prudent person would exercise or use under the circumstances in the conduct of such person’s own affairs.</w:t>
      </w:r>
    </w:p>
    <w:p>
      <w:pPr>
        <w:spacing w:after="0" w:line="156"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during the continuance of an Event of Default:</w:t>
      </w:r>
    </w:p>
    <w:p>
      <w:pPr>
        <w:spacing w:after="0" w:line="205" w:lineRule="exact"/>
        <w:rPr>
          <w:rFonts w:ascii="Times New Roman" w:cs="Times New Roman" w:eastAsia="Times New Roman" w:hAnsi="Times New Roman"/>
          <w:sz w:val="16"/>
          <w:szCs w:val="16"/>
          <w:color w:val="auto"/>
        </w:rPr>
      </w:pPr>
    </w:p>
    <w:p>
      <w:pPr>
        <w:ind w:left="580" w:right="660" w:firstLine="587"/>
        <w:spacing w:after="0" w:line="288" w:lineRule="auto"/>
        <w:tabs>
          <w:tab w:leader="none" w:pos="1435"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undertakes to perform such duties and only such duties as are specifically set forth in this Indenture, and no implied covenants or obligations shall be read into this Indenture against the Trustee; and</w:t>
      </w:r>
    </w:p>
    <w:p>
      <w:pPr>
        <w:spacing w:after="0" w:line="143" w:lineRule="exact"/>
        <w:rPr>
          <w:rFonts w:ascii="Times New Roman" w:cs="Times New Roman" w:eastAsia="Times New Roman" w:hAnsi="Times New Roman"/>
          <w:sz w:val="16"/>
          <w:szCs w:val="16"/>
          <w:color w:val="auto"/>
        </w:rPr>
      </w:pPr>
    </w:p>
    <w:p>
      <w:pPr>
        <w:ind w:left="580" w:right="60" w:firstLine="587"/>
        <w:spacing w:after="0" w:line="262" w:lineRule="auto"/>
        <w:tabs>
          <w:tab w:leader="none" w:pos="1435"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w:t>
      </w:r>
    </w:p>
    <w:p>
      <w:pPr>
        <w:spacing w:after="0" w:line="164" w:lineRule="exact"/>
        <w:rPr>
          <w:rFonts w:ascii="Times New Roman" w:cs="Times New Roman" w:eastAsia="Times New Roman" w:hAnsi="Times New Roman"/>
          <w:sz w:val="16"/>
          <w:szCs w:val="16"/>
          <w:color w:val="auto"/>
        </w:rPr>
      </w:pPr>
    </w:p>
    <w:p>
      <w:pPr>
        <w:ind w:right="300" w:firstLine="582"/>
        <w:spacing w:after="0" w:line="288" w:lineRule="auto"/>
        <w:tabs>
          <w:tab w:leader="none" w:pos="84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provision of this Indenture shall be construed to relieve the Trustee from liability for its own negligent action, its own negligent failure to act, or its own willful misconduct, except that:</w:t>
      </w:r>
    </w:p>
    <w:p>
      <w:pPr>
        <w:spacing w:after="0" w:line="14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paragraph does not limit the effect of clause (b) or (d) of this Section 7.01;</w:t>
      </w:r>
    </w:p>
    <w:p>
      <w:pPr>
        <w:spacing w:after="0" w:line="205" w:lineRule="exact"/>
        <w:rPr>
          <w:rFonts w:ascii="Times New Roman" w:cs="Times New Roman" w:eastAsia="Times New Roman" w:hAnsi="Times New Roman"/>
          <w:sz w:val="16"/>
          <w:szCs w:val="16"/>
          <w:color w:val="auto"/>
        </w:rPr>
      </w:pPr>
    </w:p>
    <w:p>
      <w:pPr>
        <w:ind w:left="580" w:firstLine="587"/>
        <w:spacing w:after="0" w:line="288" w:lineRule="auto"/>
        <w:tabs>
          <w:tab w:leader="none" w:pos="1435"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for any error of judgment made in good faith by a Responsible Officer or Responsible Officers of the Trustee, unless it is proved that the Trustee was negligent in ascertaining the pertinent facts; and</w:t>
      </w:r>
    </w:p>
    <w:p>
      <w:pPr>
        <w:spacing w:after="0" w:line="143" w:lineRule="exact"/>
        <w:rPr>
          <w:rFonts w:ascii="Times New Roman" w:cs="Times New Roman" w:eastAsia="Times New Roman" w:hAnsi="Times New Roman"/>
          <w:sz w:val="16"/>
          <w:szCs w:val="16"/>
          <w:color w:val="auto"/>
        </w:rPr>
      </w:pPr>
    </w:p>
    <w:p>
      <w:pPr>
        <w:ind w:left="580" w:firstLine="587"/>
        <w:spacing w:after="0" w:line="265" w:lineRule="auto"/>
        <w:tabs>
          <w:tab w:leader="none" w:pos="1435"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with respect to any action it takes or omits to take in good faith in accordance with a direction of the Holders of a majority in aggregate principal amount of the outstanding Securities of any series, determined as provided herein, relating to the time, method and place of conducting any proceeding for any remedy available to the Trustee, or exercising any trust or power conferred upon the Trustee, under this Indenture with respect to the Securities of such series.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1" w:name="page92"/>
    <w:bookmarkEnd w:id="91"/>
    <w:p>
      <w:pPr>
        <w:ind w:left="-20" w:right="20" w:firstLine="582"/>
        <w:spacing w:after="0" w:line="271" w:lineRule="auto"/>
        <w:tabs>
          <w:tab w:leader="none" w:pos="835"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satisfactory to it against such risk or liability is not reasonably assured to it.</w:t>
      </w:r>
    </w:p>
    <w:p>
      <w:pPr>
        <w:spacing w:after="0" w:line="156" w:lineRule="exact"/>
        <w:rPr>
          <w:rFonts w:ascii="Times New Roman" w:cs="Times New Roman" w:eastAsia="Times New Roman" w:hAnsi="Times New Roman"/>
          <w:sz w:val="16"/>
          <w:szCs w:val="16"/>
          <w:color w:val="auto"/>
        </w:rPr>
      </w:pPr>
    </w:p>
    <w:p>
      <w:pPr>
        <w:ind w:left="-20" w:right="200" w:firstLine="582"/>
        <w:spacing w:after="0" w:line="288" w:lineRule="auto"/>
        <w:tabs>
          <w:tab w:leader="none" w:pos="826"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or not therein expressly so provided, every provision of this Indenture relating to the conduct of, affecting the liability of, or affording protection to, the Trustee shall be subject to the provisions of this Section 7.01.</w:t>
      </w:r>
    </w:p>
    <w:p>
      <w:pPr>
        <w:spacing w:after="0" w:line="143" w:lineRule="exact"/>
        <w:rPr>
          <w:rFonts w:ascii="Times New Roman" w:cs="Times New Roman" w:eastAsia="Times New Roman" w:hAnsi="Times New Roman"/>
          <w:sz w:val="16"/>
          <w:szCs w:val="16"/>
          <w:color w:val="auto"/>
        </w:rPr>
      </w:pPr>
    </w:p>
    <w:p>
      <w:pPr>
        <w:ind w:left="-20" w:firstLine="582"/>
        <w:spacing w:after="0" w:line="288" w:lineRule="auto"/>
        <w:tabs>
          <w:tab w:leader="none" w:pos="808"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for interest or earnings on any money received by it except as the Trustee may agree in writing with the Company. Money held in trust by the Trustee or Paying Agent need not be segregated from other funds except to the extent required by the law.</w:t>
      </w:r>
    </w:p>
    <w:p>
      <w:pPr>
        <w:spacing w:after="0" w:line="143" w:lineRule="exact"/>
        <w:rPr>
          <w:rFonts w:ascii="Times New Roman" w:cs="Times New Roman" w:eastAsia="Times New Roman" w:hAnsi="Times New Roman"/>
          <w:sz w:val="16"/>
          <w:szCs w:val="16"/>
          <w:color w:val="auto"/>
        </w:rPr>
      </w:pPr>
    </w:p>
    <w:p>
      <w:pPr>
        <w:ind w:left="840" w:hanging="278"/>
        <w:spacing w:after="0"/>
        <w:tabs>
          <w:tab w:leader="none" w:pos="84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responsible for the application of any money by any Paying Agent other than the Trustee.</w:t>
      </w:r>
    </w:p>
    <w:p>
      <w:pPr>
        <w:spacing w:after="0" w:line="2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Section 7.02. Rights of Trustee.</w:t>
      </w:r>
    </w:p>
    <w:p>
      <w:pPr>
        <w:spacing w:after="0" w:line="2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Subject to Section 7.01:</w:t>
      </w:r>
    </w:p>
    <w:p>
      <w:pPr>
        <w:spacing w:after="0" w:line="206" w:lineRule="exact"/>
        <w:rPr>
          <w:sz w:val="20"/>
          <w:szCs w:val="20"/>
          <w:color w:val="auto"/>
        </w:rPr>
      </w:pPr>
    </w:p>
    <w:p>
      <w:pPr>
        <w:jc w:val="both"/>
        <w:ind w:left="-20" w:right="280" w:firstLine="582"/>
        <w:spacing w:after="0" w:line="265" w:lineRule="auto"/>
        <w:tabs>
          <w:tab w:leader="none" w:pos="826"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(whether in its original or electronic form) believed in good faith by it to be genuine and to have been signed or presented by the proper person. The Trustee need not investigate any fact or matter stated in the document.</w:t>
      </w:r>
    </w:p>
    <w:p>
      <w:pPr>
        <w:spacing w:after="0" w:line="161" w:lineRule="exact"/>
        <w:rPr>
          <w:rFonts w:ascii="Times New Roman" w:cs="Times New Roman" w:eastAsia="Times New Roman" w:hAnsi="Times New Roman"/>
          <w:sz w:val="16"/>
          <w:szCs w:val="16"/>
          <w:color w:val="auto"/>
        </w:rPr>
      </w:pPr>
    </w:p>
    <w:p>
      <w:pPr>
        <w:ind w:left="-20" w:right="220" w:firstLine="582"/>
        <w:spacing w:after="0" w:line="288" w:lineRule="auto"/>
        <w:tabs>
          <w:tab w:leader="none" w:pos="835"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request or direction of the Company mentioned herein shall be sufficiently evidenced by a Company Order and any resolution of the Board of Directors may be sufficiently evidenced by a board resolution.</w:t>
      </w:r>
    </w:p>
    <w:p>
      <w:pPr>
        <w:spacing w:after="0" w:line="143" w:lineRule="exact"/>
        <w:rPr>
          <w:rFonts w:ascii="Times New Roman" w:cs="Times New Roman" w:eastAsia="Times New Roman" w:hAnsi="Times New Roman"/>
          <w:sz w:val="16"/>
          <w:szCs w:val="16"/>
          <w:color w:val="auto"/>
        </w:rPr>
      </w:pPr>
    </w:p>
    <w:p>
      <w:pPr>
        <w:ind w:left="-20" w:right="100" w:firstLine="582"/>
        <w:spacing w:after="0" w:line="265" w:lineRule="auto"/>
        <w:tabs>
          <w:tab w:leader="none" w:pos="826"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in the administration of this Indenture the Trustee shall deem it desirable that a matter be proved or established prior to taking, suffering or omitting any action hereunder, the Trustee (unless other evidence be herein specifically prescribed) may require an Officer’s Certificate or an Opinion of Counsel (or both), which shall comply with the requirements of Section 12.03, and, in the absence of bad faith on its part, may conclusively rely upon such Officer’s Certificate or Opinion of Counsel (or both). The Trustee shall not be liable for any action it takes or omits to take in good faith in reliance on such Officer’s Certificate or Opinion of Counsel.</w:t>
      </w:r>
    </w:p>
    <w:p>
      <w:pPr>
        <w:spacing w:after="0" w:line="161" w:lineRule="exact"/>
        <w:rPr>
          <w:rFonts w:ascii="Times New Roman" w:cs="Times New Roman" w:eastAsia="Times New Roman" w:hAnsi="Times New Roman"/>
          <w:sz w:val="16"/>
          <w:szCs w:val="16"/>
          <w:color w:val="auto"/>
        </w:rPr>
      </w:pPr>
    </w:p>
    <w:p>
      <w:pPr>
        <w:ind w:left="-20" w:right="400" w:firstLine="582"/>
        <w:spacing w:after="0" w:line="288" w:lineRule="auto"/>
        <w:tabs>
          <w:tab w:leader="none" w:pos="835"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execute any of the trusts or power hereunder or perform any duties hereunder either directly or by or through attorneys or agents and the Trustee shall not be responsible for any misconduct or negligence on the part of any agent appointed with due care by it hereunder.</w:t>
      </w:r>
    </w:p>
    <w:p>
      <w:pPr>
        <w:spacing w:after="0" w:line="143" w:lineRule="exact"/>
        <w:rPr>
          <w:rFonts w:ascii="Times New Roman" w:cs="Times New Roman" w:eastAsia="Times New Roman" w:hAnsi="Times New Roman"/>
          <w:sz w:val="16"/>
          <w:szCs w:val="16"/>
          <w:color w:val="auto"/>
        </w:rPr>
      </w:pPr>
    </w:p>
    <w:p>
      <w:pPr>
        <w:ind w:left="-20" w:right="100" w:firstLine="582"/>
        <w:spacing w:after="0" w:line="288" w:lineRule="auto"/>
        <w:tabs>
          <w:tab w:leader="none" w:pos="826"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for any action taken, suffered, or omitted to be taken in good faith and believed by it to be authorized or within the discretion or rights or powers conferred upon it by this Indenture.</w:t>
      </w:r>
    </w:p>
    <w:p>
      <w:pPr>
        <w:spacing w:after="0" w:line="143" w:lineRule="exact"/>
        <w:rPr>
          <w:rFonts w:ascii="Times New Roman" w:cs="Times New Roman" w:eastAsia="Times New Roman" w:hAnsi="Times New Roman"/>
          <w:sz w:val="16"/>
          <w:szCs w:val="16"/>
          <w:color w:val="auto"/>
        </w:rPr>
      </w:pPr>
    </w:p>
    <w:p>
      <w:pPr>
        <w:ind w:left="-20" w:right="220" w:firstLine="582"/>
        <w:spacing w:after="0" w:line="288" w:lineRule="auto"/>
        <w:tabs>
          <w:tab w:leader="none" w:pos="808"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consult with counsel of its selection, and the advice of such counsel or any Opinion of Counsel shall be full and complete authorization and protection from liability in respect of any action taken, omitted or suffered by it hereunder in good faith and in reliance thereon.</w:t>
      </w:r>
    </w:p>
    <w:p>
      <w:pPr>
        <w:spacing w:after="0" w:line="143" w:lineRule="exact"/>
        <w:rPr>
          <w:rFonts w:ascii="Times New Roman" w:cs="Times New Roman" w:eastAsia="Times New Roman" w:hAnsi="Times New Roman"/>
          <w:sz w:val="16"/>
          <w:szCs w:val="16"/>
          <w:color w:val="auto"/>
        </w:rPr>
      </w:pPr>
    </w:p>
    <w:p>
      <w:pPr>
        <w:ind w:left="-20" w:right="220" w:firstLine="582"/>
        <w:spacing w:after="0" w:line="271" w:lineRule="auto"/>
        <w:tabs>
          <w:tab w:leader="none" w:pos="835"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be under no obligation to exercise any of the rights or powers vested in it by this Indenture at the request or direction of any of the Holders pursuant to this Indenture, unless such Holders shall have offered to the Trustee security and/or indemnity satisfactory to the Trustee against the costs, expenses and liabilities which might be incurred by it in compliance with such request or direction.</w:t>
      </w:r>
    </w:p>
    <w:p>
      <w:pPr>
        <w:spacing w:after="0" w:line="156" w:lineRule="exact"/>
        <w:rPr>
          <w:rFonts w:ascii="Times New Roman" w:cs="Times New Roman" w:eastAsia="Times New Roman" w:hAnsi="Times New Roman"/>
          <w:sz w:val="16"/>
          <w:szCs w:val="16"/>
          <w:color w:val="auto"/>
        </w:rPr>
      </w:pPr>
    </w:p>
    <w:p>
      <w:pPr>
        <w:ind w:left="-20" w:right="140" w:firstLine="582"/>
        <w:spacing w:after="0" w:line="288" w:lineRule="auto"/>
        <w:tabs>
          <w:tab w:leader="none" w:pos="835"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43" w:lineRule="exact"/>
        <w:rPr>
          <w:rFonts w:ascii="Times New Roman" w:cs="Times New Roman" w:eastAsia="Times New Roman" w:hAnsi="Times New Roman"/>
          <w:sz w:val="16"/>
          <w:szCs w:val="16"/>
          <w:color w:val="auto"/>
        </w:rPr>
      </w:pPr>
    </w:p>
    <w:p>
      <w:pPr>
        <w:ind w:left="-20" w:right="20" w:firstLine="582"/>
        <w:spacing w:after="0" w:line="262" w:lineRule="auto"/>
        <w:tabs>
          <w:tab w:leader="none" w:pos="799"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33655</wp:posOffset>
            </wp:positionV>
            <wp:extent cx="714565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40" w:top="123" w:right="339" w:bottom="1440" w:gutter="0" w:footer="0" w:header="0"/>
        </w:sectPr>
      </w:pPr>
    </w:p>
    <w:bookmarkStart w:id="92" w:name="page93"/>
    <w:bookmarkEnd w:id="92"/>
    <w:p>
      <w:pPr>
        <w:ind w:right="60" w:firstLine="582"/>
        <w:spacing w:after="0" w:line="271" w:lineRule="auto"/>
        <w:tabs>
          <w:tab w:leader="none" w:pos="819"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deemed to have notice or be charged with knowledge of any Default or Event of Default unless written notice of such Default or Event of Default from the Company or any Holder is received by a Responsible Officer of the Trustee at the Corporate Trust Office of the Trustee, and such notice references the Securities and this Indenture.</w:t>
      </w:r>
    </w:p>
    <w:p>
      <w:pPr>
        <w:spacing w:after="0" w:line="156" w:lineRule="exact"/>
        <w:rPr>
          <w:rFonts w:ascii="Times New Roman" w:cs="Times New Roman" w:eastAsia="Times New Roman" w:hAnsi="Times New Roman"/>
          <w:sz w:val="16"/>
          <w:szCs w:val="16"/>
          <w:color w:val="auto"/>
        </w:rPr>
      </w:pPr>
    </w:p>
    <w:p>
      <w:pPr>
        <w:jc w:val="both"/>
        <w:ind w:right="20" w:firstLine="582"/>
        <w:spacing w:after="0" w:line="271" w:lineRule="auto"/>
        <w:tabs>
          <w:tab w:leader="none" w:pos="855"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56" w:lineRule="exact"/>
        <w:rPr>
          <w:rFonts w:ascii="Times New Roman" w:cs="Times New Roman" w:eastAsia="Times New Roman" w:hAnsi="Times New Roman"/>
          <w:sz w:val="16"/>
          <w:szCs w:val="16"/>
          <w:color w:val="auto"/>
        </w:rPr>
      </w:pPr>
    </w:p>
    <w:p>
      <w:pPr>
        <w:ind w:firstLine="582"/>
        <w:spacing w:after="0" w:line="288" w:lineRule="auto"/>
        <w:tabs>
          <w:tab w:leader="none" w:pos="819"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Anything in this Indenture notwithstanding, in no event shall the Trustee be liable for special, indirect, punitive or consequential loss or damage of any kind whatsoever (including, but not limited to, loss of profit), even if the Trustee has been advised as to the likelihood of such loss or damage and regardless of the form of action.</w:t>
      </w:r>
    </w:p>
    <w:p>
      <w:pPr>
        <w:spacing w:after="0" w:line="143" w:lineRule="exact"/>
        <w:rPr>
          <w:rFonts w:ascii="Times New Roman" w:cs="Times New Roman" w:eastAsia="Times New Roman" w:hAnsi="Times New Roman"/>
          <w:sz w:val="16"/>
          <w:szCs w:val="16"/>
          <w:color w:val="auto"/>
        </w:rPr>
      </w:pPr>
    </w:p>
    <w:p>
      <w:pPr>
        <w:ind w:firstLine="582"/>
        <w:spacing w:after="0" w:line="265" w:lineRule="auto"/>
        <w:tabs>
          <w:tab w:leader="none" w:pos="9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responsible or liable for any failure or delay in the performance of its obligations under this Indenture arising out of or caused, directly or indirectly, by circumstances beyond its control, including, without limitation, any provision of any law or regulation or any act of any Governmental Authority, acts of God; earthquakes; fire; flood; terrorism; wars and other military disturbances; sabotage; epidemics; riots; interruptions; loss or malfunctions of utilities, computer (hardware or software) or communication services; accidents; labor disputes; acts of civil or military authority and governmental action.</w:t>
      </w:r>
    </w:p>
    <w:p>
      <w:pPr>
        <w:spacing w:after="0" w:line="161"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permissive right of the Trustee to take or refrain from taking action hereunder shall not be construed as a duty.</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7.03. Individual Rights of Trustee.</w:t>
      </w:r>
    </w:p>
    <w:p>
      <w:pPr>
        <w:spacing w:after="0" w:line="208" w:lineRule="exact"/>
        <w:rPr>
          <w:sz w:val="20"/>
          <w:szCs w:val="20"/>
          <w:color w:val="auto"/>
        </w:rPr>
      </w:pPr>
    </w:p>
    <w:p>
      <w:pPr>
        <w:ind w:right="40" w:firstLine="585"/>
        <w:spacing w:after="0" w:line="262" w:lineRule="auto"/>
        <w:rPr>
          <w:sz w:val="20"/>
          <w:szCs w:val="20"/>
          <w:color w:val="auto"/>
        </w:rPr>
      </w:pPr>
      <w:r>
        <w:rPr>
          <w:rFonts w:ascii="Times New Roman" w:cs="Times New Roman" w:eastAsia="Times New Roman" w:hAnsi="Times New Roman"/>
          <w:sz w:val="16"/>
          <w:szCs w:val="16"/>
          <w:color w:val="auto"/>
        </w:rPr>
        <w:t xml:space="preserve">The Trustee in its individual or any other capacity may become the owner or pledgee of Securities and may make loans to, accept deposits from, perform services for or otherwise deal with the Company or any Affiliate thereof with the same rights it would have if it were not Trustee. However, in the event that the Trustee acquires any conflicting interest within the meaning of Section 310(b)(1) of the TIA, it must eliminate such conflict within 90 days or resign;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there shall be excluded from the operation of TIA §310(b)(1) any indenture or indentures under which other securities or certificates of interest of participation in other securities of the Company are outstanding if the requirements for such exclusion set forth in TIA §310(b)(1) are met, other than the fact that such indentures are not described herein.</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Any Agent may do the same with like rights. The Trustee is also subject to Section 7.09.</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7.04. Trustee’s Disclaimer.</w:t>
      </w:r>
    </w:p>
    <w:p>
      <w:pPr>
        <w:spacing w:after="0" w:line="208" w:lineRule="exact"/>
        <w:rPr>
          <w:sz w:val="20"/>
          <w:szCs w:val="20"/>
          <w:color w:val="auto"/>
        </w:rPr>
      </w:pPr>
    </w:p>
    <w:p>
      <w:pPr>
        <w:ind w:right="20" w:firstLine="585"/>
        <w:spacing w:after="0" w:line="261" w:lineRule="auto"/>
        <w:rPr>
          <w:sz w:val="20"/>
          <w:szCs w:val="20"/>
          <w:color w:val="auto"/>
        </w:rPr>
      </w:pPr>
      <w:r>
        <w:rPr>
          <w:rFonts w:ascii="Times New Roman" w:cs="Times New Roman" w:eastAsia="Times New Roman" w:hAnsi="Times New Roman"/>
          <w:sz w:val="16"/>
          <w:szCs w:val="16"/>
          <w:color w:val="auto"/>
        </w:rPr>
        <w:t>The recitals contained herein and in the Securities, except the Trustee’s certificates of authentication, shall be taken as the statements of the Company, and the Trustee assumes no responsibility for their correctness. The Trustee makes no representations as to the validity, sufficiency or adequacy of this Indenture or of the Securities. The Trustee shall not be accountable for the use or application by the Company of the Securities or the proceeds thereof. The Trustee shall not be responsible to make any calculation with respect to any matter under this Indenture. The Trustee represents that it is duly authorized to execute and deliver this Indenture, authenticate the Securities and perform its obligations hereunder. The Trustee shall have no duty to monitor or investigate the Company’s compliance with or the breach of, or cause to be performed or observed, any representation, warranty or covenant made in this Indenture.</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3" w:name="page94"/>
    <w:bookmarkEnd w:id="93"/>
    <w:p>
      <w:pPr>
        <w:ind w:left="580"/>
        <w:spacing w:after="0"/>
        <w:rPr>
          <w:sz w:val="20"/>
          <w:szCs w:val="20"/>
          <w:color w:val="auto"/>
        </w:rPr>
      </w:pPr>
      <w:r>
        <w:rPr>
          <w:rFonts w:ascii="Times New Roman" w:cs="Times New Roman" w:eastAsia="Times New Roman" w:hAnsi="Times New Roman"/>
          <w:sz w:val="16"/>
          <w:szCs w:val="16"/>
          <w:i w:val="1"/>
          <w:iCs w:val="1"/>
          <w:color w:val="auto"/>
        </w:rPr>
        <w:t>Section 7.05. Notice of Defaults.</w:t>
      </w:r>
    </w:p>
    <w:p>
      <w:pPr>
        <w:spacing w:after="0" w:line="208" w:lineRule="exact"/>
        <w:rPr>
          <w:sz w:val="20"/>
          <w:szCs w:val="20"/>
          <w:color w:val="auto"/>
        </w:rPr>
      </w:pPr>
    </w:p>
    <w:p>
      <w:pPr>
        <w:ind w:firstLine="585"/>
        <w:spacing w:after="0" w:line="259" w:lineRule="auto"/>
        <w:rPr>
          <w:sz w:val="20"/>
          <w:szCs w:val="20"/>
          <w:color w:val="auto"/>
        </w:rPr>
      </w:pPr>
      <w:r>
        <w:rPr>
          <w:rFonts w:ascii="Times New Roman" w:cs="Times New Roman" w:eastAsia="Times New Roman" w:hAnsi="Times New Roman"/>
          <w:sz w:val="16"/>
          <w:szCs w:val="16"/>
          <w:color w:val="auto"/>
        </w:rPr>
        <w:t>Within 90 days after the occurrence thereof, and if known to the Trustee pursuant to Section 7.02(j), the Trustee shall give to the Holders of the Securities of a series notice of each Default or Event of Default with respect to the Securities of such series known to the Trustee pursuant to Section 7.02(j), by transmitting such notice to Holders at their addresses as the same shall then appear on the register of the Securities kept by the Registrar, unless such Default shall have been cured or waived before the giving of such notice. Except in the case of a Default or Event of Default in payment of the principal of, premium, if any, or interest on any of the Securities of a series when and as the same shall become payable, or to make any sinking fund payment as to the Securities of a series (including payments pursuant to a redemption or repurchase of the Securities pursuant to the provisions of this Indenture), the Trustee shall be protected in withholding such notice if and so long as a committee of its Responsible Officers in good faith determines that withholding the notice is in the interests of Holders.</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7.06. Compensation and Indemnity.</w:t>
      </w:r>
    </w:p>
    <w:p>
      <w:pPr>
        <w:spacing w:after="0" w:line="208" w:lineRule="exact"/>
        <w:rPr>
          <w:sz w:val="20"/>
          <w:szCs w:val="20"/>
          <w:color w:val="auto"/>
        </w:rPr>
      </w:pPr>
    </w:p>
    <w:p>
      <w:pPr>
        <w:ind w:right="100" w:firstLine="582"/>
        <w:spacing w:after="0" w:line="262" w:lineRule="auto"/>
        <w:tabs>
          <w:tab w:leader="none" w:pos="846"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pay to the Trustee and Agents from time to time such reasonable compensation for their services hereunder (which compensation shall not be limited by any provision of law in regard to the compensation of a trustee of an express trust) as shall be agreed upon in writing. The Company shall reimburse the Trustee and Agents upon request for all reasonable disbursements, expenses and advances incurred or made by them in connection with the Trustee’s duties under this Indenture, including the reasonable compensation, disbursements and expenses of the Trustee’s agents and external counsel, except any such expense, disbursement or advance as may be attributable to its willful misconduct or negligence.</w:t>
      </w:r>
    </w:p>
    <w:p>
      <w:pPr>
        <w:spacing w:after="0" w:line="164" w:lineRule="exact"/>
        <w:rPr>
          <w:rFonts w:ascii="Times New Roman" w:cs="Times New Roman" w:eastAsia="Times New Roman" w:hAnsi="Times New Roman"/>
          <w:sz w:val="16"/>
          <w:szCs w:val="16"/>
          <w:color w:val="auto"/>
        </w:rPr>
      </w:pPr>
    </w:p>
    <w:p>
      <w:pPr>
        <w:ind w:right="40" w:firstLine="582"/>
        <w:spacing w:after="0" w:line="258" w:lineRule="auto"/>
        <w:tabs>
          <w:tab w:leader="none" w:pos="855"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fully indemnify each of the Trustee and their officers, agents and employees and any predecessor Trustee for, and hold each of them harmless against, any and all loss, damage, claim, liability or expense, including, without limitation, reasonable and documented attorneys’ fees and expenses incurred by each of them in connection with the acceptance or performance of its duties under this Indenture including the reasonable and documented costs and expenses of defending itself against any claim (whether asserted by the Company, or any Holder or any other Person) or liability in connection with the exercise or performance of any of its powers or duties hereunder (including, without limitation, settlement costs). The Trustee or Agent shall notify the Company in writing promptly of any claim of which a Responsible Officer of the Trustee has received written notice at its Corporate Trust Office asserted against the Trustee or Agent for which it may seek indemnity;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failure by the Trustee or Agent to so notify the Company shall not relieve the Company of its obligations hereunder, except to the extent that the Company has been materially prejudiced thereby. The Company need not pay for any settlement made without its consent, which consent shall not be unreasonably withheld. In the event that a conflict of interest exists or potential harm to the Trustee’s business exists, the Trustee may have separate counsel, which counsel must be reasonably acceptable to the Company and the Company shall pay the reasonable and documented fees and expenses of such counsel.</w:t>
      </w:r>
    </w:p>
    <w:p>
      <w:pPr>
        <w:spacing w:after="0" w:line="165" w:lineRule="exact"/>
        <w:rPr>
          <w:rFonts w:ascii="Times New Roman" w:cs="Times New Roman" w:eastAsia="Times New Roman" w:hAnsi="Times New Roman"/>
          <w:sz w:val="16"/>
          <w:szCs w:val="16"/>
          <w:color w:val="auto"/>
        </w:rPr>
      </w:pPr>
    </w:p>
    <w:p>
      <w:pPr>
        <w:ind w:right="100" w:firstLine="582"/>
        <w:spacing w:after="0" w:line="288" w:lineRule="auto"/>
        <w:tabs>
          <w:tab w:leader="none" w:pos="846"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the Company need not reimburse the Trustee for any expense or indemnify it against any loss or liability to have been incurred by the Trustee through its own willful misconduct or negligence.</w:t>
      </w:r>
    </w:p>
    <w:p>
      <w:pPr>
        <w:spacing w:after="0" w:line="143" w:lineRule="exact"/>
        <w:rPr>
          <w:rFonts w:ascii="Times New Roman" w:cs="Times New Roman" w:eastAsia="Times New Roman" w:hAnsi="Times New Roman"/>
          <w:sz w:val="16"/>
          <w:szCs w:val="16"/>
          <w:color w:val="auto"/>
        </w:rPr>
      </w:pPr>
    </w:p>
    <w:p>
      <w:pPr>
        <w:ind w:right="300" w:firstLine="582"/>
        <w:spacing w:after="0" w:line="288" w:lineRule="auto"/>
        <w:tabs>
          <w:tab w:leader="none" w:pos="855"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secure the payment obligations of the Company in this Section 7.06, the Trustee shall have a lien prior to the Securities on all money or property held or collected by the Trustee and such money or property held in trust to pay principal of and interest on particular Securities.</w:t>
      </w:r>
    </w:p>
    <w:p>
      <w:pPr>
        <w:spacing w:after="0" w:line="143" w:lineRule="exact"/>
        <w:rPr>
          <w:rFonts w:ascii="Times New Roman" w:cs="Times New Roman" w:eastAsia="Times New Roman" w:hAnsi="Times New Roman"/>
          <w:sz w:val="16"/>
          <w:szCs w:val="16"/>
          <w:color w:val="auto"/>
        </w:rPr>
      </w:pPr>
    </w:p>
    <w:p>
      <w:pPr>
        <w:ind w:right="100" w:firstLine="582"/>
        <w:spacing w:after="0" w:line="265" w:lineRule="auto"/>
        <w:tabs>
          <w:tab w:leader="none" w:pos="846"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obligations of the Company under this Section 7.06 to compensate and indemnify the Trustee, Agents and each predecessor Trustee and to pay or reimburse the Trustee, Agents and each predecessor Trustee for expenses, disbursements and advances shall be the liability of the Company and the lien provided for under this Section 7.06 shall survive the resignation or removal of the Trustee and the satisfaction, discharge or other termination of this Indenture for any reason, including any termination or rejection hereof under any Bankruptcy Law.</w:t>
      </w:r>
    </w:p>
    <w:p>
      <w:pPr>
        <w:spacing w:after="0" w:line="161" w:lineRule="exact"/>
        <w:rPr>
          <w:rFonts w:ascii="Times New Roman" w:cs="Times New Roman" w:eastAsia="Times New Roman" w:hAnsi="Times New Roman"/>
          <w:sz w:val="16"/>
          <w:szCs w:val="16"/>
          <w:color w:val="auto"/>
        </w:rPr>
      </w:pPr>
    </w:p>
    <w:p>
      <w:pPr>
        <w:ind w:right="60" w:firstLine="582"/>
        <w:spacing w:after="0" w:line="271" w:lineRule="auto"/>
        <w:tabs>
          <w:tab w:leader="none" w:pos="828"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but without prejudice to its other rights under this Indenture, when the Trustee incurs expenses or renders services after an Event of Default specified in Section 6.01(8) or Section 6.01(9) occurs, the expenses (including the reasonable charges and expenses of its counsel) and the compensation for the services are intended to constitute expenses of administration under any Bankruptcy Law.</w:t>
      </w:r>
    </w:p>
    <w:p>
      <w:pPr>
        <w:spacing w:after="0" w:line="154" w:lineRule="exact"/>
        <w:rPr>
          <w:rFonts w:ascii="Times New Roman" w:cs="Times New Roman" w:eastAsia="Times New Roman" w:hAnsi="Times New Roman"/>
          <w:sz w:val="16"/>
          <w:szCs w:val="16"/>
          <w:color w:val="auto"/>
        </w:rPr>
      </w:pPr>
    </w:p>
    <w:p>
      <w:pPr>
        <w:ind w:right="140" w:firstLine="582"/>
        <w:spacing w:after="0" w:line="291" w:lineRule="auto"/>
        <w:tabs>
          <w:tab w:leader="none" w:pos="855"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purposes of this Section 7.06, the term “Trustee” shall include any predecessor Trustee;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negligence, willful misconduct or bad faith of any Trustee hereunder shall not affect the rights or any other Trustee hereunder.</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ind w:left="580"/>
        <w:spacing w:after="0"/>
        <w:rPr>
          <w:sz w:val="20"/>
          <w:szCs w:val="20"/>
          <w:color w:val="auto"/>
        </w:rPr>
      </w:pPr>
      <w:r>
        <w:rPr>
          <w:rFonts w:ascii="Times New Roman" w:cs="Times New Roman" w:eastAsia="Times New Roman" w:hAnsi="Times New Roman"/>
          <w:sz w:val="16"/>
          <w:szCs w:val="16"/>
          <w:i w:val="1"/>
          <w:iCs w:val="1"/>
          <w:color w:val="auto"/>
        </w:rPr>
        <w:t>Section 7.07. Replacement of Trustee.</w:t>
      </w:r>
    </w:p>
    <w:p>
      <w:pPr>
        <w:spacing w:after="0" w:line="208" w:lineRule="exact"/>
        <w:rPr>
          <w:sz w:val="20"/>
          <w:szCs w:val="20"/>
          <w:color w:val="auto"/>
        </w:rPr>
      </w:pPr>
    </w:p>
    <w:p>
      <w:pPr>
        <w:ind w:right="640" w:firstLine="582"/>
        <w:spacing w:after="0" w:line="288" w:lineRule="auto"/>
        <w:tabs>
          <w:tab w:leader="none" w:pos="846"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resignation or removal of the Trustee and appointment of a successor Trustee will become effective only upon the successor Trustee’s acceptance of appointment as provided in this Section 7.07.</w:t>
      </w:r>
    </w:p>
    <w:p>
      <w:pPr>
        <w:spacing w:after="0" w:line="143" w:lineRule="exact"/>
        <w:rPr>
          <w:rFonts w:ascii="Times New Roman" w:cs="Times New Roman" w:eastAsia="Times New Roman" w:hAnsi="Times New Roman"/>
          <w:sz w:val="16"/>
          <w:szCs w:val="16"/>
          <w:color w:val="auto"/>
        </w:rPr>
      </w:pPr>
    </w:p>
    <w:p>
      <w:pPr>
        <w:ind w:right="120" w:firstLine="582"/>
        <w:spacing w:after="0" w:line="265" w:lineRule="auto"/>
        <w:tabs>
          <w:tab w:leader="none" w:pos="855"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resign at any time by so notifying the Company in writing no later than 30 calendar days prior to the date of the proposed resignation. The Holders of a majority in principal amount of the outstanding Securities may remove the Trustee by notifying the Company and the removed Trustee in writing no later than 30 calendar days prior to the date of the proposed removal and may appoint a successor Trustee with the Company’s written consent, which consent shall not be unreasonably withheld. The Company may remove the Trustee at its election if:</w:t>
      </w:r>
    </w:p>
    <w:p>
      <w:pPr>
        <w:spacing w:after="0" w:line="161"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fails to comply with Section 7.09;</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is adjudged bankrupt or insolvent or an order for relief entered with respect to the Trustee under Bankruptcy Law;</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receiver or other public officer takes charge of the Trustee or its property; or</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otherwise becomes incapable of acting.</w:t>
      </w:r>
    </w:p>
    <w:p>
      <w:pPr>
        <w:spacing w:after="0" w:line="205" w:lineRule="exact"/>
        <w:rPr>
          <w:rFonts w:ascii="Times New Roman" w:cs="Times New Roman" w:eastAsia="Times New Roman" w:hAnsi="Times New Roman"/>
          <w:sz w:val="16"/>
          <w:szCs w:val="16"/>
          <w:color w:val="auto"/>
        </w:rPr>
      </w:pPr>
    </w:p>
    <w:p>
      <w:pPr>
        <w:ind w:left="840" w:hanging="258"/>
        <w:spacing w:after="0"/>
        <w:tabs>
          <w:tab w:leader="none" w:pos="84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Trustee resigns or is removed or if a vacancy exists in the office of Trustee for any reason, the Company shall promptly appoint a successor Trustee.</w:t>
      </w:r>
    </w:p>
    <w:p>
      <w:pPr>
        <w:spacing w:after="0" w:line="205" w:lineRule="exact"/>
        <w:rPr>
          <w:rFonts w:ascii="Times New Roman" w:cs="Times New Roman" w:eastAsia="Times New Roman" w:hAnsi="Times New Roman"/>
          <w:sz w:val="16"/>
          <w:szCs w:val="16"/>
          <w:color w:val="auto"/>
        </w:rPr>
      </w:pPr>
    </w:p>
    <w:p>
      <w:pPr>
        <w:ind w:right="40" w:firstLine="582"/>
        <w:spacing w:after="0" w:line="271" w:lineRule="auto"/>
        <w:tabs>
          <w:tab w:leader="none" w:pos="855"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successor Trustee does not take office within 30 days after the retiring Trustee resigns or is removed, the retiring Trustee, the Company or the Holders of at least 10% in principal amount of the outstanding Securities may petition at the expense of the Company any court of competent jurisdiction, in the case of the Trustee, for the appointment of a successor Trustee.</w:t>
      </w:r>
    </w:p>
    <w:p>
      <w:pPr>
        <w:spacing w:after="0" w:line="156" w:lineRule="exact"/>
        <w:rPr>
          <w:rFonts w:ascii="Times New Roman" w:cs="Times New Roman" w:eastAsia="Times New Roman" w:hAnsi="Times New Roman"/>
          <w:sz w:val="16"/>
          <w:szCs w:val="16"/>
          <w:color w:val="auto"/>
        </w:rPr>
      </w:pPr>
    </w:p>
    <w:p>
      <w:pPr>
        <w:ind w:firstLine="582"/>
        <w:spacing w:after="0" w:line="288" w:lineRule="auto"/>
        <w:tabs>
          <w:tab w:leader="none" w:pos="846"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Trustee fails to comply with Section 7.09, any Holder may petition any court of competent jurisdiction for the removal of the Trustee and the appointment of a successor Trustee.</w:t>
      </w:r>
    </w:p>
    <w:p>
      <w:pPr>
        <w:spacing w:after="0" w:line="143" w:lineRule="exact"/>
        <w:rPr>
          <w:rFonts w:ascii="Times New Roman" w:cs="Times New Roman" w:eastAsia="Times New Roman" w:hAnsi="Times New Roman"/>
          <w:sz w:val="16"/>
          <w:szCs w:val="16"/>
          <w:color w:val="auto"/>
        </w:rPr>
      </w:pPr>
    </w:p>
    <w:p>
      <w:pPr>
        <w:ind w:firstLine="582"/>
        <w:spacing w:after="0" w:line="262" w:lineRule="auto"/>
        <w:tabs>
          <w:tab w:leader="none" w:pos="82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successor Trustee shall deliver a written acceptance of its appointment to the retiring Trustee and to the Company. Immediately following such delivery, the retiring Trustee shall, subject to the lien and its rights under Section 7.06, transfer all property held by it as Trustee to the successor Trustee, the resignation or removal of the retiring Trustee shall become effective, and the successor Trustee shall have all the rights, powers and duties of the Trustee under this Indenture. A successor Trustee shall transmit notice of its succession to each Holder. Notwithstanding replacement of the Trustee pursuant to this Section 7.07, the lien and Company’s obligations under Section 7.06 shall continue for the benefit of the retiring Trustee.</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7.08. Successor Trustee by Consolidation, Merger, etc.</w:t>
      </w:r>
    </w:p>
    <w:p>
      <w:pPr>
        <w:spacing w:after="0" w:line="208" w:lineRule="exact"/>
        <w:rPr>
          <w:sz w:val="20"/>
          <w:szCs w:val="20"/>
          <w:color w:val="auto"/>
        </w:rPr>
      </w:pPr>
    </w:p>
    <w:p>
      <w:pPr>
        <w:ind w:right="20" w:firstLine="585"/>
        <w:spacing w:after="0" w:line="258" w:lineRule="auto"/>
        <w:rPr>
          <w:sz w:val="20"/>
          <w:szCs w:val="20"/>
          <w:color w:val="auto"/>
        </w:rPr>
      </w:pPr>
      <w:r>
        <w:rPr>
          <w:rFonts w:ascii="Times New Roman" w:cs="Times New Roman" w:eastAsia="Times New Roman" w:hAnsi="Times New Roman"/>
          <w:sz w:val="16"/>
          <w:szCs w:val="16"/>
          <w:color w:val="auto"/>
        </w:rPr>
        <w:t xml:space="preserve">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Person shall be otherwise qualified and eligible under this Article VII. In case at the time such successor to the Trustee shall succeed to the trusts created by this Indenture with respect to one or more series of Securities and any of such Securities shall have been authenticated but not delivered by the Trustee then in office, any successor to such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the right to adopt the certificate of authentication of any predecessor Trustee or authenticate Securities in the name of any predecessor Trustee shall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apply only to its successor or successors by merger, conversion or consolidation.</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ind w:left="580"/>
        <w:spacing w:after="0"/>
        <w:rPr>
          <w:sz w:val="20"/>
          <w:szCs w:val="20"/>
          <w:color w:val="auto"/>
        </w:rPr>
      </w:pPr>
      <w:r>
        <w:rPr>
          <w:rFonts w:ascii="Times New Roman" w:cs="Times New Roman" w:eastAsia="Times New Roman" w:hAnsi="Times New Roman"/>
          <w:sz w:val="16"/>
          <w:szCs w:val="16"/>
          <w:i w:val="1"/>
          <w:iCs w:val="1"/>
          <w:color w:val="auto"/>
        </w:rPr>
        <w:t>Section 7.09. Eligibility; Disqualification.</w:t>
      </w:r>
    </w:p>
    <w:p>
      <w:pPr>
        <w:spacing w:after="0" w:line="208" w:lineRule="exact"/>
        <w:rPr>
          <w:sz w:val="20"/>
          <w:szCs w:val="20"/>
          <w:color w:val="auto"/>
        </w:rPr>
      </w:pPr>
    </w:p>
    <w:p>
      <w:pPr>
        <w:ind w:firstLine="585"/>
        <w:spacing w:after="0" w:line="265" w:lineRule="auto"/>
        <w:rPr>
          <w:sz w:val="20"/>
          <w:szCs w:val="20"/>
          <w:color w:val="auto"/>
        </w:rPr>
      </w:pPr>
      <w:r>
        <w:rPr>
          <w:rFonts w:ascii="Times New Roman" w:cs="Times New Roman" w:eastAsia="Times New Roman" w:hAnsi="Times New Roman"/>
          <w:sz w:val="16"/>
          <w:szCs w:val="16"/>
          <w:color w:val="auto"/>
        </w:rPr>
        <w:t xml:space="preserve">The Trustee shall at all times satisfy the requirements of TIA § 310(a). The Trustee (together with its corporate parent) shall have a combined capital and surplus of at least $100.0 million as set forth in its most recent published annual report of condition. The Trustee shall comply with TIA § 310(b);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there shall be excluded from the operation of TIA § 310(b)(1) any indenture or indentures under which other securities or certificates of interest or participation in other securities of the Company are outstanding if the requirements for such exclusion set forth in TIA §310(b)(1) are met, other than the fact that such indentures are not described herein.</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7.10. Reports by Trustee to Holders.</w:t>
      </w:r>
    </w:p>
    <w:p>
      <w:pPr>
        <w:spacing w:after="0" w:line="208" w:lineRule="exact"/>
        <w:rPr>
          <w:sz w:val="20"/>
          <w:szCs w:val="20"/>
          <w:color w:val="auto"/>
        </w:rPr>
      </w:pPr>
    </w:p>
    <w:p>
      <w:pPr>
        <w:ind w:right="40" w:firstLine="585"/>
        <w:spacing w:after="0" w:line="265" w:lineRule="auto"/>
        <w:rPr>
          <w:sz w:val="20"/>
          <w:szCs w:val="20"/>
          <w:color w:val="auto"/>
        </w:rPr>
      </w:pPr>
      <w:r>
        <w:rPr>
          <w:rFonts w:ascii="Times New Roman" w:cs="Times New Roman" w:eastAsia="Times New Roman" w:hAnsi="Times New Roman"/>
          <w:sz w:val="16"/>
          <w:szCs w:val="16"/>
          <w:color w:val="auto"/>
        </w:rPr>
        <w:t>If required by TIA § 313(a), within 60 days after June 15 of any year, commencing on the first June 15 after the issuance of Securities pursuant to this Indenture, for so long as Securities of any series remain outstanding, the Trustee shall send to the Holders a brief report dated as of such reporting date that complies with TIA § 313(a) (but if no event described in TIA § 313(a) has occurred within the 12 months preceding the reporting date, no report need be transmitted). The Trustee also shall comply with TIA § 313(b). The Trustee shall also transmit all reports as required by TIA § 313(c) and comply with TIA § 313(d).</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7.11. Preferential Collection of Claims Against Company.</w:t>
      </w:r>
    </w:p>
    <w:p>
      <w:pPr>
        <w:spacing w:after="0" w:line="208" w:lineRule="exact"/>
        <w:rPr>
          <w:sz w:val="20"/>
          <w:szCs w:val="20"/>
          <w:color w:val="auto"/>
        </w:rPr>
      </w:pPr>
    </w:p>
    <w:p>
      <w:pPr>
        <w:ind w:right="140" w:firstLine="585"/>
        <w:spacing w:after="0" w:line="288" w:lineRule="auto"/>
        <w:rPr>
          <w:sz w:val="20"/>
          <w:szCs w:val="20"/>
          <w:color w:val="auto"/>
        </w:rPr>
      </w:pPr>
      <w:r>
        <w:rPr>
          <w:rFonts w:ascii="Times New Roman" w:cs="Times New Roman" w:eastAsia="Times New Roman" w:hAnsi="Times New Roman"/>
          <w:sz w:val="16"/>
          <w:szCs w:val="16"/>
          <w:color w:val="auto"/>
        </w:rPr>
        <w:t>The Trustee is subject to TIA § 311(a), excluding any creditor relationship listed in TIA § 311(b). A Trustee who has resigned or been removed shall be subject to TIA § 311(a) to the extent indicated therein.</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7.12. Appointment of Authenticating Agent.</w:t>
      </w:r>
    </w:p>
    <w:p>
      <w:pPr>
        <w:spacing w:after="0" w:line="206" w:lineRule="exact"/>
        <w:rPr>
          <w:sz w:val="20"/>
          <w:szCs w:val="20"/>
          <w:color w:val="auto"/>
        </w:rPr>
      </w:pPr>
    </w:p>
    <w:p>
      <w:pPr>
        <w:ind w:right="100" w:firstLine="585"/>
        <w:spacing w:after="0" w:line="263" w:lineRule="auto"/>
        <w:rPr>
          <w:sz w:val="20"/>
          <w:szCs w:val="20"/>
          <w:color w:val="auto"/>
        </w:rPr>
      </w:pPr>
      <w:r>
        <w:rPr>
          <w:rFonts w:ascii="Times New Roman" w:cs="Times New Roman" w:eastAsia="Times New Roman" w:hAnsi="Times New Roman"/>
          <w:sz w:val="16"/>
          <w:szCs w:val="16"/>
          <w:color w:val="auto"/>
        </w:rPr>
        <w:t>The Trustee may appoint an agent (the “</w:t>
      </w:r>
      <w:r>
        <w:rPr>
          <w:rFonts w:ascii="Times New Roman" w:cs="Times New Roman" w:eastAsia="Times New Roman" w:hAnsi="Times New Roman"/>
          <w:sz w:val="16"/>
          <w:szCs w:val="16"/>
          <w:i w:val="1"/>
          <w:iCs w:val="1"/>
          <w:color w:val="auto"/>
        </w:rPr>
        <w:t>Authenticating Agent</w:t>
      </w:r>
      <w:r>
        <w:rPr>
          <w:rFonts w:ascii="Times New Roman" w:cs="Times New Roman" w:eastAsia="Times New Roman" w:hAnsi="Times New Roman"/>
          <w:sz w:val="16"/>
          <w:szCs w:val="16"/>
          <w:color w:val="auto"/>
        </w:rPr>
        <w:t>”) reasonably acceptable to the Company to authenticate the Securities, and the Trustee shall give written notice of such appointment to all Holders of Securities of the series with respect to which such Authenticating Agent will serve. Unless limited by the terms of such appointment, any such Authenticating Agent may authenticate Securities whenever the Trustee may do so. Each reference in this Indenture to authentication by the Trustee includes authentication by the Authenticating Agent. Securities so authenticated shall be entitled to the benefits of this Indenture and shall be valid and obligatory for all purposes as if authenticated by the Trustee hereunder.</w:t>
      </w:r>
    </w:p>
    <w:p>
      <w:pPr>
        <w:spacing w:after="0" w:line="163" w:lineRule="exact"/>
        <w:rPr>
          <w:sz w:val="20"/>
          <w:szCs w:val="20"/>
          <w:color w:val="auto"/>
        </w:rPr>
      </w:pPr>
    </w:p>
    <w:p>
      <w:pPr>
        <w:ind w:firstLine="585"/>
        <w:spacing w:after="0" w:line="262" w:lineRule="auto"/>
        <w:rPr>
          <w:sz w:val="20"/>
          <w:szCs w:val="20"/>
          <w:color w:val="auto"/>
        </w:rPr>
      </w:pPr>
      <w:r>
        <w:rPr>
          <w:rFonts w:ascii="Times New Roman" w:cs="Times New Roman" w:eastAsia="Times New Roman" w:hAnsi="Times New Roman"/>
          <w:sz w:val="16"/>
          <w:szCs w:val="16"/>
          <w:color w:val="auto"/>
        </w:rPr>
        <w:t>Each Authenticating Agent shall at all times be a corporation organized and doing business and in good standing under the laws of the United States or any state thereof, authorized under such laws to act as Authenticating Agent, having a combined capital and surplus of not less than $100.0 million (together with its corporate parent) as set forth in the most recent applicable published annual report of condition and subject to supervision or examination by federal or state authorities. If at any time an Authenticating Agent shall cease to be eligible in accordance with the provisions of this Article VII, it shall resign immediately in the manner and with the effect specified in this Article VII.</w:t>
      </w:r>
    </w:p>
    <w:p>
      <w:pPr>
        <w:spacing w:after="0" w:line="165" w:lineRule="exact"/>
        <w:rPr>
          <w:sz w:val="20"/>
          <w:szCs w:val="20"/>
          <w:color w:val="auto"/>
        </w:rPr>
      </w:pPr>
    </w:p>
    <w:p>
      <w:pPr>
        <w:ind w:right="120" w:firstLine="585"/>
        <w:spacing w:after="0" w:line="265" w:lineRule="auto"/>
        <w:rPr>
          <w:sz w:val="20"/>
          <w:szCs w:val="20"/>
          <w:color w:val="auto"/>
        </w:rPr>
      </w:pPr>
      <w:r>
        <w:rPr>
          <w:rFonts w:ascii="Times New Roman" w:cs="Times New Roman" w:eastAsia="Times New Roman" w:hAnsi="Times New Roman"/>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of the corporate agency or corporate trust business of an Authenticating Agent, shall continue to be an Authenticating Agent, provided such corporation shall be otherwise eligible under this Article VII, without the execution or filing of any paper or any further act on the part of the Trustee or the Authenticating Agent.</w:t>
      </w:r>
    </w:p>
    <w:p>
      <w:pPr>
        <w:spacing w:after="0" w:line="162" w:lineRule="exact"/>
        <w:rPr>
          <w:sz w:val="20"/>
          <w:szCs w:val="20"/>
          <w:color w:val="auto"/>
        </w:rPr>
      </w:pPr>
    </w:p>
    <w:p>
      <w:pPr>
        <w:ind w:firstLine="585"/>
        <w:spacing w:after="0" w:line="259" w:lineRule="auto"/>
        <w:rPr>
          <w:sz w:val="20"/>
          <w:szCs w:val="20"/>
          <w:color w:val="auto"/>
        </w:rPr>
      </w:pPr>
      <w:r>
        <w:rPr>
          <w:rFonts w:ascii="Times New Roman" w:cs="Times New Roman" w:eastAsia="Times New Roman" w:hAnsi="Times New Roman"/>
          <w:sz w:val="16"/>
          <w:szCs w:val="16"/>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7.12, the Trustee may appoint a successor Authenticating Agent which shall be acceptable to the Company and shall give written notice of such appointment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7.12.</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Company agrees to pay to each Authenticating Agent from time to time reasonable compensation for its services under this Section 7.12.</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ind w:right="-39"/>
        <w:spacing w:after="0"/>
        <w:rPr>
          <w:sz w:val="20"/>
          <w:szCs w:val="20"/>
          <w:color w:val="auto"/>
        </w:rPr>
      </w:pPr>
      <w:r>
        <w:rPr>
          <w:rFonts w:ascii="Times New Roman" w:cs="Times New Roman" w:eastAsia="Times New Roman" w:hAnsi="Times New Roman"/>
          <w:sz w:val="16"/>
          <w:szCs w:val="16"/>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AMENDMENT, SUPPLEMENT AND WAIVER</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8.01. Without Consent of Holders.</w:t>
      </w:r>
    </w:p>
    <w:p>
      <w:pPr>
        <w:spacing w:after="0" w:line="208" w:lineRule="exact"/>
        <w:rPr>
          <w:sz w:val="20"/>
          <w:szCs w:val="20"/>
          <w:color w:val="auto"/>
        </w:rPr>
      </w:pPr>
    </w:p>
    <w:p>
      <w:pPr>
        <w:ind w:firstLine="585"/>
        <w:spacing w:after="0" w:line="288" w:lineRule="auto"/>
        <w:rPr>
          <w:sz w:val="20"/>
          <w:szCs w:val="20"/>
          <w:color w:val="auto"/>
        </w:rPr>
      </w:pPr>
      <w:r>
        <w:rPr>
          <w:rFonts w:ascii="Times New Roman" w:cs="Times New Roman" w:eastAsia="Times New Roman" w:hAnsi="Times New Roman"/>
          <w:sz w:val="16"/>
          <w:szCs w:val="16"/>
          <w:color w:val="auto"/>
        </w:rPr>
        <w:t>Except as otherwise provided as contemplated by Section 2.02 with respect to any series of Securities, the Company, the Guarantors and the Trustee may modify or amend this Indenture without the consent of any Holder of a Security of any series to:</w:t>
      </w:r>
    </w:p>
    <w:p>
      <w:pPr>
        <w:spacing w:after="0" w:line="143" w:lineRule="exact"/>
        <w:rPr>
          <w:sz w:val="20"/>
          <w:szCs w:val="20"/>
          <w:color w:val="auto"/>
        </w:rPr>
      </w:pPr>
    </w:p>
    <w:p>
      <w:pPr>
        <w:ind w:left="1440" w:hanging="273"/>
        <w:spacing w:after="0"/>
        <w:tabs>
          <w:tab w:leader="none" w:pos="14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cure any ambiguity, defect, mistake or inconsistency in this Indenture;</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for uncertificated Securities in addition to or in place of certificated Securities;</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the provisions of Section 4.04 or 5.01, including to provide for or evidence the release of any Guarantor in accordance with Section</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10.07;</w:t>
      </w:r>
    </w:p>
    <w:p>
      <w:pPr>
        <w:spacing w:after="0" w:line="190" w:lineRule="exact"/>
        <w:rPr>
          <w:sz w:val="20"/>
          <w:szCs w:val="20"/>
          <w:color w:val="auto"/>
        </w:rPr>
      </w:pPr>
    </w:p>
    <w:p>
      <w:pPr>
        <w:ind w:left="580" w:right="420" w:firstLine="587"/>
        <w:spacing w:after="0" w:line="288" w:lineRule="auto"/>
        <w:tabs>
          <w:tab w:leader="none" w:pos="1435"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evidence and provide for the acceptance of appointment by a successor Trustee and add to or change any provisions of this Indenture as shall be necessary for or facilitate the administration of the trusts hereunder by more than one Trustee, pursuant to the requirements of Section 7.07(f);</w:t>
      </w:r>
    </w:p>
    <w:p>
      <w:pPr>
        <w:spacing w:after="0" w:line="14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requirements of the Commission in order to effect or maintain the qualification of this Indenture or any supplemental indenture under the</w:t>
      </w:r>
    </w:p>
    <w:p>
      <w:pPr>
        <w:spacing w:after="0" w:line="2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TIA;</w:t>
      </w:r>
    </w:p>
    <w:p>
      <w:pPr>
        <w:spacing w:after="0" w:line="189" w:lineRule="exact"/>
        <w:rPr>
          <w:rFonts w:ascii="Times New Roman" w:cs="Times New Roman" w:eastAsia="Times New Roman" w:hAnsi="Times New Roman"/>
          <w:sz w:val="16"/>
          <w:szCs w:val="16"/>
          <w:color w:val="auto"/>
        </w:rPr>
      </w:pPr>
    </w:p>
    <w:p>
      <w:pPr>
        <w:ind w:left="580" w:firstLine="587"/>
        <w:spacing w:after="0" w:line="288" w:lineRule="auto"/>
        <w:tabs>
          <w:tab w:leader="none" w:pos="1435"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that would provide any additional rights or benefits to the Holders of the Securities of such series or that does not adversely affect in any material respect the legal rights under this Indenture of any such Holder;</w:t>
      </w:r>
    </w:p>
    <w:p>
      <w:pPr>
        <w:spacing w:after="0" w:line="14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secure any series of Securities;</w:t>
      </w:r>
    </w:p>
    <w:p>
      <w:pPr>
        <w:spacing w:after="0" w:line="205" w:lineRule="exact"/>
        <w:rPr>
          <w:rFonts w:ascii="Times New Roman" w:cs="Times New Roman" w:eastAsia="Times New Roman" w:hAnsi="Times New Roman"/>
          <w:sz w:val="16"/>
          <w:szCs w:val="16"/>
          <w:color w:val="auto"/>
        </w:rPr>
      </w:pPr>
    </w:p>
    <w:p>
      <w:pPr>
        <w:ind w:left="580" w:right="280" w:firstLine="587"/>
        <w:spacing w:after="0" w:line="271" w:lineRule="auto"/>
        <w:tabs>
          <w:tab w:leader="none" w:pos="1435"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the form and terms of Securities of any series as permitted in Section 2.02, or authorize the issuance of Additional Securities of a series previously authorized or add to the conditions, limitations or restrictions on the authorized amount, terms or purposes of issue, authentication or delivery of the Securities of any series, as herein set forth, or other conditions, limitations or restrictions thereafter to be observed;</w:t>
      </w:r>
    </w:p>
    <w:p>
      <w:pPr>
        <w:spacing w:after="0" w:line="156"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covenants for the benefit of the Holders or to surrender any right or power conferred upon the Company or any Guarantor;</w:t>
      </w:r>
    </w:p>
    <w:p>
      <w:pPr>
        <w:spacing w:after="0" w:line="205" w:lineRule="exact"/>
        <w:rPr>
          <w:rFonts w:ascii="Times New Roman" w:cs="Times New Roman" w:eastAsia="Times New Roman" w:hAnsi="Times New Roman"/>
          <w:sz w:val="16"/>
          <w:szCs w:val="16"/>
          <w:color w:val="auto"/>
        </w:rPr>
      </w:pPr>
    </w:p>
    <w:p>
      <w:pPr>
        <w:jc w:val="both"/>
        <w:ind w:left="580" w:right="420" w:firstLine="587"/>
        <w:spacing w:after="0" w:line="271" w:lineRule="auto"/>
        <w:tabs>
          <w:tab w:leader="none" w:pos="1516"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conform the text of this Indenture, any supplemental indenture, the Securities or the Guarantees to the extent a provision hereof or thereof was intended to be a substantially verbatim recitation of the applicable provision under the caption “Description of Debt Securities” or “Description of Notes” (or comparable section) contained in the applicable registration statement, prospectus, prospectus supplement, free-writing prospectus or offering memorandum;</w:t>
      </w:r>
    </w:p>
    <w:p>
      <w:pPr>
        <w:spacing w:after="0" w:line="156" w:lineRule="exact"/>
        <w:rPr>
          <w:rFonts w:ascii="Times New Roman" w:cs="Times New Roman" w:eastAsia="Times New Roman" w:hAnsi="Times New Roman"/>
          <w:sz w:val="16"/>
          <w:szCs w:val="16"/>
          <w:color w:val="auto"/>
        </w:rPr>
      </w:pPr>
    </w:p>
    <w:p>
      <w:pPr>
        <w:ind w:left="1520" w:hanging="353"/>
        <w:spacing w:after="0"/>
        <w:tabs>
          <w:tab w:leader="none" w:pos="15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allow any Guarantor to execute a supplemental indenture and/or Guarantee with respect to the Securities of any series;</w:t>
      </w:r>
    </w:p>
    <w:p>
      <w:pPr>
        <w:spacing w:after="0" w:line="205" w:lineRule="exact"/>
        <w:rPr>
          <w:rFonts w:ascii="Times New Roman" w:cs="Times New Roman" w:eastAsia="Times New Roman" w:hAnsi="Times New Roman"/>
          <w:sz w:val="16"/>
          <w:szCs w:val="16"/>
          <w:color w:val="auto"/>
        </w:rPr>
      </w:pPr>
    </w:p>
    <w:p>
      <w:pPr>
        <w:ind w:left="580" w:right="240" w:firstLine="587"/>
        <w:spacing w:after="0" w:line="265" w:lineRule="auto"/>
        <w:tabs>
          <w:tab w:leader="none" w:pos="1557"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to, change or eliminate any of the provisions of this Indenture with respect to one or more series of Securities, so long as any such addition, change or elimination not otherwise permitted under this Indenture shall (A) neither apply to any Security of any series created prior to the execution of such supplemental indenture and entitled to the benefit of such provision nor modify the rights of the Holders of any such Security with respect to the benefit of such provision or (B) become effective only when there is no such Security outstanding;</w:t>
      </w:r>
    </w:p>
    <w:p>
      <w:pPr>
        <w:spacing w:after="0" w:line="161" w:lineRule="exact"/>
        <w:rPr>
          <w:rFonts w:ascii="Times New Roman" w:cs="Times New Roman" w:eastAsia="Times New Roman" w:hAnsi="Times New Roman"/>
          <w:sz w:val="16"/>
          <w:szCs w:val="16"/>
          <w:color w:val="auto"/>
        </w:rPr>
      </w:pPr>
    </w:p>
    <w:p>
      <w:pPr>
        <w:ind w:left="580" w:right="20" w:firstLine="587"/>
        <w:spacing w:after="0" w:line="271" w:lineRule="auto"/>
        <w:tabs>
          <w:tab w:leader="none" w:pos="1557"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supplement any of the provisions of this Indenture to such extent as shall be necessary to permit or facilitate the defeasance and discharge of any series of Securities;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such action shall not adversely affect the interests of the Holders of Securities of such series or any other series of Securities; and</w:t>
      </w:r>
    </w:p>
    <w:p>
      <w:pPr>
        <w:spacing w:after="0" w:line="156" w:lineRule="exact"/>
        <w:rPr>
          <w:rFonts w:ascii="Times New Roman" w:cs="Times New Roman" w:eastAsia="Times New Roman" w:hAnsi="Times New Roman"/>
          <w:sz w:val="16"/>
          <w:szCs w:val="16"/>
          <w:color w:val="auto"/>
        </w:rPr>
      </w:pPr>
    </w:p>
    <w:p>
      <w:pPr>
        <w:ind w:left="1560" w:hanging="393"/>
        <w:spacing w:after="0"/>
        <w:tabs>
          <w:tab w:leader="none" w:pos="15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 the authentication and delivery of additional series of Securities.</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97" w:name="page98"/>
    <w:bookmarkEnd w:id="97"/>
    <w:p>
      <w:pPr>
        <w:ind w:right="120" w:firstLine="585"/>
        <w:spacing w:after="0" w:line="265" w:lineRule="auto"/>
        <w:rPr>
          <w:sz w:val="20"/>
          <w:szCs w:val="20"/>
          <w:color w:val="auto"/>
        </w:rPr>
      </w:pPr>
      <w:r>
        <w:rPr>
          <w:rFonts w:ascii="Times New Roman" w:cs="Times New Roman" w:eastAsia="Times New Roman" w:hAnsi="Times New Roman"/>
          <w:sz w:val="16"/>
          <w:szCs w:val="16"/>
          <w:color w:val="auto"/>
        </w:rPr>
        <w:t>Upon the written request of the Company accompanied by a board resolution of the Board of Directors authorizing the execution of any such supplemental indenture and upon receipt by the Trustee of the documents described in Section 8.05, the Trustee shall join with the Company and the Guarantors in the execution of such supplemental indenture unless such supplemental indenture affects the Trustee’s own rights, duties or immunities under this Indenture, in which case the Trustee may, but shall not be obligated to, enter into such supplemental indenture.</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8.02. With Consent of Holders.</w:t>
      </w:r>
    </w:p>
    <w:p>
      <w:pPr>
        <w:spacing w:after="0" w:line="208" w:lineRule="exact"/>
        <w:rPr>
          <w:sz w:val="20"/>
          <w:szCs w:val="20"/>
          <w:color w:val="auto"/>
        </w:rPr>
      </w:pPr>
    </w:p>
    <w:p>
      <w:pPr>
        <w:ind w:firstLine="582"/>
        <w:spacing w:after="0" w:line="262" w:lineRule="auto"/>
        <w:tabs>
          <w:tab w:leader="none" w:pos="846"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the Guarantors and the Trustee may modify or amend this Indenture as it applies to a series of Securities with the consent of the Holders of a majority in aggregate principal amount of the then outstanding Securities of such series affected by the modification or amendment (including consents obtained in connection with a tender offer or exchange offer for Securities of such series), and any past default or compliance with any provisions of this Indenture relating to a series of Securities may also be waived (except a default in the payment of principal, premium or interest and a default under clause (b) of this Section 8.02) with the consent of the Holders of a majority in aggregate principal amount of the then outstanding Securities of such series.</w:t>
      </w:r>
    </w:p>
    <w:p>
      <w:pPr>
        <w:spacing w:after="0" w:line="164"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However, no such modification or amendment may, without the consent of each Holder of Securities of a series affected thereby:</w:t>
      </w:r>
    </w:p>
    <w:p>
      <w:pPr>
        <w:spacing w:after="0" w:line="205" w:lineRule="exact"/>
        <w:rPr>
          <w:rFonts w:ascii="Times New Roman" w:cs="Times New Roman" w:eastAsia="Times New Roman" w:hAnsi="Times New Roman"/>
          <w:sz w:val="16"/>
          <w:szCs w:val="16"/>
          <w:color w:val="auto"/>
        </w:rPr>
      </w:pPr>
    </w:p>
    <w:p>
      <w:pPr>
        <w:ind w:left="580" w:right="80" w:firstLine="587"/>
        <w:spacing w:after="0" w:line="288" w:lineRule="auto"/>
        <w:tabs>
          <w:tab w:leader="none" w:pos="1435"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extend the due date of the principal of, or any installment of principal of or interest on, the Securities of such series, or reduce the amount of the principal of an Original Issue Discount Security that would be due and payable upon a declaration of acceleration of the maturity thereof pursuant to Section 6.02;</w:t>
      </w:r>
    </w:p>
    <w:p>
      <w:pPr>
        <w:spacing w:after="0" w:line="14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materially adversely affect the economic terms of any right to convert or exchange any Security as may be provided pursuant to Section 2.02;</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principal amount of, or any premium or interest rate on, the Securities of such series;</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the place or currency of payment of principal of, or any premium or interest on, the Securities of such series;</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amount payable upon the redemption of any Security of such series;</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 the right to institute suit for the enforcement of any payment on or with respect to the Securities of such series after the due date thereof; or</w:t>
      </w:r>
    </w:p>
    <w:p>
      <w:pPr>
        <w:spacing w:after="0" w:line="205" w:lineRule="exact"/>
        <w:rPr>
          <w:rFonts w:ascii="Times New Roman" w:cs="Times New Roman" w:eastAsia="Times New Roman" w:hAnsi="Times New Roman"/>
          <w:sz w:val="16"/>
          <w:szCs w:val="16"/>
          <w:color w:val="auto"/>
        </w:rPr>
      </w:pPr>
    </w:p>
    <w:p>
      <w:pPr>
        <w:ind w:left="580" w:right="60" w:firstLine="587"/>
        <w:spacing w:after="0" w:line="288" w:lineRule="auto"/>
        <w:tabs>
          <w:tab w:leader="none" w:pos="1435"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percentage in principal amount of the then outstanding Securities of such series, the consent of whose Holders is required for modification or amendment of this Indenture, for waiver of compliance with certain provisions of this Indenture or for waiver of certain defaults.</w:t>
      </w:r>
    </w:p>
    <w:p>
      <w:pPr>
        <w:spacing w:after="0" w:line="143" w:lineRule="exact"/>
        <w:rPr>
          <w:rFonts w:ascii="Times New Roman" w:cs="Times New Roman" w:eastAsia="Times New Roman" w:hAnsi="Times New Roman"/>
          <w:sz w:val="16"/>
          <w:szCs w:val="16"/>
          <w:color w:val="auto"/>
        </w:rPr>
      </w:pPr>
    </w:p>
    <w:p>
      <w:pPr>
        <w:jc w:val="both"/>
        <w:ind w:right="60" w:firstLine="582"/>
        <w:spacing w:after="0" w:line="265" w:lineRule="auto"/>
        <w:tabs>
          <w:tab w:leader="none" w:pos="846"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 majority of the principal amount of then outstanding Securities of any series may waive future compliance with certain restrictive covenants of this Indenture applicable to such series of Securities. The Holders of at least a majority in principal amount of then outstanding Securities of a series may waive any past default under this Indenture with respect to such series, except a failure by the Company to pay the principal of, or any premium or interest on, any Securities of such series or a provision that cannot be modified or amended without the consent of the Holders of all outstanding Securities of such series.</w:t>
      </w:r>
    </w:p>
    <w:p>
      <w:pPr>
        <w:spacing w:after="0" w:line="161" w:lineRule="exact"/>
        <w:rPr>
          <w:rFonts w:ascii="Times New Roman" w:cs="Times New Roman" w:eastAsia="Times New Roman" w:hAnsi="Times New Roman"/>
          <w:sz w:val="16"/>
          <w:szCs w:val="16"/>
          <w:color w:val="auto"/>
        </w:rPr>
      </w:pPr>
    </w:p>
    <w:p>
      <w:pPr>
        <w:ind w:right="220" w:firstLine="582"/>
        <w:spacing w:after="0" w:line="265" w:lineRule="auto"/>
        <w:tabs>
          <w:tab w:leader="none" w:pos="855"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determining whether the Holders of the required principal amount of a series of Securities have concurred in any direction, notice, waiver or consent, Securities owned by the Company, any Subsidiary of the Company, or by any Affiliate of the Company will be considered as though not outstanding, except that for the purposes of determining whether the Trustee will be protected in conclusively relying on any such direction, notice, waiver or consent, only Securities that a Responsible Officer of the Trustee actually knows are so owned will be so disregarded.</w:t>
      </w: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98" w:name="page99"/>
    <w:bookmarkEnd w:id="98"/>
    <w:p>
      <w:pPr>
        <w:ind w:right="80" w:firstLine="582"/>
        <w:spacing w:after="0" w:line="288" w:lineRule="auto"/>
        <w:tabs>
          <w:tab w:leader="none" w:pos="846"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not necessary for the consent of the Holders under this Section 8.02 to approve the particular form of any proposed amendment, supplement or waiver, but it is sufficient if such consent approves the substance thereof.</w:t>
      </w:r>
    </w:p>
    <w:p>
      <w:pPr>
        <w:spacing w:after="0" w:line="143" w:lineRule="exact"/>
        <w:rPr>
          <w:sz w:val="20"/>
          <w:szCs w:val="20"/>
          <w:color w:val="auto"/>
        </w:rPr>
      </w:pPr>
    </w:p>
    <w:p>
      <w:pPr>
        <w:jc w:val="both"/>
        <w:ind w:right="80" w:firstLine="585"/>
        <w:spacing w:after="0" w:line="271" w:lineRule="auto"/>
        <w:rPr>
          <w:sz w:val="20"/>
          <w:szCs w:val="20"/>
          <w:color w:val="auto"/>
        </w:rPr>
      </w:pPr>
      <w:r>
        <w:rPr>
          <w:rFonts w:ascii="Times New Roman" w:cs="Times New Roman" w:eastAsia="Times New Roman" w:hAnsi="Times New Roman"/>
          <w:sz w:val="16"/>
          <w:szCs w:val="16"/>
          <w:color w:val="auto"/>
        </w:rPr>
        <w:t>After an amendment that requires the consent of the Holders of the affected Securities becomes effective, the Company shall transmit to each registered Holder of the affected Securities at such Holder’s address appearing in the security register a notice briefly describing such amendment. However, the failure to give such notice to all Holders of such Securities, or any defect therein, shall not impair or affect the validity of the amendment.</w:t>
      </w:r>
    </w:p>
    <w:p>
      <w:pPr>
        <w:spacing w:after="0" w:line="156" w:lineRule="exact"/>
        <w:rPr>
          <w:sz w:val="20"/>
          <w:szCs w:val="20"/>
          <w:color w:val="auto"/>
        </w:rPr>
      </w:pPr>
    </w:p>
    <w:p>
      <w:pPr>
        <w:ind w:right="20" w:firstLine="585"/>
        <w:spacing w:after="0" w:line="262" w:lineRule="auto"/>
        <w:rPr>
          <w:sz w:val="20"/>
          <w:szCs w:val="20"/>
          <w:color w:val="auto"/>
        </w:rPr>
      </w:pPr>
      <w:r>
        <w:rPr>
          <w:rFonts w:ascii="Times New Roman" w:cs="Times New Roman" w:eastAsia="Times New Roman" w:hAnsi="Times New Roman"/>
          <w:sz w:val="16"/>
          <w:szCs w:val="16"/>
          <w:color w:val="auto"/>
        </w:rPr>
        <w:t>Upon the written request of the Company accompanied by a board resolution of the Board of Directors authorizing the execution of any such supplemental indenture, and upon the receipt by the Trustee of evidence reasonably satisfactory to the Trustee of the consent of the Holders as aforesaid and upon receipt by the Trustee of the documents described in Section 8.05, the Trustee shall join with the Company and the Guarantors in the execution of such supplemental indenture unless such supplemental indenture affects the Trustee’s own rights, duties or immunities under this Indenture, in which case the Trustee may, but shall not be obligated to, enter into such supplemental indenture.</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8.03. Revocation and Effect of Consents.</w:t>
      </w:r>
    </w:p>
    <w:p>
      <w:pPr>
        <w:spacing w:after="0" w:line="208" w:lineRule="exact"/>
        <w:rPr>
          <w:sz w:val="20"/>
          <w:szCs w:val="20"/>
          <w:color w:val="auto"/>
        </w:rPr>
      </w:pPr>
    </w:p>
    <w:p>
      <w:pPr>
        <w:ind w:right="20" w:firstLine="585"/>
        <w:spacing w:after="0" w:line="262" w:lineRule="auto"/>
        <w:rPr>
          <w:sz w:val="20"/>
          <w:szCs w:val="20"/>
          <w:color w:val="auto"/>
        </w:rPr>
      </w:pPr>
      <w:r>
        <w:rPr>
          <w:rFonts w:ascii="Times New Roman" w:cs="Times New Roman" w:eastAsia="Times New Roman" w:hAnsi="Times New Roman"/>
          <w:sz w:val="16"/>
          <w:szCs w:val="16"/>
          <w:color w:val="auto"/>
        </w:rPr>
        <w:t>After an amendment, supplement, waiver or other action becomes effective, a consent to it by a Holder of a Security is a continuing consent conclusive and binding upon such Holder and every subsequent Holder of the same Security or portion thereof, and of any Security issued upon the transfer thereof or in exchange therefor or in place thereof, even if notation of the consent is not made on any such Security. However, any such Holder of a Security or subsequent Holder of a Security may revoke the consent as to its Security if the Trustee receives written notice of revocation before the date the amendment, supplement or waiver becomes effective. An amendment, supplement or waiver becomes effective in accordance with its terms and thereafter binds every Holder.</w:t>
      </w:r>
    </w:p>
    <w:p>
      <w:pPr>
        <w:spacing w:after="0" w:line="165" w:lineRule="exact"/>
        <w:rPr>
          <w:sz w:val="20"/>
          <w:szCs w:val="20"/>
          <w:color w:val="auto"/>
        </w:rPr>
      </w:pPr>
    </w:p>
    <w:p>
      <w:pPr>
        <w:ind w:right="60" w:firstLine="585"/>
        <w:spacing w:after="0" w:line="262" w:lineRule="auto"/>
        <w:rPr>
          <w:sz w:val="20"/>
          <w:szCs w:val="20"/>
          <w:color w:val="auto"/>
        </w:rPr>
      </w:pPr>
      <w:r>
        <w:rPr>
          <w:rFonts w:ascii="Times New Roman" w:cs="Times New Roman" w:eastAsia="Times New Roman" w:hAnsi="Times New Roman"/>
          <w:sz w:val="16"/>
          <w:szCs w:val="16"/>
          <w:color w:val="auto"/>
        </w:rPr>
        <w:t>The Company may, but shall not be obligated to, fix a record date for the purpose of determining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 unless the consent of the requisite number of Holders has been obtained.</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8.04. Notation on or Exchange of Securities.</w:t>
      </w:r>
    </w:p>
    <w:p>
      <w:pPr>
        <w:spacing w:after="0" w:line="208" w:lineRule="exact"/>
        <w:rPr>
          <w:sz w:val="20"/>
          <w:szCs w:val="20"/>
          <w:color w:val="auto"/>
        </w:rPr>
      </w:pPr>
    </w:p>
    <w:p>
      <w:pPr>
        <w:ind w:right="180" w:firstLine="585"/>
        <w:spacing w:after="0" w:line="262" w:lineRule="auto"/>
        <w:rPr>
          <w:sz w:val="20"/>
          <w:szCs w:val="20"/>
          <w:color w:val="auto"/>
        </w:rPr>
      </w:pPr>
      <w:r>
        <w:rPr>
          <w:rFonts w:ascii="Times New Roman" w:cs="Times New Roman" w:eastAsia="Times New Roman" w:hAnsi="Times New Roman"/>
          <w:sz w:val="16"/>
          <w:szCs w:val="16"/>
          <w:color w:val="auto"/>
        </w:rPr>
        <w:t>If an amendment, supplement, or waiver changes the terms of a Security, the Trustee (in accordance with the specific written direction of the Company) shall request the Holder of the Security (in accordance with the specific written direction of the Company) to deliver it to the Trustee. In such case, the Trustee shall place an appropriate notation on the Security about the changed terms and return it to the Holder. Alternatively, if the Company or the Trustee so determines, the Company, in exchange for the Security, shall issue, and the Trustee shall authenticate, a new Security that reflects the changed terms. Failure to make the appropriate notation or issue a new Security shall not affect the validity and effect of such amendment, supplement or waiver.</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8.05. Trustee To Sign Amendments, etc.</w:t>
      </w:r>
    </w:p>
    <w:p>
      <w:pPr>
        <w:spacing w:after="0" w:line="208" w:lineRule="exact"/>
        <w:rPr>
          <w:sz w:val="20"/>
          <w:szCs w:val="20"/>
          <w:color w:val="auto"/>
        </w:rPr>
      </w:pPr>
    </w:p>
    <w:p>
      <w:pPr>
        <w:ind w:firstLine="585"/>
        <w:spacing w:after="0" w:line="262" w:lineRule="auto"/>
        <w:rPr>
          <w:sz w:val="20"/>
          <w:szCs w:val="20"/>
          <w:color w:val="auto"/>
        </w:rPr>
      </w:pPr>
      <w:r>
        <w:rPr>
          <w:rFonts w:ascii="Times New Roman" w:cs="Times New Roman" w:eastAsia="Times New Roman" w:hAnsi="Times New Roman"/>
          <w:sz w:val="16"/>
          <w:szCs w:val="16"/>
          <w:color w:val="auto"/>
        </w:rPr>
        <w:t>The Trustee shall sign any amendment, supplement or waiver authorized pursuant to this Article VIII if the amendment, supplement or waiver does not affect the rights, duties, liabilities or immunities of the Trustee. If it does affect the rights, duties, liabilities or immunities of the Trustee, the Trustee may, but need not, sign such amendment, supplement or waiver. In signing or refusing to sign such amendment, supplement or waiver the Trustee shall be entitled to receive and, subject to Section 7.01, shall be fully protected in relying upon an Officer’s Certificate and an Opinion of Counsel stating, in addition to the matters required by Section 12.03, that such amendment, supplement or waiver is authorized or permitted by this Indenture.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9" w:name="page100"/>
    <w:bookmarkEnd w:id="99"/>
    <w:p>
      <w:pPr>
        <w:ind w:left="580"/>
        <w:spacing w:after="0"/>
        <w:rPr>
          <w:sz w:val="20"/>
          <w:szCs w:val="20"/>
          <w:color w:val="auto"/>
        </w:rPr>
      </w:pPr>
      <w:r>
        <w:rPr>
          <w:rFonts w:ascii="Times New Roman" w:cs="Times New Roman" w:eastAsia="Times New Roman" w:hAnsi="Times New Roman"/>
          <w:sz w:val="16"/>
          <w:szCs w:val="16"/>
          <w:i w:val="1"/>
          <w:iCs w:val="1"/>
          <w:color w:val="auto"/>
        </w:rPr>
        <w:t>Section 8.06. Compliance with Trust Indenture Act.</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Every amendment or supplement to this Indenture or the Securities shall comply with the TIA as then in effect.</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8.07. Effect of Execution of Supplemental Indenture.</w:t>
      </w:r>
    </w:p>
    <w:p>
      <w:pPr>
        <w:spacing w:after="0" w:line="208" w:lineRule="exact"/>
        <w:rPr>
          <w:sz w:val="20"/>
          <w:szCs w:val="20"/>
          <w:color w:val="auto"/>
        </w:rPr>
      </w:pPr>
    </w:p>
    <w:p>
      <w:pPr>
        <w:ind w:right="80" w:firstLine="585"/>
        <w:spacing w:after="0" w:line="262" w:lineRule="auto"/>
        <w:rPr>
          <w:sz w:val="20"/>
          <w:szCs w:val="20"/>
          <w:color w:val="auto"/>
        </w:rPr>
      </w:pPr>
      <w:r>
        <w:rPr>
          <w:rFonts w:ascii="Times New Roman" w:cs="Times New Roman" w:eastAsia="Times New Roman" w:hAnsi="Times New Roman"/>
          <w:sz w:val="16"/>
          <w:szCs w:val="16"/>
          <w:color w:val="auto"/>
        </w:rPr>
        <w:t>Upon the execution of any supplemental indenture pursuant to the provisions of this Article VIII, this Indenture shall be deemed to be modified and amended in accordance therewith and, except as herein otherwise expressly provided, the respective rights, limitations of rights, obligations, duties and immunities under this Indenture of the Trustee, the Company and the Holders of all of the Securities or of the Securities of any series affected, as the case may be,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SATISFACTION AND DISCHARGE OF INDENTURE; DEFEASANCE</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9.01. Applicability of Article.</w:t>
      </w:r>
    </w:p>
    <w:p>
      <w:pPr>
        <w:spacing w:after="0" w:line="208" w:lineRule="exact"/>
        <w:rPr>
          <w:sz w:val="20"/>
          <w:szCs w:val="20"/>
          <w:color w:val="auto"/>
        </w:rPr>
      </w:pPr>
    </w:p>
    <w:p>
      <w:pPr>
        <w:ind w:right="20" w:firstLine="585"/>
        <w:spacing w:after="0" w:line="271" w:lineRule="auto"/>
        <w:rPr>
          <w:sz w:val="20"/>
          <w:szCs w:val="20"/>
          <w:color w:val="auto"/>
        </w:rPr>
      </w:pPr>
      <w:r>
        <w:rPr>
          <w:rFonts w:ascii="Times New Roman" w:cs="Times New Roman" w:eastAsia="Times New Roman" w:hAnsi="Times New Roman"/>
          <w:sz w:val="16"/>
          <w:szCs w:val="16"/>
          <w:color w:val="auto"/>
        </w:rPr>
        <w:t>Except as otherwise contemplated by Section 2.02 with respect to any series of Securities, if provision is made for the defeasance of Securities of a series and if the Securities of such series are denominated and payable only in U.S. Dollars, then the provisions of this Article IX shall be applicable. Defeasance provisions, if any, for Securities denominated in a Foreign Currency may be specified pursuant to Section 2.02.</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9.02. Satisfaction and Discharge of Liability on Securities; Defeasance.</w:t>
      </w:r>
    </w:p>
    <w:p>
      <w:pPr>
        <w:spacing w:after="0" w:line="208" w:lineRule="exact"/>
        <w:rPr>
          <w:sz w:val="20"/>
          <w:szCs w:val="20"/>
          <w:color w:val="auto"/>
        </w:rPr>
      </w:pPr>
    </w:p>
    <w:p>
      <w:pPr>
        <w:ind w:right="60" w:firstLine="582"/>
        <w:spacing w:after="0" w:line="271" w:lineRule="auto"/>
        <w:tabs>
          <w:tab w:leader="none" w:pos="846"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Indenture will be discharged and will cease to be of further effect with respect to any series of Securities (except as to rights of registration of transfer or exchange of Securities and rights to receive principal of and premium, if any, and interest on such Securities) as to all outstanding Securities of such series issued hereunder when:</w:t>
      </w:r>
    </w:p>
    <w:p>
      <w:pPr>
        <w:spacing w:after="0" w:line="156"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w:t>
      </w:r>
    </w:p>
    <w:p>
      <w:pPr>
        <w:spacing w:after="0" w:line="205" w:lineRule="exact"/>
        <w:rPr>
          <w:rFonts w:ascii="Times New Roman" w:cs="Times New Roman" w:eastAsia="Times New Roman" w:hAnsi="Times New Roman"/>
          <w:sz w:val="16"/>
          <w:szCs w:val="16"/>
          <w:color w:val="auto"/>
        </w:rPr>
      </w:pPr>
    </w:p>
    <w:p>
      <w:pPr>
        <w:ind w:left="1160" w:right="20" w:firstLine="591"/>
        <w:spacing w:after="0" w:line="271" w:lineRule="auto"/>
        <w:tabs>
          <w:tab w:leader="none" w:pos="2051" w:val="left"/>
        </w:tabs>
        <w:numPr>
          <w:ilvl w:val="2"/>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the Securities of such series that have been authenticated and delivered (except lost, stolen or destroyed Securities which have been replaced or paid and Securities for whose payment money has been deposited in trust or segregated and held in trust by the Company and thereafter repaid to the Company or discharged from this trust) have been delivered to the Trustee for cancellation, or</w:t>
      </w:r>
    </w:p>
    <w:p>
      <w:pPr>
        <w:spacing w:after="0" w:line="156" w:lineRule="exact"/>
        <w:rPr>
          <w:rFonts w:ascii="Times New Roman" w:cs="Times New Roman" w:eastAsia="Times New Roman" w:hAnsi="Times New Roman"/>
          <w:sz w:val="16"/>
          <w:szCs w:val="16"/>
          <w:color w:val="auto"/>
        </w:rPr>
      </w:pPr>
    </w:p>
    <w:p>
      <w:pPr>
        <w:ind w:left="1160" w:firstLine="591"/>
        <w:spacing w:after="0" w:line="261" w:lineRule="auto"/>
        <w:tabs>
          <w:tab w:leader="none" w:pos="2042" w:val="left"/>
        </w:tabs>
        <w:numPr>
          <w:ilvl w:val="2"/>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Securities of such series not delivered to the Trustee for cancellation otherwise (i) have become due and payable, (ii) will become due and payable, or are to be called for redemption, within one year or (iii) have been called for redemption as otherwise specified pursuant to Section 2.02 for Securities of such series, and, in any case, the Company or any Guarantor has irrevocably deposited or caused to be deposited with the Trustee as trust funds, in trust solely for the benefit of the Holders of such Securities, U.S. legal tender, U.S. Government Obligations or a combination thereof, in such amounts as will be sufficient (without consideration of any reinvestment of interest) to pay and discharge the entire Indebtedness (including all principal and accrued interest) on the Securities of such series not theretofore delivered to the Trustee for cancellation,</w:t>
      </w:r>
    </w:p>
    <w:p>
      <w:pPr>
        <w:spacing w:after="0" w:line="16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any Guarantor has paid all sums payable by it under this Indenture, and</w:t>
      </w:r>
    </w:p>
    <w:p>
      <w:pPr>
        <w:spacing w:after="0" w:line="205" w:lineRule="exact"/>
        <w:rPr>
          <w:rFonts w:ascii="Times New Roman" w:cs="Times New Roman" w:eastAsia="Times New Roman" w:hAnsi="Times New Roman"/>
          <w:sz w:val="16"/>
          <w:szCs w:val="16"/>
          <w:color w:val="auto"/>
        </w:rPr>
      </w:pPr>
    </w:p>
    <w:p>
      <w:pPr>
        <w:ind w:left="580" w:right="60" w:firstLine="587"/>
        <w:spacing w:after="0" w:line="288" w:lineRule="auto"/>
        <w:tabs>
          <w:tab w:leader="none" w:pos="1435"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delivered irrevocable instructions to the Trustee to apply the deposited money toward the payment of the Securities of such series at maturity or on the Redemption Date, as the case may be.</w:t>
      </w:r>
    </w:p>
    <w:p>
      <w:pPr>
        <w:spacing w:after="0" w:line="143" w:lineRule="exact"/>
        <w:rPr>
          <w:sz w:val="20"/>
          <w:szCs w:val="20"/>
          <w:color w:val="auto"/>
        </w:rPr>
      </w:pPr>
    </w:p>
    <w:p>
      <w:pPr>
        <w:ind w:right="300" w:firstLine="585"/>
        <w:spacing w:after="0" w:line="288" w:lineRule="auto"/>
        <w:rPr>
          <w:sz w:val="20"/>
          <w:szCs w:val="20"/>
          <w:color w:val="auto"/>
        </w:rPr>
      </w:pPr>
      <w:r>
        <w:rPr>
          <w:rFonts w:ascii="Times New Roman" w:cs="Times New Roman" w:eastAsia="Times New Roman" w:hAnsi="Times New Roman"/>
          <w:sz w:val="16"/>
          <w:szCs w:val="16"/>
          <w:color w:val="auto"/>
        </w:rPr>
        <w:t>In addition, the Company must deliver to the Trustee an Officer’s Certificate and an Opinion of Counsel stating that all conditions precedent to satisfaction and discharge have been complied with.</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jc w:val="both"/>
        <w:ind w:right="60" w:firstLine="582"/>
        <w:spacing w:after="0" w:line="265" w:lineRule="auto"/>
        <w:tabs>
          <w:tab w:leader="none" w:pos="855"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clause (c) of this Section 9.02 and Section 9.03, the Company may, at its option and at any time, elect to have its obligations and the obligations of the Guarantors discharged with respect to the outstanding Securities of a series (“</w:t>
      </w:r>
      <w:r>
        <w:rPr>
          <w:rFonts w:ascii="Times New Roman" w:cs="Times New Roman" w:eastAsia="Times New Roman" w:hAnsi="Times New Roman"/>
          <w:sz w:val="16"/>
          <w:szCs w:val="16"/>
          <w:i w:val="1"/>
          <w:iCs w:val="1"/>
          <w:color w:val="auto"/>
        </w:rPr>
        <w:t>Legal Defeasance</w:t>
      </w:r>
      <w:r>
        <w:rPr>
          <w:rFonts w:ascii="Times New Roman" w:cs="Times New Roman" w:eastAsia="Times New Roman" w:hAnsi="Times New Roman"/>
          <w:sz w:val="16"/>
          <w:szCs w:val="16"/>
          <w:color w:val="auto"/>
        </w:rPr>
        <w:t>”). Legal Defeasance means that the Company and the Guarantors shall be deemed to have paid and discharged the entire indebtedness represented by the Securities of such series and the related Guarantees, and this Indenture shall cease to be of further effect as to all outstanding Securities of such series and the related Guarantees, except as to:</w:t>
      </w:r>
    </w:p>
    <w:p>
      <w:pPr>
        <w:spacing w:after="0" w:line="161" w:lineRule="exact"/>
        <w:rPr>
          <w:rFonts w:ascii="Times New Roman" w:cs="Times New Roman" w:eastAsia="Times New Roman" w:hAnsi="Times New Roman"/>
          <w:sz w:val="16"/>
          <w:szCs w:val="16"/>
          <w:color w:val="auto"/>
        </w:rPr>
      </w:pPr>
    </w:p>
    <w:p>
      <w:pPr>
        <w:ind w:left="580" w:right="260" w:firstLine="587"/>
        <w:spacing w:after="0" w:line="288" w:lineRule="auto"/>
        <w:tabs>
          <w:tab w:leader="none" w:pos="1435"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of Holders of such series of Securities issued under this Indenture to receive payments in respect of the principal of, premium, if any, and interest on such Securities when such payments are due solely out of the trust created pursuant to this Indenture;</w:t>
      </w:r>
    </w:p>
    <w:p>
      <w:pPr>
        <w:spacing w:after="0" w:line="143" w:lineRule="exact"/>
        <w:rPr>
          <w:rFonts w:ascii="Times New Roman" w:cs="Times New Roman" w:eastAsia="Times New Roman" w:hAnsi="Times New Roman"/>
          <w:sz w:val="16"/>
          <w:szCs w:val="16"/>
          <w:color w:val="auto"/>
        </w:rPr>
      </w:pPr>
    </w:p>
    <w:p>
      <w:pPr>
        <w:ind w:left="580" w:right="400" w:firstLine="587"/>
        <w:spacing w:after="0" w:line="271" w:lineRule="auto"/>
        <w:tabs>
          <w:tab w:leader="none" w:pos="1435"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obligations with respect to such series of Securities concerning issuing temporary Securities under Section 2.12, registration of Securities under Section 2.05, mutilated, destroyed, lost or stolen Securities under Section 2.09, and the maintenance of an office or agency for payment under Section 2.05 and money for security payments held in trust under Section 2.06;</w:t>
      </w:r>
    </w:p>
    <w:p>
      <w:pPr>
        <w:spacing w:after="0" w:line="156"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powers, trust, duties, and immunities of the Trustee, and the Company’s obligation in connection therewith; and</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applicable provisions of this Article IX.</w:t>
      </w:r>
    </w:p>
    <w:p>
      <w:pPr>
        <w:spacing w:after="0" w:line="206" w:lineRule="exact"/>
        <w:rPr>
          <w:sz w:val="20"/>
          <w:szCs w:val="20"/>
          <w:color w:val="auto"/>
        </w:rPr>
      </w:pPr>
    </w:p>
    <w:p>
      <w:pPr>
        <w:ind w:right="120" w:firstLine="585"/>
        <w:spacing w:after="0" w:line="261" w:lineRule="auto"/>
        <w:rPr>
          <w:sz w:val="20"/>
          <w:szCs w:val="20"/>
          <w:color w:val="auto"/>
        </w:rPr>
      </w:pPr>
      <w:r>
        <w:rPr>
          <w:rFonts w:ascii="Times New Roman" w:cs="Times New Roman" w:eastAsia="Times New Roman" w:hAnsi="Times New Roman"/>
          <w:sz w:val="16"/>
          <w:szCs w:val="16"/>
          <w:color w:val="auto"/>
        </w:rPr>
        <w:t>In addition, the Company may, at its option and at any time, elect to have its obligations and the obligations of the Guarantors released with respect to (A) their respective obligations under Sections 4.03 through 4.05 with respect to the outstanding Securities of a series, (B) the operation of Sections 6.01(5), (6), (7) or (8) (only as such clauses (7) or (8) apply to Significant Subsidiaries) and (C) if so specified pursuant to Section 2.02 with respect to Securities of a series, any other restrictive covenant added for the benefit of such series pursuant to Section 2.02 (“</w:t>
      </w:r>
      <w:r>
        <w:rPr>
          <w:rFonts w:ascii="Times New Roman" w:cs="Times New Roman" w:eastAsia="Times New Roman" w:hAnsi="Times New Roman"/>
          <w:sz w:val="16"/>
          <w:szCs w:val="16"/>
          <w:i w:val="1"/>
          <w:iCs w:val="1"/>
          <w:color w:val="auto"/>
        </w:rPr>
        <w:t>Covenant Defeasance</w:t>
      </w:r>
      <w:r>
        <w:rPr>
          <w:rFonts w:ascii="Times New Roman" w:cs="Times New Roman" w:eastAsia="Times New Roman" w:hAnsi="Times New Roman"/>
          <w:sz w:val="16"/>
          <w:szCs w:val="16"/>
          <w:color w:val="auto"/>
        </w:rPr>
        <w:t>”) on and after the conditions in Section 9.03 with respect to Covenant Defeasance are satisfied, and thereafter any omission to comply with such obligations shall not constitute a Default or Event of Default with respect to such Securities. The Company may exercise its Legal Defeasance option regardless of whether it previously exercised Covenant Defeasance.</w:t>
      </w:r>
    </w:p>
    <w:p>
      <w:pPr>
        <w:spacing w:after="0" w:line="164" w:lineRule="exact"/>
        <w:rPr>
          <w:sz w:val="20"/>
          <w:szCs w:val="20"/>
          <w:color w:val="auto"/>
        </w:rPr>
      </w:pPr>
    </w:p>
    <w:p>
      <w:pPr>
        <w:ind w:right="340" w:firstLine="582"/>
        <w:spacing w:after="0" w:line="288" w:lineRule="auto"/>
        <w:tabs>
          <w:tab w:leader="none" w:pos="846"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exercises its Legal Defeasance option, payment of the Securities of such series may not be accelerated because of an Event of Default with respect thereto.</w:t>
      </w:r>
    </w:p>
    <w:p>
      <w:pPr>
        <w:spacing w:after="0" w:line="143" w:lineRule="exact"/>
        <w:rPr>
          <w:rFonts w:ascii="Times New Roman" w:cs="Times New Roman" w:eastAsia="Times New Roman" w:hAnsi="Times New Roman"/>
          <w:sz w:val="16"/>
          <w:szCs w:val="16"/>
          <w:color w:val="auto"/>
        </w:rPr>
      </w:pPr>
    </w:p>
    <w:p>
      <w:pPr>
        <w:ind w:right="700" w:firstLine="582"/>
        <w:spacing w:after="0" w:line="288" w:lineRule="auto"/>
        <w:tabs>
          <w:tab w:leader="none" w:pos="855"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satisfaction of the conditions set forth herein and upon request of the Company, the Trustee shall acknowledge in writing the discharge of those obligations that the Company terminates.</w:t>
      </w:r>
    </w:p>
    <w:p>
      <w:pPr>
        <w:spacing w:after="0" w:line="143" w:lineRule="exact"/>
        <w:rPr>
          <w:rFonts w:ascii="Times New Roman" w:cs="Times New Roman" w:eastAsia="Times New Roman" w:hAnsi="Times New Roman"/>
          <w:sz w:val="16"/>
          <w:szCs w:val="16"/>
          <w:color w:val="auto"/>
        </w:rPr>
      </w:pPr>
    </w:p>
    <w:p>
      <w:pPr>
        <w:jc w:val="both"/>
        <w:ind w:right="220" w:firstLine="582"/>
        <w:spacing w:after="0" w:line="271" w:lineRule="auto"/>
        <w:tabs>
          <w:tab w:leader="none" w:pos="846"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clauses (a) and (b) of this Section 9.02, the Company’s obligations in Sections 2.05, 2.07, 2.08, 2.09, 2.17, 7.06, 9.06 and 9.07 shall survive with respect to such series of Securities until such time as the Securities of such series have been paid in full. Thereafter, the Company’s obligations in Sections 7.06, 9.06 and 9.07 shall survive.</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9.03. Conditions to Defeasance.</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order to exercise either Legal Defeasance or Covenant Defeasance with respect to the Securities of any series:</w:t>
      </w:r>
    </w:p>
    <w:p>
      <w:pPr>
        <w:spacing w:after="0" w:line="206" w:lineRule="exact"/>
        <w:rPr>
          <w:sz w:val="20"/>
          <w:szCs w:val="20"/>
          <w:color w:val="auto"/>
        </w:rPr>
      </w:pPr>
    </w:p>
    <w:p>
      <w:pPr>
        <w:ind w:firstLine="582"/>
        <w:spacing w:after="0" w:line="262" w:lineRule="auto"/>
        <w:tabs>
          <w:tab w:leader="none" w:pos="846"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must irrevocably deposit with the Trustee or other agent, as trust funds, in trust solely for the benefit of the Holders of the Securities of such series U.S. legal tender, U.S. Government Obligations or a combination thereof, in such amounts as will be sufficient (without consideration of any reinvestment of interest) in the opinion of a nationally recognized firm of independent public accountants selected by the Company, to pay the principal (including any mandatory sinking fund payments) of, premium, if any, and interest on the Securities of such series on the stated date for payment or on the Redemption Date of the principal or installment of principal of, premium, if any, or interest on such series of Securities;</w:t>
      </w:r>
    </w:p>
    <w:p>
      <w:pPr>
        <w:spacing w:after="0" w:line="164" w:lineRule="exact"/>
        <w:rPr>
          <w:rFonts w:ascii="Times New Roman" w:cs="Times New Roman" w:eastAsia="Times New Roman" w:hAnsi="Times New Roman"/>
          <w:sz w:val="16"/>
          <w:szCs w:val="16"/>
          <w:color w:val="auto"/>
        </w:rPr>
      </w:pPr>
    </w:p>
    <w:p>
      <w:pPr>
        <w:jc w:val="both"/>
        <w:ind w:right="60" w:firstLine="582"/>
        <w:spacing w:after="0" w:line="262" w:lineRule="auto"/>
        <w:tabs>
          <w:tab w:leader="none" w:pos="855"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Legal Defeasance, the Company shall have delivered to the Trustee an Opinion of Counsel to the effect that the beneficial owners of Securities of such series will not recognize income, gain or loss for U.S. federal income tax purposes solely as a result of the Legal Defeasance and will be subject to U.S. federal income tax on the same amounts, in the same manner and at the same times as would have been the case if such Legal Defeasance had not occurred, which opinion must be based either on a change in the applicable U.S. federal income tax laws or regulations occurring after the Issue Date, or the Company having received a ruling from, or published by, the Internal Revenue Service to that effect;</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01" w:name="page102"/>
    <w:bookmarkEnd w:id="101"/>
    <w:p>
      <w:pPr>
        <w:ind w:right="180" w:firstLine="582"/>
        <w:spacing w:after="0" w:line="271" w:lineRule="auto"/>
        <w:tabs>
          <w:tab w:leader="none" w:pos="846"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Covenant Defeasance, the Company shall have delivered to the Trustee an Opinion of Counsel to the effect that the beneficial owners of Securities of such series will not recognize income, gain or loss for U.S. federal income tax purposes solely as a result of such Covenant Defeasance and will be subject to U.S. federal income tax on the same amounts, in the same manner and at the same times as would have been the case if the Covenant Defeasance had not occurred;</w:t>
      </w:r>
    </w:p>
    <w:p>
      <w:pPr>
        <w:spacing w:after="0" w:line="156" w:lineRule="exact"/>
        <w:rPr>
          <w:rFonts w:ascii="Times New Roman" w:cs="Times New Roman" w:eastAsia="Times New Roman" w:hAnsi="Times New Roman"/>
          <w:sz w:val="16"/>
          <w:szCs w:val="16"/>
          <w:color w:val="auto"/>
        </w:rPr>
      </w:pPr>
    </w:p>
    <w:p>
      <w:pPr>
        <w:jc w:val="both"/>
        <w:ind w:right="220" w:firstLine="582"/>
        <w:spacing w:after="0" w:line="288" w:lineRule="auto"/>
        <w:tabs>
          <w:tab w:leader="none" w:pos="855"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Default or Event of Default (other than a Default or Event of Default resulting from borrowing funds to be applied to make such deposit (and any similar concurrent deposit relating to other Indebtedness) or the granting of Liens in connection therewith) shall have occurred and be continuing on the date of such deposit; and</w:t>
      </w:r>
    </w:p>
    <w:p>
      <w:pPr>
        <w:spacing w:after="0" w:line="143" w:lineRule="exact"/>
        <w:rPr>
          <w:rFonts w:ascii="Times New Roman" w:cs="Times New Roman" w:eastAsia="Times New Roman" w:hAnsi="Times New Roman"/>
          <w:sz w:val="16"/>
          <w:szCs w:val="16"/>
          <w:color w:val="auto"/>
        </w:rPr>
      </w:pPr>
    </w:p>
    <w:p>
      <w:pPr>
        <w:ind w:right="220" w:firstLine="582"/>
        <w:spacing w:after="0" w:line="288" w:lineRule="auto"/>
        <w:tabs>
          <w:tab w:leader="none" w:pos="846"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the Trustee an Officer’s Certificate and an Opinion of Counsel each stating that all conditions precedent provided for or relating to the Legal Defeasance or the Covenant Defeasance, as the case may be, have been complied with.</w:t>
      </w:r>
    </w:p>
    <w:p>
      <w:pPr>
        <w:spacing w:after="0" w:line="143" w:lineRule="exact"/>
        <w:rPr>
          <w:sz w:val="20"/>
          <w:szCs w:val="20"/>
          <w:color w:val="auto"/>
        </w:rPr>
      </w:pPr>
    </w:p>
    <w:p>
      <w:pPr>
        <w:ind w:firstLine="585"/>
        <w:spacing w:after="0" w:line="262" w:lineRule="auto"/>
        <w:rPr>
          <w:sz w:val="20"/>
          <w:szCs w:val="20"/>
          <w:color w:val="auto"/>
        </w:rPr>
      </w:pPr>
      <w:r>
        <w:rPr>
          <w:rFonts w:ascii="Times New Roman" w:cs="Times New Roman" w:eastAsia="Times New Roman" w:hAnsi="Times New Roman"/>
          <w:sz w:val="16"/>
          <w:szCs w:val="16"/>
          <w:color w:val="auto"/>
        </w:rPr>
        <w:t>Notwithstanding the foregoing provisions of this Section 9.03, the conditions set forth in the foregoing subsections (b), (c), (d) and (e) need not be satisfied so long as, at the time the Company makes the deposit described in subsection (a), (i) no Default under clauses (1), (2), (8) and (9) under Section 6.01 has occurred and is continuing on the date of such deposit and after giving effect thereto, and (ii) either (x) a notice of redemption has been transmitted providing for redemption of all the Securities of such series not more than 60 days after such transmission and the requirements for such redemption shall have been complied with or (y) the Stated Maturity of the Securities of such series will occur within 60 days. If the conditions in the preceding sentence are satisfied, the Company shall be deemed to have exercised its Covenant Defeasance option.</w:t>
      </w:r>
    </w:p>
    <w:p>
      <w:pPr>
        <w:spacing w:after="0" w:line="360" w:lineRule="exact"/>
        <w:rPr>
          <w:sz w:val="20"/>
          <w:szCs w:val="20"/>
          <w:color w:val="auto"/>
        </w:rPr>
      </w:pPr>
    </w:p>
    <w:p>
      <w:pPr>
        <w:jc w:val="both"/>
        <w:ind w:right="320" w:firstLine="585"/>
        <w:spacing w:after="0" w:line="271" w:lineRule="auto"/>
        <w:rPr>
          <w:sz w:val="20"/>
          <w:szCs w:val="20"/>
          <w:color w:val="auto"/>
        </w:rPr>
      </w:pPr>
      <w:r>
        <w:rPr>
          <w:rFonts w:ascii="Times New Roman" w:cs="Times New Roman" w:eastAsia="Times New Roman" w:hAnsi="Times New Roman"/>
          <w:sz w:val="16"/>
          <w:szCs w:val="16"/>
          <w:color w:val="auto"/>
        </w:rPr>
        <w:t>If the funds deposited with the Trustee or other agent to effect Covenant Defeasance are insufficient to pay the principal of and interest on the Securities of the applicable series when due, then the Company’s obligations and the obligations of the Guarantors under this Indenture will be revived with respect to such series and no such defeasance will be deemed to have occurred.</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9.04. Deposited Money and U.S. Government Obligations To Be Held in Trust; Other Miscellaneous Provisions.</w:t>
      </w:r>
    </w:p>
    <w:p>
      <w:pPr>
        <w:spacing w:after="0" w:line="208" w:lineRule="exact"/>
        <w:rPr>
          <w:sz w:val="20"/>
          <w:szCs w:val="20"/>
          <w:color w:val="auto"/>
        </w:rPr>
      </w:pPr>
    </w:p>
    <w:p>
      <w:pPr>
        <w:ind w:right="20" w:firstLine="585"/>
        <w:spacing w:after="0" w:line="265" w:lineRule="auto"/>
        <w:rPr>
          <w:sz w:val="20"/>
          <w:szCs w:val="20"/>
          <w:color w:val="auto"/>
        </w:rPr>
      </w:pPr>
      <w:r>
        <w:rPr>
          <w:rFonts w:ascii="Times New Roman" w:cs="Times New Roman" w:eastAsia="Times New Roman" w:hAnsi="Times New Roman"/>
          <w:sz w:val="16"/>
          <w:szCs w:val="16"/>
          <w:color w:val="auto"/>
        </w:rPr>
        <w:t>All money and U.S. Government Obligations (including the proceeds thereof) deposited with the Trustee or other agent pursuant to Section 9.03(a) in respect of the outstanding Securities of a series shall be held in trust and applied by the Trustee or other agent, in accordance with the provisions of such Securities and this Indenture, to the payment, either directly or through any Paying Agent, to the Holders of such Securities, of all sums due and to become due thereon in respect of principal, premium, if any, and accrued interest, but such money need not be segregated from other funds except to the extent required by law.</w:t>
      </w:r>
    </w:p>
    <w:p>
      <w:pPr>
        <w:spacing w:after="0" w:line="162" w:lineRule="exact"/>
        <w:rPr>
          <w:sz w:val="20"/>
          <w:szCs w:val="20"/>
          <w:color w:val="auto"/>
        </w:rPr>
      </w:pPr>
    </w:p>
    <w:p>
      <w:pPr>
        <w:ind w:firstLine="585"/>
        <w:spacing w:after="0" w:line="271" w:lineRule="auto"/>
        <w:rPr>
          <w:sz w:val="20"/>
          <w:szCs w:val="20"/>
          <w:color w:val="auto"/>
        </w:rPr>
      </w:pPr>
      <w:r>
        <w:rPr>
          <w:rFonts w:ascii="Times New Roman" w:cs="Times New Roman" w:eastAsia="Times New Roman" w:hAnsi="Times New Roman"/>
          <w:sz w:val="16"/>
          <w:szCs w:val="16"/>
          <w:color w:val="auto"/>
        </w:rPr>
        <w:t>The Company shall pay and indemnify the Trustee or other agent against any tax, fee or other charge imposed on or assessed against the U.S. Government Obligations deposited pursuant to Section 9.03(a) or the principal, premium, if any, and interest received in respect thereof other than any such tax, fee or other charge which by law is for the account of the Holders of the outstanding Securities.</w:t>
      </w:r>
    </w:p>
    <w:p>
      <w:pPr>
        <w:spacing w:after="0" w:line="156" w:lineRule="exact"/>
        <w:rPr>
          <w:sz w:val="20"/>
          <w:szCs w:val="20"/>
          <w:color w:val="auto"/>
        </w:rPr>
      </w:pPr>
    </w:p>
    <w:p>
      <w:pPr>
        <w:ind w:right="120" w:firstLine="585"/>
        <w:spacing w:after="0" w:line="265" w:lineRule="auto"/>
        <w:rPr>
          <w:sz w:val="20"/>
          <w:szCs w:val="20"/>
          <w:color w:val="auto"/>
        </w:rPr>
      </w:pPr>
      <w:r>
        <w:rPr>
          <w:rFonts w:ascii="Times New Roman" w:cs="Times New Roman" w:eastAsia="Times New Roman" w:hAnsi="Times New Roman"/>
          <w:sz w:val="16"/>
          <w:szCs w:val="16"/>
          <w:color w:val="auto"/>
        </w:rPr>
        <w:t>Anything in this Article IX to the contrary notwithstanding, the Trustee or other agent shall deliver or pay to the Company from time to time upon a request of the Company any money or U.S. Government Obligations held by it as provided in Section 9.03(a) which, in the opinion of a nationally recognized firm of independent public accountants expressed in a written certification thereof delivered to the Trustee or other agent, are in excess of the amount thereof which would then be required to be deposited to effect an equivalent Legal Defeasance or Covenant Defeasance.</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2" w:name="page103"/>
    <w:bookmarkEnd w:id="102"/>
    <w:p>
      <w:pPr>
        <w:ind w:left="580"/>
        <w:spacing w:after="0"/>
        <w:rPr>
          <w:sz w:val="20"/>
          <w:szCs w:val="20"/>
          <w:color w:val="auto"/>
        </w:rPr>
      </w:pPr>
      <w:r>
        <w:rPr>
          <w:rFonts w:ascii="Times New Roman" w:cs="Times New Roman" w:eastAsia="Times New Roman" w:hAnsi="Times New Roman"/>
          <w:sz w:val="16"/>
          <w:szCs w:val="16"/>
          <w:i w:val="1"/>
          <w:iCs w:val="1"/>
          <w:color w:val="auto"/>
        </w:rPr>
        <w:t>Section 9.05. Reinstatement.</w:t>
      </w:r>
    </w:p>
    <w:p>
      <w:pPr>
        <w:spacing w:after="0" w:line="208" w:lineRule="exact"/>
        <w:rPr>
          <w:sz w:val="20"/>
          <w:szCs w:val="20"/>
          <w:color w:val="auto"/>
        </w:rPr>
      </w:pPr>
    </w:p>
    <w:p>
      <w:pPr>
        <w:ind w:firstLine="585"/>
        <w:spacing w:after="0" w:line="261" w:lineRule="auto"/>
        <w:rPr>
          <w:sz w:val="20"/>
          <w:szCs w:val="20"/>
          <w:color w:val="auto"/>
        </w:rPr>
      </w:pPr>
      <w:r>
        <w:rPr>
          <w:rFonts w:ascii="Times New Roman" w:cs="Times New Roman" w:eastAsia="Times New Roman" w:hAnsi="Times New Roman"/>
          <w:sz w:val="16"/>
          <w:szCs w:val="16"/>
          <w:color w:val="auto"/>
        </w:rPr>
        <w:t xml:space="preserve">If the Trustee or Paying Agent is unable to apply any money or U.S. Government Obligations in accordance with Section 9.02 by reason of any legal proceeding or by reason of any order or judgment of any court or U.S. Governmental Authority enjoining, restraining or otherwise prohibiting such application, the Company’s obligations under this Indenture and the applicable Securities shall be revived and reinstated as though no deposit had occurred pursuant to this Article IX until such time as the Trustee or Paying Agent is permitted to apply all such money or U.S. Government Obligations in accordance with Section 9.02;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Company has made any payment of principal of, premium, if any, or accrued interest on any Securities because of the reinstatement of its obligations, the Company shall be subrogated to the rights of the Holders of such Securities to receive such payment from the money or U.S. Government Obligations held by the Trustee or Paying Agent.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9.06. Moneys Held by Paying Agent.</w:t>
      </w:r>
    </w:p>
    <w:p>
      <w:pPr>
        <w:spacing w:after="0" w:line="208" w:lineRule="exact"/>
        <w:rPr>
          <w:sz w:val="20"/>
          <w:szCs w:val="20"/>
          <w:color w:val="auto"/>
        </w:rPr>
      </w:pPr>
    </w:p>
    <w:p>
      <w:pPr>
        <w:ind w:right="280" w:firstLine="585"/>
        <w:spacing w:after="0" w:line="271" w:lineRule="auto"/>
        <w:rPr>
          <w:sz w:val="20"/>
          <w:szCs w:val="20"/>
          <w:color w:val="auto"/>
        </w:rPr>
      </w:pPr>
      <w:r>
        <w:rPr>
          <w:rFonts w:ascii="Times New Roman" w:cs="Times New Roman" w:eastAsia="Times New Roman" w:hAnsi="Times New Roman"/>
          <w:sz w:val="16"/>
          <w:szCs w:val="16"/>
          <w:color w:val="auto"/>
        </w:rPr>
        <w:t>In connection with the satisfaction and discharge of this Indenture, all moneys then held by any Paying Agent under the provisions of this Indenture shall, upon written demand of the Company, be paid to the Trustee, or if sufficient moneys have been deposited pursuant to Section 9.03(a), to the Company upon a request of the Company, and thereupon the Paying Agent shall be released from all further liability with respect to such moneys.</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9.07. Moneys Held by Trustee.</w:t>
      </w:r>
    </w:p>
    <w:p>
      <w:pPr>
        <w:spacing w:after="0" w:line="208" w:lineRule="exact"/>
        <w:rPr>
          <w:sz w:val="20"/>
          <w:szCs w:val="20"/>
          <w:color w:val="auto"/>
        </w:rPr>
      </w:pPr>
    </w:p>
    <w:p>
      <w:pPr>
        <w:ind w:right="20" w:firstLine="585"/>
        <w:spacing w:after="0" w:line="257" w:lineRule="auto"/>
        <w:rPr>
          <w:sz w:val="20"/>
          <w:szCs w:val="20"/>
          <w:color w:val="auto"/>
        </w:rPr>
      </w:pPr>
      <w:r>
        <w:rPr>
          <w:rFonts w:ascii="Times New Roman" w:cs="Times New Roman" w:eastAsia="Times New Roman" w:hAnsi="Times New Roman"/>
          <w:sz w:val="16"/>
          <w:szCs w:val="16"/>
          <w:color w:val="auto"/>
        </w:rPr>
        <w:t xml:space="preserve">Any moneys deposited with the Trustee or any Paying Agent or then held by the Company in trust for the payment of the principal of, or premium, if any, or interest on any Security that are not applied but remain unclaimed by the Holder of such Security for two years after the date upon which the principal of, or premium, if any, or interest on such Security shall have respectively become due and payable shall be repaid to the Company upon a request of the Company, or if such moneys are then held by the Company in trust, such moneys shall be released from such trust; and the Holder of such Security entitled to receive such payment shall thereafter, as an unsecured general creditor, look only to the Company for the payment thereof, and all liability of the Trustee or the Paying Agent with respect to such trust money shall thereupon cease;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Trustee or the Paying Agent, before being required to make any such repayment, may, at the expense of the Company either transmit to each Holder affected, at the address shown in the register of the Securities maintained by the Registrar pursuant to Section 2.05, or cause to be published once a week for two successive weeks, in a newspaper published in the English language, customarily published each Business Day and of general circulation in the City of New York, New York, a notice that such money remains unclaimed and that, after a date specified therein, which shall not be less than 30 days from the date of such transmission or publication, any unclaimed balance of such moneys then remaining will be repaid to the Company. After payment to the Company or the release of any money held in trust by the Company, Holders entitled to the money must look only to the Company for payment as general creditors unless applicable abandoned property law designates another Person.</w:t>
      </w:r>
    </w:p>
    <w:p>
      <w:pPr>
        <w:spacing w:after="0" w:line="3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9.08. Deposits of Non-U.S. Currencies.</w:t>
      </w:r>
    </w:p>
    <w:p>
      <w:pPr>
        <w:spacing w:after="0" w:line="208" w:lineRule="exact"/>
        <w:rPr>
          <w:sz w:val="20"/>
          <w:szCs w:val="20"/>
          <w:color w:val="auto"/>
        </w:rPr>
      </w:pPr>
    </w:p>
    <w:p>
      <w:pPr>
        <w:ind w:right="220" w:firstLine="585"/>
        <w:spacing w:after="0" w:line="271" w:lineRule="auto"/>
        <w:rPr>
          <w:sz w:val="20"/>
          <w:szCs w:val="20"/>
          <w:color w:val="auto"/>
        </w:rPr>
      </w:pPr>
      <w:r>
        <w:rPr>
          <w:rFonts w:ascii="Times New Roman" w:cs="Times New Roman" w:eastAsia="Times New Roman" w:hAnsi="Times New Roman"/>
          <w:sz w:val="16"/>
          <w:szCs w:val="16"/>
          <w:color w:val="auto"/>
        </w:rPr>
        <w:t>Notwithstanding the foregoing provisions of this Article IX, if the Securities of any series are payable in a Currency other than U.S. Dollars, the Currency or the nature of the government obligations to be deposited with the Trustee under the foregoing provisions of this Article IX shall be as set forth in the Company Order or established in the supplemental indenture under which the Securities of such series are issued.</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ARTICLE X</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GUARANTEES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10.01. Guarantees.</w:t>
      </w:r>
    </w:p>
    <w:p>
      <w:pPr>
        <w:spacing w:after="0" w:line="208" w:lineRule="exact"/>
        <w:rPr>
          <w:sz w:val="20"/>
          <w:szCs w:val="20"/>
          <w:color w:val="auto"/>
        </w:rPr>
      </w:pPr>
    </w:p>
    <w:p>
      <w:pPr>
        <w:jc w:val="both"/>
        <w:ind w:right="40" w:firstLine="582"/>
        <w:spacing w:after="0" w:line="265" w:lineRule="auto"/>
        <w:tabs>
          <w:tab w:leader="none" w:pos="846"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contemplated by Section 2.02 with respect to any series of Securities, if any series of Securities is issued with the benefit of Guarantees, then the provisions of this Article X will be applicable to such Securities. Each reference in this Article X to a “Security” or the “Securities” refers to the Securities of the particular series as to which provision has been made for such Guarantees. If more than one series of Securities as to which such provision has been made are outstanding at any time, the provisions of this Article X shall be applied separately to each series.</w:t>
      </w: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ind w:right="60" w:firstLine="582"/>
        <w:spacing w:after="0" w:line="259" w:lineRule="auto"/>
        <w:tabs>
          <w:tab w:leader="none" w:pos="855"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Guarantor, hereby jointly and severally, absolutely, unconditionally and irrevocably guarantees the Securities and obligations of the Company hereunder and thereunder, and guarantees to each Holder of a Security authenticated and delivered by the Trustee, and to the Trustee on behalf of such Holder, that (i) the principal of (and premium, if any) and interest on the Securities will be paid in full when due, whether at Stated Maturity, by acceleration or otherwise (including, without limitation, the amount that would become due but for the operation of any automatic stay provision of any Bankruptcy Law), together with interest on the overdue principal, if any, and interest on any overdue interest, to the extent lawful, and all other obligations of the Company to the Holders or the Trustee hereunder or thereunder will be paid in full or performed, all in accordance with the terms hereof and thereof; and (ii) in case of any extension of time of payment or renewal of any Securities or of any such other obligations, the same will be paid in full when due or performed in accordance with the terms of the extension or renewal, whether at Stated Maturity, by acceleration or otherwise, subject, however, in the case of clauses (i) and (ii) above, to the limitations set forth in Section 10.03.</w:t>
      </w:r>
    </w:p>
    <w:p>
      <w:pPr>
        <w:spacing w:after="0" w:line="165" w:lineRule="exact"/>
        <w:rPr>
          <w:sz w:val="20"/>
          <w:szCs w:val="20"/>
          <w:color w:val="auto"/>
        </w:rPr>
      </w:pPr>
    </w:p>
    <w:p>
      <w:pPr>
        <w:jc w:val="both"/>
        <w:ind w:right="120" w:firstLine="585"/>
        <w:spacing w:after="0" w:line="265" w:lineRule="auto"/>
        <w:rPr>
          <w:sz w:val="20"/>
          <w:szCs w:val="20"/>
          <w:color w:val="auto"/>
        </w:rPr>
      </w:pPr>
      <w:r>
        <w:rPr>
          <w:rFonts w:ascii="Times New Roman" w:cs="Times New Roman" w:eastAsia="Times New Roman" w:hAnsi="Times New Roman"/>
          <w:sz w:val="16"/>
          <w:szCs w:val="16"/>
          <w:color w:val="auto"/>
        </w:rPr>
        <w:t>Each Guarantor hereby agrees that its obligations hereunder shall be unconditional, irrespective of the validity, regularity or enforceability of the Securities or this Indenture, the absence of any action to enforce the same, any waiver or consent by any Holder of Securities with respect to any provisions hereof or thereof, any release of any other Guarantor, the recovery of any judgment against the Company, any action to enforce the same or any other circumstance which might otherwise constitute a legal or equitable discharge or defense of a Guarantor.</w:t>
      </w:r>
    </w:p>
    <w:p>
      <w:pPr>
        <w:spacing w:after="0" w:line="162" w:lineRule="exact"/>
        <w:rPr>
          <w:sz w:val="20"/>
          <w:szCs w:val="20"/>
          <w:color w:val="auto"/>
        </w:rPr>
      </w:pPr>
    </w:p>
    <w:p>
      <w:pPr>
        <w:ind w:right="40" w:firstLine="582"/>
        <w:spacing w:after="0" w:line="257" w:lineRule="auto"/>
        <w:tabs>
          <w:tab w:leader="none" w:pos="846"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Guarantor hereby waives (to the extent permitted by law) the benefits of diligence, presentment, demand for payment, filing of claims with a court in the event of insolvency or bankruptcy of the Company, any right to require a proceeding first against the Company or any other Person, protest, notice and all demands whatsoever and covenants that the Guarantee of such Guarantor shall not be discharged as to any series of Securities, as the case may be, except by complete performance of the obligations contained in such Securities, this Indenture and such Guarantee. Each Guarantor acknowledges that the Guarantee is a guarantee of payment and not of collection. Each of the Guarantors hereby agrees that, in the event of a default in payment of principal (or premium, if any) or interest on such Security, whether at its Stated Maturity, by acceleration, purchase or otherwise, legal proceedings may be instituted by the Trustee on behalf of, or by, the Holder of such Security, subject to the terms and conditions set forth in this Indenture, directly against each of the Guarantors to enforce such Guarantor’s Guarantee without first proceeding against the Company or any other Guarantor. Each Guarantor agrees that if, after the occurrence and during the continuance of an Event of Default, the Trustee or any of the Holders are prevented by applicable law from exercising their respective rights to accelerate the maturity of the Securities, to collect interest on the Securities, or to enforce or exercise any other right or remedy with respect to the Securities, such Guarantor will pay to the Trustee for the account of the Holders, upon demand therefor, the amount that would otherwise have been due and payable had such rights and remedies been permitted to be exercised by the Trustee or any of the Holders.</w:t>
      </w:r>
    </w:p>
    <w:p>
      <w:pPr>
        <w:spacing w:after="0" w:line="171" w:lineRule="exact"/>
        <w:rPr>
          <w:rFonts w:ascii="Times New Roman" w:cs="Times New Roman" w:eastAsia="Times New Roman" w:hAnsi="Times New Roman"/>
          <w:sz w:val="16"/>
          <w:szCs w:val="16"/>
          <w:color w:val="auto"/>
        </w:rPr>
      </w:pPr>
    </w:p>
    <w:p>
      <w:pPr>
        <w:ind w:right="100" w:firstLine="582"/>
        <w:spacing w:after="0" w:line="259" w:lineRule="auto"/>
        <w:tabs>
          <w:tab w:leader="none" w:pos="855"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Holder or the Trustee is required by any court or otherwise to return to the Company or any Guarantor, or any custodian, trustee, liquidator or other similar official acting in relation to either the Company or any Guarantor, any amount paid by any of them to the Trustee or such Holder, the Guarantee of each of the Guarantors, to the extent theretofore discharged, shall be reinstated in full force and effect. Each Guarantor further agrees that, as between each Guarantor, on the one hand, and the Holders and the Trustee, on the other hand, (x) subject to this Article X, the maturity of the obligations guaranteed hereby may be accelerated as provided in Article VI for the purposes of the Guarantee of such Guarantor, notwithstanding any stay, injunction or other prohibition preventing such acceleration in respect of the obligations guaranteed hereby, and (y) in the event of any acceleration of such obligations as provided in Article VI, such obligations (whether or not due and payable) shall forthwith become due and payable by each Guarantor for the purpose of the Guarantee of such Guarantor.</w:t>
      </w:r>
    </w:p>
    <w:p>
      <w:pPr>
        <w:spacing w:after="0" w:line="169" w:lineRule="exact"/>
        <w:rPr>
          <w:rFonts w:ascii="Times New Roman" w:cs="Times New Roman" w:eastAsia="Times New Roman" w:hAnsi="Times New Roman"/>
          <w:sz w:val="16"/>
          <w:szCs w:val="16"/>
          <w:color w:val="auto"/>
        </w:rPr>
      </w:pPr>
    </w:p>
    <w:p>
      <w:pPr>
        <w:ind w:firstLine="582"/>
        <w:spacing w:after="0" w:line="259" w:lineRule="auto"/>
        <w:tabs>
          <w:tab w:leader="none" w:pos="846"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significant part of the Company’s assets, and shall, to the fullest extent permitted by law, continue to be effective or be reinstated, as the case may be, if at any time payment and performance of the Securities are, pursuant to applicable law, rescinded or reduced in amount, or must otherwise be restored or returned by any obligee on the Securities, whether as a “voidable preference,” “fraudulent transfer” or otherwise, all as though such payment or performance had not been made. In the event that any payment, or any part thereof, is rescinded, reduced, restored or returned, the Securities shall, to the fullest extent permitted by law, be reinstated and deemed reduced only by such amount paid and not so rescinded, reduced, restored or returned.</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04" w:name="page105"/>
    <w:bookmarkEnd w:id="104"/>
    <w:p>
      <w:pPr>
        <w:ind w:firstLine="582"/>
        <w:spacing w:after="0" w:line="261" w:lineRule="auto"/>
        <w:tabs>
          <w:tab w:leader="none" w:pos="828"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evidence its Guarantee, each Guarantor hereby agrees that a Notation of Guarantee will be endorsed by an Officer of such Guarantor on each Security authenticated and delivered to the Trustee and that this Indenture or a supplemental indenture to this Indenture will be executed on behalf of such Guarantor by one of its Officers. Each Guarantor hereby agrees that its Guarantee will remain in full force and effect notwithstanding any failure to endorse on each Security a Notation of Guarantee. The delivery of any Security by the Trustee, after the authentication thereof hereunder, will be deemed to constitute due delivery of the Notation of Guarantee set forth in this Indenture by the Guarantors. If an Officer whose signature is on this Indenture or on the Notation of Guarantee no longer holds that office at the time the Trustee authenticates the Security on which a Notation of Guarantee is endorsed, the Notation of Guarantee will be valid nevertheless.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10.02. Severability.</w:t>
      </w:r>
    </w:p>
    <w:p>
      <w:pPr>
        <w:spacing w:after="0" w:line="208" w:lineRule="exact"/>
        <w:rPr>
          <w:sz w:val="20"/>
          <w:szCs w:val="20"/>
          <w:color w:val="auto"/>
        </w:rPr>
      </w:pPr>
    </w:p>
    <w:p>
      <w:pPr>
        <w:ind w:right="240" w:firstLine="585"/>
        <w:spacing w:after="0" w:line="288" w:lineRule="auto"/>
        <w:rPr>
          <w:sz w:val="20"/>
          <w:szCs w:val="20"/>
          <w:color w:val="auto"/>
        </w:rPr>
      </w:pPr>
      <w:r>
        <w:rPr>
          <w:rFonts w:ascii="Times New Roman" w:cs="Times New Roman" w:eastAsia="Times New Roman" w:hAnsi="Times New Roman"/>
          <w:sz w:val="16"/>
          <w:szCs w:val="16"/>
          <w:color w:val="auto"/>
        </w:rPr>
        <w:t>In case any provision of any Guarantee shall be invalid, illegal or unenforceable, the validity, legality, and enforceability of the remaining provisions shall not in any way be affected or impaired thereby.</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10.03. Limitation of Liability.</w:t>
      </w:r>
    </w:p>
    <w:p>
      <w:pPr>
        <w:spacing w:after="0" w:line="208" w:lineRule="exact"/>
        <w:rPr>
          <w:sz w:val="20"/>
          <w:szCs w:val="20"/>
          <w:color w:val="auto"/>
        </w:rPr>
      </w:pPr>
    </w:p>
    <w:p>
      <w:pPr>
        <w:ind w:firstLine="585"/>
        <w:spacing w:after="0" w:line="259" w:lineRule="auto"/>
        <w:rPr>
          <w:sz w:val="20"/>
          <w:szCs w:val="20"/>
          <w:color w:val="auto"/>
        </w:rPr>
      </w:pPr>
      <w:r>
        <w:rPr>
          <w:rFonts w:ascii="Times New Roman" w:cs="Times New Roman" w:eastAsia="Times New Roman" w:hAnsi="Times New Roman"/>
          <w:sz w:val="16"/>
          <w:szCs w:val="16"/>
          <w:color w:val="auto"/>
        </w:rPr>
        <w:t>Each Guarantor and by its acceptance hereof each Holder confirms that it is the intention of all such parties that the guarantee by each such Guarantor pursuant to its Guarantee not constitute a fraudulent transfer or conveyance for purposes of the Bankruptcy Law, the Uniform Fraudulent Conveyance Act, the Uniform Fraudulent Transfer Act or any similar federal or state law or the provisions of its local law relating to fraudulent transfer or conveyance. To effectuate the foregoing intention, the Holders and each such Guarantor hereby irrevocably agree that the obligations of such Guarantor under its Guarantee shall be limited to the maximum amount that will not, after giving effect to all other contingent and fixed liabilities of such Guarantor and after giving effect to any collections from or payments made by or on behalf of any other Guarantor in respect of the obligations of such other Guarantor under its Guarantee or pursuant to this Article X, result in the obligations of such Guarantor under its Guarantee constituting such fraudulent transfer or conveyance.</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10.04. Contribution.</w:t>
      </w:r>
    </w:p>
    <w:p>
      <w:pPr>
        <w:spacing w:after="0" w:line="206" w:lineRule="exact"/>
        <w:rPr>
          <w:sz w:val="20"/>
          <w:szCs w:val="20"/>
          <w:color w:val="auto"/>
        </w:rPr>
      </w:pPr>
    </w:p>
    <w:p>
      <w:pPr>
        <w:jc w:val="both"/>
        <w:ind w:firstLine="585"/>
        <w:spacing w:after="0" w:line="272" w:lineRule="auto"/>
        <w:rPr>
          <w:sz w:val="20"/>
          <w:szCs w:val="20"/>
          <w:color w:val="auto"/>
        </w:rPr>
      </w:pPr>
      <w:r>
        <w:rPr>
          <w:rFonts w:ascii="Times New Roman" w:cs="Times New Roman" w:eastAsia="Times New Roman" w:hAnsi="Times New Roman"/>
          <w:sz w:val="16"/>
          <w:szCs w:val="16"/>
          <w:color w:val="auto"/>
        </w:rPr>
        <w:t xml:space="preserve">In order to provide for just and equitable contribution among the Guarantors, the Guarantors agree, </w:t>
      </w:r>
      <w:r>
        <w:rPr>
          <w:rFonts w:ascii="Times New Roman" w:cs="Times New Roman" w:eastAsia="Times New Roman" w:hAnsi="Times New Roman"/>
          <w:sz w:val="16"/>
          <w:szCs w:val="16"/>
          <w:i w:val="1"/>
          <w:iCs w:val="1"/>
          <w:color w:val="auto"/>
        </w:rPr>
        <w:t>inter se</w:t>
      </w:r>
      <w:r>
        <w:rPr>
          <w:rFonts w:ascii="Times New Roman" w:cs="Times New Roman" w:eastAsia="Times New Roman" w:hAnsi="Times New Roman"/>
          <w:sz w:val="16"/>
          <w:szCs w:val="16"/>
          <w:color w:val="auto"/>
        </w:rPr>
        <w:t xml:space="preserve">, that in the event any payment or distribution is made by any Guarantor under a Guarantee, such Guarantor will be entitled to a contribution from any other Guarantor in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amount based on the net assets of each Guarantor determined in accordance with GAAP.</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10.05. Subrogation.</w:t>
      </w:r>
    </w:p>
    <w:p>
      <w:pPr>
        <w:spacing w:after="0" w:line="208" w:lineRule="exact"/>
        <w:rPr>
          <w:sz w:val="20"/>
          <w:szCs w:val="20"/>
          <w:color w:val="auto"/>
        </w:rPr>
      </w:pPr>
    </w:p>
    <w:p>
      <w:pPr>
        <w:ind w:right="200" w:firstLine="585"/>
        <w:spacing w:after="0" w:line="271" w:lineRule="auto"/>
        <w:rPr>
          <w:sz w:val="20"/>
          <w:szCs w:val="20"/>
          <w:color w:val="auto"/>
        </w:rPr>
      </w:pPr>
      <w:r>
        <w:rPr>
          <w:rFonts w:ascii="Times New Roman" w:cs="Times New Roman" w:eastAsia="Times New Roman" w:hAnsi="Times New Roman"/>
          <w:sz w:val="16"/>
          <w:szCs w:val="16"/>
          <w:color w:val="auto"/>
        </w:rPr>
        <w:t xml:space="preserve">Each Guarantor shall be subrogated to all rights of Holders against the Company in respect of any amounts paid by any Guarantor pursuant to the provisions of Section 10.01;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an Event of Default has occurred and is continuing, no Guarantor shall be entitled to enforce or receive any payments arising out of, or based upon, such right of subrogation until all amounts then due and payable by the Company under this Indenture or the Securities shall have been paid in full.</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10.06. Reinstatement.</w:t>
      </w:r>
    </w:p>
    <w:p>
      <w:pPr>
        <w:spacing w:after="0" w:line="208" w:lineRule="exact"/>
        <w:rPr>
          <w:sz w:val="20"/>
          <w:szCs w:val="20"/>
          <w:color w:val="auto"/>
        </w:rPr>
      </w:pPr>
    </w:p>
    <w:p>
      <w:pPr>
        <w:ind w:right="40" w:firstLine="585"/>
        <w:spacing w:after="0" w:line="271" w:lineRule="auto"/>
        <w:rPr>
          <w:sz w:val="20"/>
          <w:szCs w:val="20"/>
          <w:color w:val="auto"/>
        </w:rPr>
      </w:pPr>
      <w:r>
        <w:rPr>
          <w:rFonts w:ascii="Times New Roman" w:cs="Times New Roman" w:eastAsia="Times New Roman" w:hAnsi="Times New Roman"/>
          <w:sz w:val="16"/>
          <w:szCs w:val="16"/>
          <w:color w:val="auto"/>
        </w:rPr>
        <w:t>Each Guarantor hereby agrees (and each Person who becomes a Guarantor shall agree) that the Guarantee provided for in Section 10.01 shall continue to be effective or be reinstated, as the case may be, if at any time, payment, or any part thereof, of any obligations or interest thereon is rescinded or must otherwise be restored by a Holder to the Company upon the bankruptcy or insolvency of the Company or any Guarantor.</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10.07. Release of a Guarantor.</w:t>
      </w:r>
    </w:p>
    <w:p>
      <w:pPr>
        <w:spacing w:after="0" w:line="208" w:lineRule="exact"/>
        <w:rPr>
          <w:sz w:val="20"/>
          <w:szCs w:val="20"/>
          <w:color w:val="auto"/>
        </w:rPr>
      </w:pPr>
    </w:p>
    <w:p>
      <w:pPr>
        <w:ind w:right="120" w:firstLine="585"/>
        <w:spacing w:after="0" w:line="288" w:lineRule="auto"/>
        <w:rPr>
          <w:sz w:val="20"/>
          <w:szCs w:val="20"/>
          <w:color w:val="auto"/>
        </w:rPr>
      </w:pPr>
      <w:r>
        <w:rPr>
          <w:rFonts w:ascii="Times New Roman" w:cs="Times New Roman" w:eastAsia="Times New Roman" w:hAnsi="Times New Roman"/>
          <w:sz w:val="16"/>
          <w:szCs w:val="16"/>
          <w:color w:val="auto"/>
        </w:rPr>
        <w:t>Any Guarantee issued by any Guarantor under this Indenture shall be automatically and unconditionally terminated and released, without any action on the part of the Trustee, any Holder of the Securities or any other person, upon:</w:t>
      </w:r>
    </w:p>
    <w:p>
      <w:pPr>
        <w:spacing w:after="0" w:line="143" w:lineRule="exact"/>
        <w:rPr>
          <w:sz w:val="20"/>
          <w:szCs w:val="20"/>
          <w:color w:val="auto"/>
        </w:rPr>
      </w:pPr>
    </w:p>
    <w:p>
      <w:pPr>
        <w:ind w:left="1440" w:hanging="273"/>
        <w:spacing w:after="0"/>
        <w:tabs>
          <w:tab w:leader="none" w:pos="144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sale or disposition of such Guarantor in a transaction that complies with this Indenture such that such Guarantor ceases to be a Subsidiary of the</w:t>
      </w:r>
    </w:p>
    <w:p>
      <w:pPr>
        <w:spacing w:after="0" w:line="2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w:t>
      </w:r>
    </w:p>
    <w:p>
      <w:pPr>
        <w:spacing w:after="0" w:line="189" w:lineRule="exact"/>
        <w:rPr>
          <w:rFonts w:ascii="Times New Roman" w:cs="Times New Roman" w:eastAsia="Times New Roman" w:hAnsi="Times New Roman"/>
          <w:sz w:val="16"/>
          <w:szCs w:val="16"/>
          <w:color w:val="auto"/>
        </w:rPr>
      </w:pPr>
    </w:p>
    <w:p>
      <w:pPr>
        <w:ind w:left="580" w:right="40" w:firstLine="587"/>
        <w:spacing w:after="0" w:line="271" w:lineRule="auto"/>
        <w:tabs>
          <w:tab w:leader="none" w:pos="1435"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series of Securities, if the Company exercises its Legal Defeasance option or its Covenant Defeasance option with respect to such series of Securities or if the Company’s obligations under this Indenture are discharged with respect to such series of Securities in accordance with the terms of this Indenture;</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5" w:name="page106"/>
    <w:bookmarkEnd w:id="105"/>
    <w:p>
      <w:pPr>
        <w:jc w:val="both"/>
        <w:ind w:left="580" w:right="40" w:firstLine="587"/>
        <w:spacing w:after="0" w:line="288" w:lineRule="auto"/>
        <w:tabs>
          <w:tab w:leader="none" w:pos="1435"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such Guarantor no longer being an issuer or guarantor in respect of (i) Mylan Notes that have an aggregate principal amount in excess of $500.0 million or (ii) any Triggering Indebtedness, in each case, other than in respect of Indebtedness or Guarantees, as applicable, that are being concurrently released; or</w:t>
      </w:r>
    </w:p>
    <w:p>
      <w:pPr>
        <w:spacing w:after="0" w:line="143" w:lineRule="exact"/>
        <w:rPr>
          <w:rFonts w:ascii="Times New Roman" w:cs="Times New Roman" w:eastAsia="Times New Roman" w:hAnsi="Times New Roman"/>
          <w:sz w:val="16"/>
          <w:szCs w:val="16"/>
          <w:color w:val="auto"/>
        </w:rPr>
      </w:pPr>
    </w:p>
    <w:p>
      <w:pPr>
        <w:ind w:left="580" w:right="160" w:firstLine="587"/>
        <w:spacing w:after="0" w:line="288" w:lineRule="auto"/>
        <w:tabs>
          <w:tab w:leader="none" w:pos="1435"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series of Securities, upon receipt of the consent of the Holders of a majority of the aggregate principal amount of the outstanding Securities of such series in accordance with Section 8.02.</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10.08. Benefits Acknowledged.</w:t>
      </w:r>
    </w:p>
    <w:p>
      <w:pPr>
        <w:spacing w:after="0" w:line="208" w:lineRule="exact"/>
        <w:rPr>
          <w:sz w:val="20"/>
          <w:szCs w:val="20"/>
          <w:color w:val="auto"/>
        </w:rPr>
      </w:pPr>
    </w:p>
    <w:p>
      <w:pPr>
        <w:ind w:firstLine="585"/>
        <w:spacing w:after="0" w:line="288" w:lineRule="auto"/>
        <w:rPr>
          <w:sz w:val="20"/>
          <w:szCs w:val="20"/>
          <w:color w:val="auto"/>
        </w:rPr>
      </w:pPr>
      <w:r>
        <w:rPr>
          <w:rFonts w:ascii="Times New Roman" w:cs="Times New Roman" w:eastAsia="Times New Roman" w:hAnsi="Times New Roman"/>
          <w:sz w:val="16"/>
          <w:szCs w:val="16"/>
          <w:color w:val="auto"/>
        </w:rPr>
        <w:t>Each Guarantor acknowledges that it will receive direct and indirect benefits from the financing arrangements contemplated by this Indenture and that its respective Guarantee is knowingly made in contemplation of such benefits.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SINKING FUNDS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11.01. Applicability of Sinking Fund.</w:t>
      </w:r>
    </w:p>
    <w:p>
      <w:pPr>
        <w:spacing w:after="0" w:line="208" w:lineRule="exact"/>
        <w:rPr>
          <w:sz w:val="20"/>
          <w:szCs w:val="20"/>
          <w:color w:val="auto"/>
        </w:rPr>
      </w:pPr>
    </w:p>
    <w:p>
      <w:pPr>
        <w:ind w:right="80" w:firstLine="582"/>
        <w:spacing w:after="0" w:line="271" w:lineRule="auto"/>
        <w:tabs>
          <w:tab w:leader="none" w:pos="846"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contemplated by Section 2.02 with respect to any series of Securities, redemption of Securities permitted or required pursuant to a sinking fund for the retirement of Securities of a series by the terms of such series of Securities shall be made in accordance with such terms of such series of Securities and this Article XI.</w:t>
      </w:r>
    </w:p>
    <w:p>
      <w:pPr>
        <w:spacing w:after="0" w:line="154" w:lineRule="exact"/>
        <w:rPr>
          <w:rFonts w:ascii="Times New Roman" w:cs="Times New Roman" w:eastAsia="Times New Roman" w:hAnsi="Times New Roman"/>
          <w:sz w:val="16"/>
          <w:szCs w:val="16"/>
          <w:color w:val="auto"/>
        </w:rPr>
      </w:pPr>
    </w:p>
    <w:p>
      <w:pPr>
        <w:ind w:right="180" w:firstLine="582"/>
        <w:spacing w:after="0" w:line="266" w:lineRule="auto"/>
        <w:tabs>
          <w:tab w:leader="none" w:pos="936"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minimum amount of any sinking fund payment provided for by the terms of Securities of any series is herein referred to as a “</w:t>
      </w:r>
      <w:r>
        <w:rPr>
          <w:rFonts w:ascii="Times New Roman" w:cs="Times New Roman" w:eastAsia="Times New Roman" w:hAnsi="Times New Roman"/>
          <w:sz w:val="16"/>
          <w:szCs w:val="16"/>
          <w:i w:val="1"/>
          <w:iCs w:val="1"/>
          <w:color w:val="auto"/>
        </w:rPr>
        <w:t>Mandatory Sinking Fund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Payment</w:t>
      </w:r>
      <w:r>
        <w:rPr>
          <w:rFonts w:ascii="Times New Roman" w:cs="Times New Roman" w:eastAsia="Times New Roman" w:hAnsi="Times New Roman"/>
          <w:sz w:val="16"/>
          <w:szCs w:val="16"/>
          <w:color w:val="auto"/>
        </w:rPr>
        <w:t>,” and any payment in excess of such minimum amount provided for by the terms of Securities of any series is herein referred to as an “</w:t>
      </w:r>
      <w:r>
        <w:rPr>
          <w:rFonts w:ascii="Times New Roman" w:cs="Times New Roman" w:eastAsia="Times New Roman" w:hAnsi="Times New Roman"/>
          <w:sz w:val="16"/>
          <w:szCs w:val="16"/>
          <w:i w:val="1"/>
          <w:iCs w:val="1"/>
          <w:color w:val="auto"/>
        </w:rPr>
        <w:t>Optional Sinking Fund Payment</w:t>
      </w:r>
      <w:r>
        <w:rPr>
          <w:rFonts w:ascii="Times New Roman" w:cs="Times New Roman" w:eastAsia="Times New Roman" w:hAnsi="Times New Roman"/>
          <w:sz w:val="16"/>
          <w:szCs w:val="16"/>
          <w:color w:val="auto"/>
        </w:rPr>
        <w:t>.” If provided for by the terms of Securities of any series, the cash amount of any Mandatory Sinking Fund Payment may be subject to reduction as provided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Section 11.02.</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11.02. Mandatory Sinking Fund Obligation.</w:t>
      </w:r>
    </w:p>
    <w:p>
      <w:pPr>
        <w:spacing w:after="0" w:line="208" w:lineRule="exact"/>
        <w:rPr>
          <w:sz w:val="20"/>
          <w:szCs w:val="20"/>
          <w:color w:val="auto"/>
        </w:rPr>
      </w:pPr>
    </w:p>
    <w:p>
      <w:pPr>
        <w:ind w:right="20" w:firstLine="585"/>
        <w:spacing w:after="0" w:line="258" w:lineRule="auto"/>
        <w:rPr>
          <w:sz w:val="20"/>
          <w:szCs w:val="20"/>
          <w:color w:val="auto"/>
        </w:rPr>
      </w:pPr>
      <w:r>
        <w:rPr>
          <w:rFonts w:ascii="Times New Roman" w:cs="Times New Roman" w:eastAsia="Times New Roman" w:hAnsi="Times New Roman"/>
          <w:sz w:val="16"/>
          <w:szCs w:val="16"/>
          <w:color w:val="auto"/>
        </w:rPr>
        <w:t>The Company may, at its option, satisfy any Mandatory Sinking Fund Payment obligation, in whole or in part, with respect to a particular series of Securities by (a) delivering to the Trustee Securities of such series in transferable form theretofore purchased or otherwise acquired by the Company or redeemed at the election of the Company pursuant to Section 3.04 or (b) receiving credit for Securities of such series (not previously so credited) acquired by the Company and theretofore delivered to the Trustee. The Trustee shall credit such Mandatory Sinking Fund Payment obligation with an amount equal to the Redemption Price specified in such Securities for redemption through operation of the sinking fund and the amount of such Mandatory Sinking Fund Payment shall be reduced accordingly. If the Company shall elect to so satisfy any Mandatory Sinking Fund Payment obligation, it shall deliver to the Trustee not less than 45 days prior to the relevant sinking fund payment date an Officer’s Certificate, which shall designate the Securities (and portions thereof, if any) so delivered or credited and which shall be accompanied by such Securities (to the extent not theretofore delivered) in transferable form. In case of the failure of the Company, at or before the time so required, to give such notice and deliver such Securities, the Mandatory Sinking Fund Payment obligation shall be paid entirely in moneys.</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11.03. Optional Redemption at Sinking Fund Redemption Price.</w:t>
      </w:r>
    </w:p>
    <w:p>
      <w:pPr>
        <w:spacing w:after="0" w:line="208" w:lineRule="exact"/>
        <w:rPr>
          <w:sz w:val="20"/>
          <w:szCs w:val="20"/>
          <w:color w:val="auto"/>
        </w:rPr>
      </w:pPr>
    </w:p>
    <w:p>
      <w:pPr>
        <w:ind w:right="20" w:firstLine="585"/>
        <w:spacing w:after="0" w:line="259" w:lineRule="auto"/>
        <w:rPr>
          <w:sz w:val="20"/>
          <w:szCs w:val="20"/>
          <w:color w:val="auto"/>
        </w:rPr>
      </w:pPr>
      <w:r>
        <w:rPr>
          <w:rFonts w:ascii="Times New Roman" w:cs="Times New Roman" w:eastAsia="Times New Roman" w:hAnsi="Times New Roman"/>
          <w:sz w:val="16"/>
          <w:szCs w:val="16"/>
          <w:color w:val="auto"/>
        </w:rPr>
        <w:t>In addition to the sinking fund requirements of Section 11.02, to the extent, if any, provided for by the terms of a particular series of Securities, the Company may, at its option, make an Optional Sinking Fund Payment with respect to such Securities. Unless otherwise provided by such terms, (a) to the extent that the right of the Company to make such Optional Sinking Fund Payment shall not be exercised in any year, it shall not be cumulative or carried forward to any subsequent year, and (b) such optional payment shall operate to reduce the amount of any Mandatory Sinking Fund Payment obligation as to Securities of the same series. If the Company intends to exercise its right to make such optional payment in any year, it shall deliver to the Trustee not less than 45 days prior to the relevant sinking fund payment date an Officer’s Certificate stating that the Company will exercise such optional right, and specifying the amount which the Company will pay on or before the next succeeding sinking fund payment date. Such Officer’s Certificate shall also state that no Event of Default has occurred and is continuing.</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06" w:name="page107"/>
    <w:bookmarkEnd w:id="106"/>
    <w:p>
      <w:pPr>
        <w:ind w:left="580"/>
        <w:spacing w:after="0"/>
        <w:rPr>
          <w:sz w:val="20"/>
          <w:szCs w:val="20"/>
          <w:color w:val="auto"/>
        </w:rPr>
      </w:pPr>
      <w:r>
        <w:rPr>
          <w:rFonts w:ascii="Times New Roman" w:cs="Times New Roman" w:eastAsia="Times New Roman" w:hAnsi="Times New Roman"/>
          <w:sz w:val="16"/>
          <w:szCs w:val="16"/>
          <w:i w:val="1"/>
          <w:iCs w:val="1"/>
          <w:color w:val="auto"/>
        </w:rPr>
        <w:t>Section 11.04. Application of Sinking Fund Payment.</w:t>
      </w:r>
    </w:p>
    <w:p>
      <w:pPr>
        <w:spacing w:after="0" w:line="208" w:lineRule="exact"/>
        <w:rPr>
          <w:sz w:val="20"/>
          <w:szCs w:val="20"/>
          <w:color w:val="auto"/>
        </w:rPr>
      </w:pPr>
    </w:p>
    <w:p>
      <w:pPr>
        <w:ind w:firstLine="582"/>
        <w:spacing w:after="0" w:line="257" w:lineRule="auto"/>
        <w:tabs>
          <w:tab w:leader="none" w:pos="846"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sinking fund payment or payments made in funds pursuant to either Section 11.02 or 11.03 with respect to a particular series of Securities plus any unused balance of any preceding sinking fund payments made in funds with respect to such series shall exceed $50,000 (or a lesser sum if the Company shall so request, or such equivalent sum for Securities denominated other than in U.S. Dollars), it shall be applied by the Trustee on the sinking fund payment date next following the date of such payment, unless the date of such payment shall be a sinking fund payment date, in which case such payment shall be applied on such sinking fund payment date, to the redemption of Securities of such series at the redemption price specified pursuant to Section 3.04. Upon written direction from the Company (which direction shall confirm the amount to be redeemed), the Trustee shall select, in the manner provided in Section 3.03, for redemption on such sinking fund payment date, a sufficient principal amount of Securities of such series to absorb said funds, as nearly as may be, and shall, at the expense and in the name of the Company, thereupon cause notice of redemption of the Securities to be given in substantially the manner provided in Section 3.04 for the redemption of Securities in part at the option of the Company, except that the notice of redemption shall also state that the Securities are being redeemed for the sinking fund. Any sinking fund moneys not so applied by the Trustee to the redemption of Securities of such series shall be added to the next sinking fund payment received in funds by the Trustee and, together with such payment, shall be applied in accordance with the provisions of this Section 11.04. Any and all sinking fund moneys held by the Trustee on the last sinking fund payment date with respect to Securities of such series, and not held for the payment or redemption of particular Securities of such series, shall be applied by the Trustee to the payment of the principal of the Securities of such series on the Maturity Date.</w:t>
      </w:r>
    </w:p>
    <w:p>
      <w:pPr>
        <w:spacing w:after="0" w:line="166" w:lineRule="exact"/>
        <w:rPr>
          <w:rFonts w:ascii="Times New Roman" w:cs="Times New Roman" w:eastAsia="Times New Roman" w:hAnsi="Times New Roman"/>
          <w:sz w:val="16"/>
          <w:szCs w:val="16"/>
          <w:color w:val="auto"/>
        </w:rPr>
      </w:pPr>
    </w:p>
    <w:p>
      <w:pPr>
        <w:ind w:right="120" w:firstLine="582"/>
        <w:spacing w:after="0" w:line="288" w:lineRule="auto"/>
        <w:tabs>
          <w:tab w:leader="none" w:pos="896"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prior to each sinking fund payment date, the Company shall pay to the Trustee a sum equal to all interest accrued to but not including the date fixed for redemption on Securities to be redeemed on such sinking fund payment date pursuant to this Section 11.04.</w:t>
      </w:r>
    </w:p>
    <w:p>
      <w:pPr>
        <w:spacing w:after="0" w:line="143" w:lineRule="exact"/>
        <w:rPr>
          <w:rFonts w:ascii="Times New Roman" w:cs="Times New Roman" w:eastAsia="Times New Roman" w:hAnsi="Times New Roman"/>
          <w:sz w:val="16"/>
          <w:szCs w:val="16"/>
          <w:color w:val="auto"/>
        </w:rPr>
      </w:pPr>
    </w:p>
    <w:p>
      <w:pPr>
        <w:ind w:right="40" w:firstLine="582"/>
        <w:spacing w:after="0" w:line="259" w:lineRule="auto"/>
        <w:tabs>
          <w:tab w:leader="none" w:pos="846"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Trustee shall not redeem any Securities of a series with sinking fund moneys or send any notice of redemption of Securities of such series by operation of the sinking fund during the continuance of a Default in payment of interest on any Securities of such series or of any Event of Default (other than an Event of Default occurring as a consequence of this paragraph) of which a Responsible Officer of the Trustee has received written notice, except that if the notice of redemption of any Securities of such series shall theretofore have been sent in accordance with the provisions hereof, the Trustee shall redeem such Securities if funds sufficient for that purpose shall be deposited with the Trustee in accordance with the terms of this Article XI. Except as aforesaid, any moneys in the sinking fund at the time any such Default or Event of Default shall occur and any moneys thereafter paid into the sinking fund shall, during the continuance of such Event of Default, be held as security for the payment of all the Securities of such series;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in case such Default or Event of Default shall have been cured or waived as provided herein, such moneys shall thereafter be applied on the next sinking fund payment date on which such moneys are required to be applied pursuant to the provisions of this Section 11.04.</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XII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MISCELLANEOUS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12.01. Trust Indenture Act Controls.</w:t>
      </w:r>
    </w:p>
    <w:p>
      <w:pPr>
        <w:spacing w:after="0" w:line="208" w:lineRule="exact"/>
        <w:rPr>
          <w:sz w:val="20"/>
          <w:szCs w:val="20"/>
          <w:color w:val="auto"/>
        </w:rPr>
      </w:pPr>
    </w:p>
    <w:p>
      <w:pPr>
        <w:ind w:right="320" w:firstLine="585"/>
        <w:spacing w:after="0" w:line="288" w:lineRule="auto"/>
        <w:rPr>
          <w:sz w:val="20"/>
          <w:szCs w:val="20"/>
          <w:color w:val="auto"/>
        </w:rPr>
      </w:pPr>
      <w:r>
        <w:rPr>
          <w:rFonts w:ascii="Times New Roman" w:cs="Times New Roman" w:eastAsia="Times New Roman" w:hAnsi="Times New Roman"/>
          <w:sz w:val="16"/>
          <w:szCs w:val="16"/>
          <w:color w:val="auto"/>
        </w:rPr>
        <w:t>If any provision of this Indenture limits, qualifies or conflicts with another provision which is required to be included in this Indenture by the TIA, the required provision shall control.</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12.02. Notices.</w:t>
      </w:r>
    </w:p>
    <w:p>
      <w:pPr>
        <w:spacing w:after="0" w:line="208" w:lineRule="exact"/>
        <w:rPr>
          <w:sz w:val="20"/>
          <w:szCs w:val="20"/>
          <w:color w:val="auto"/>
        </w:rPr>
      </w:pPr>
    </w:p>
    <w:p>
      <w:pPr>
        <w:ind w:right="340" w:firstLine="585"/>
        <w:spacing w:after="0" w:line="271" w:lineRule="auto"/>
        <w:rPr>
          <w:sz w:val="20"/>
          <w:szCs w:val="20"/>
          <w:color w:val="auto"/>
        </w:rPr>
      </w:pPr>
      <w:r>
        <w:rPr>
          <w:rFonts w:ascii="Times New Roman" w:cs="Times New Roman" w:eastAsia="Times New Roman" w:hAnsi="Times New Roman"/>
          <w:sz w:val="16"/>
          <w:szCs w:val="16"/>
          <w:color w:val="auto"/>
        </w:rPr>
        <w:t>Except for notice or communications to Holders, any notice or communication shall be given in writing and is duly given when received if delivered in person, when receipt is acknowledged if sent electronically, on the next Business Day if timely delivered by a nationally recognized courier service that guarantees overnight delivery or two Business Days after deposit if mailed by first-class mail, postage prepaid, addressed as follows: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ind w:left="1160"/>
        <w:spacing w:after="0"/>
        <w:rPr>
          <w:sz w:val="20"/>
          <w:szCs w:val="20"/>
          <w:color w:val="auto"/>
        </w:rPr>
      </w:pPr>
      <w:r>
        <w:rPr>
          <w:rFonts w:ascii="Times New Roman" w:cs="Times New Roman" w:eastAsia="Times New Roman" w:hAnsi="Times New Roman"/>
          <w:sz w:val="16"/>
          <w:szCs w:val="16"/>
          <w:color w:val="auto"/>
        </w:rPr>
        <w:t>If to the Company or any Guarantor:</w:t>
      </w: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Viatris Inc.</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1000 Mylan Boulevard</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Canonsburg, PA 15317</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Attn: Chief Financial Officer, Treasurer and Assistant Secretary</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Email:</w:t>
      </w:r>
    </w:p>
    <w:p>
      <w:pPr>
        <w:spacing w:after="0" w:line="1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Cravath, Swaine &amp; Moore LLP</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375 Ninth Avenue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New York, NY 10001</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Attn: Ryan J. Patrone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Email: rpatrone@cravath.com</w:t>
      </w:r>
    </w:p>
    <w:p>
      <w:pPr>
        <w:spacing w:after="0" w:line="1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If to the Trustee:</w:t>
      </w: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Mailing Address:</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Bank of New York Mellon</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500 Ross Street, 12th Floor</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Pittsburgh, PA 15262</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Attn: Corporate Trust Administration</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Email:</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Such notices or communications shall be effective when actually received and shall be sufficiently given if so given within the time prescribed in this Indenture.</w:t>
      </w:r>
    </w:p>
    <w:p>
      <w:pPr>
        <w:spacing w:after="0" w:line="206" w:lineRule="exact"/>
        <w:rPr>
          <w:sz w:val="20"/>
          <w:szCs w:val="20"/>
          <w:color w:val="auto"/>
        </w:rPr>
      </w:pPr>
    </w:p>
    <w:p>
      <w:pPr>
        <w:ind w:right="1000" w:firstLine="585"/>
        <w:spacing w:after="0" w:line="288" w:lineRule="auto"/>
        <w:rPr>
          <w:sz w:val="20"/>
          <w:szCs w:val="20"/>
          <w:color w:val="auto"/>
        </w:rPr>
      </w:pPr>
      <w:r>
        <w:rPr>
          <w:rFonts w:ascii="Times New Roman" w:cs="Times New Roman" w:eastAsia="Times New Roman" w:hAnsi="Times New Roman"/>
          <w:sz w:val="16"/>
          <w:szCs w:val="16"/>
          <w:color w:val="auto"/>
        </w:rPr>
        <w:t>The Company, the Guarantors or the Trustee by written notice to the others may designate additional or different addresses for subsequent notices or communications.</w:t>
      </w:r>
    </w:p>
    <w:p>
      <w:pPr>
        <w:spacing w:after="0" w:line="141" w:lineRule="exact"/>
        <w:rPr>
          <w:sz w:val="20"/>
          <w:szCs w:val="20"/>
          <w:color w:val="auto"/>
        </w:rPr>
      </w:pPr>
    </w:p>
    <w:p>
      <w:pPr>
        <w:ind w:firstLine="585"/>
        <w:spacing w:after="0" w:line="256" w:lineRule="auto"/>
        <w:rPr>
          <w:sz w:val="20"/>
          <w:szCs w:val="20"/>
          <w:color w:val="auto"/>
        </w:rPr>
      </w:pPr>
      <w:r>
        <w:rPr>
          <w:rFonts w:ascii="Times New Roman" w:cs="Times New Roman" w:eastAsia="Times New Roman" w:hAnsi="Times New Roman"/>
          <w:sz w:val="16"/>
          <w:szCs w:val="16"/>
          <w:color w:val="auto"/>
        </w:rPr>
        <w:t>The Trustee in any of its capacities hereunder shall have the right to accept and act upon instructions, including funds transfer instructions (“</w:t>
      </w:r>
      <w:r>
        <w:rPr>
          <w:rFonts w:ascii="Times New Roman" w:cs="Times New Roman" w:eastAsia="Times New Roman" w:hAnsi="Times New Roman"/>
          <w:sz w:val="16"/>
          <w:szCs w:val="16"/>
          <w:i w:val="1"/>
          <w:iCs w:val="1"/>
          <w:color w:val="auto"/>
        </w:rPr>
        <w:t>Instructions</w:t>
      </w:r>
      <w:r>
        <w:rPr>
          <w:rFonts w:ascii="Times New Roman" w:cs="Times New Roman" w:eastAsia="Times New Roman" w:hAnsi="Times New Roman"/>
          <w:sz w:val="16"/>
          <w:szCs w:val="16"/>
          <w:color w:val="auto"/>
        </w:rPr>
        <w:t xml:space="preserve">”) given pursuant to this Indenture and delivered using Electronic Means;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Company and/or any Guarantor, as applicable, shall provide to the Trustee an incumbency certificate listing officers with the authority to provide such Instructions (“</w:t>
      </w:r>
      <w:r>
        <w:rPr>
          <w:rFonts w:ascii="Times New Roman" w:cs="Times New Roman" w:eastAsia="Times New Roman" w:hAnsi="Times New Roman"/>
          <w:sz w:val="16"/>
          <w:szCs w:val="16"/>
          <w:i w:val="1"/>
          <w:iCs w:val="1"/>
          <w:color w:val="auto"/>
        </w:rPr>
        <w:t>Authorized Officers</w:t>
      </w:r>
      <w:r>
        <w:rPr>
          <w:rFonts w:ascii="Times New Roman" w:cs="Times New Roman" w:eastAsia="Times New Roman" w:hAnsi="Times New Roman"/>
          <w:sz w:val="16"/>
          <w:szCs w:val="16"/>
          <w:color w:val="auto"/>
        </w:rPr>
        <w:t>”) and containing specimen signatures of such Authorized Officers, which incumbency certificate shall be amended by the Company and/or such Guarantor, as applicable, whenever a person is to be added or deleted from the listing. If the Company and/or any Guarantor, as applicable, elects to give the Trustee Instructions using Electronic Means and the Trustee in its discretion elects to act upon such Instructions, the Trustee’s understanding of such Instructions shall be deemed controlling. The Company and any Guarantor understand and agree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and any Guarantor shall be responsible for ensuring that only Authorized Officers transmit such Instructions to the Trustee and that the Company, any Guarantor and all Authorized Officers are solely responsible to safeguard the use and confidentiality of applicable user and authorization codes, passwords and/or authentication keys upon receipt by the Company and/or such Guarantor, as applicable. The Trustee shall not be liable for any losses, costs or expenses arising directly or indirectly from the Trustee’s reliance upon and compliance with such Instructions notwithstanding such directions conflict or are inconsistent with a subsequent written instruction. The Company and any Guarantor agree: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and/or such Guarantor, as applicable;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3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Any notice or communication transmitted to a Holder shall be transmitted to him or her at his or her address shown on the register kept by the Registrar.</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08" w:name="page109"/>
    <w:bookmarkEnd w:id="108"/>
    <w:p>
      <w:pPr>
        <w:ind w:right="920" w:firstLine="585"/>
        <w:spacing w:after="0" w:line="288" w:lineRule="auto"/>
        <w:rPr>
          <w:sz w:val="20"/>
          <w:szCs w:val="20"/>
          <w:color w:val="auto"/>
        </w:rPr>
      </w:pPr>
      <w:r>
        <w:rPr>
          <w:rFonts w:ascii="Times New Roman" w:cs="Times New Roman" w:eastAsia="Times New Roman" w:hAnsi="Times New Roman"/>
          <w:sz w:val="16"/>
          <w:szCs w:val="16"/>
          <w:color w:val="auto"/>
        </w:rPr>
        <w:t>Failure to transmit a notice or communication to a Holder or any defect in it shall not affect its sufficiency with respect to other Holders. If a notice or communication to a Holder is transmitted in the manner provided above, it shall be deemed duly given, whether or not the addressee receives it.</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If the Company transmits a notice or communication to Holders, it will transmit a copy to the Trustee and each Agent at the same time.</w:t>
      </w:r>
    </w:p>
    <w:p>
      <w:pPr>
        <w:spacing w:after="0" w:line="206" w:lineRule="exact"/>
        <w:rPr>
          <w:sz w:val="20"/>
          <w:szCs w:val="20"/>
          <w:color w:val="auto"/>
        </w:rPr>
      </w:pPr>
    </w:p>
    <w:p>
      <w:pPr>
        <w:ind w:right="140" w:firstLine="585"/>
        <w:spacing w:after="0" w:line="288" w:lineRule="auto"/>
        <w:rPr>
          <w:sz w:val="20"/>
          <w:szCs w:val="20"/>
          <w:color w:val="auto"/>
        </w:rPr>
      </w:pPr>
      <w:r>
        <w:rPr>
          <w:rFonts w:ascii="Times New Roman" w:cs="Times New Roman" w:eastAsia="Times New Roman" w:hAnsi="Times New Roman"/>
          <w:sz w:val="16"/>
          <w:szCs w:val="16"/>
          <w:color w:val="auto"/>
        </w:rPr>
        <w:t>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w:t>
      </w:r>
    </w:p>
    <w:p>
      <w:pPr>
        <w:spacing w:after="0" w:line="143" w:lineRule="exact"/>
        <w:rPr>
          <w:sz w:val="20"/>
          <w:szCs w:val="20"/>
          <w:color w:val="auto"/>
        </w:rPr>
      </w:pPr>
    </w:p>
    <w:p>
      <w:pPr>
        <w:ind w:right="200" w:firstLine="585"/>
        <w:spacing w:after="0" w:line="288" w:lineRule="auto"/>
        <w:rPr>
          <w:sz w:val="20"/>
          <w:szCs w:val="20"/>
          <w:color w:val="auto"/>
        </w:rPr>
      </w:pPr>
      <w:r>
        <w:rPr>
          <w:rFonts w:ascii="Times New Roman" w:cs="Times New Roman" w:eastAsia="Times New Roman" w:hAnsi="Times New Roman"/>
          <w:sz w:val="16"/>
          <w:szCs w:val="16"/>
          <w:color w:val="auto"/>
        </w:rPr>
        <w:t>Notwithstanding anything to the contrary contained herein, as long as the Securities of a series are in the form of a Global Security, notice to the Holders of such series may be made electronically in accordance with the applicable procedures of the Depositary.</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12.03. Certificate and Opinion as to Conditions Precedent.</w:t>
      </w:r>
    </w:p>
    <w:p>
      <w:pPr>
        <w:spacing w:after="0" w:line="208" w:lineRule="exact"/>
        <w:rPr>
          <w:sz w:val="20"/>
          <w:szCs w:val="20"/>
          <w:color w:val="auto"/>
        </w:rPr>
      </w:pPr>
    </w:p>
    <w:p>
      <w:pPr>
        <w:ind w:right="420" w:firstLine="582"/>
        <w:spacing w:after="0" w:line="288" w:lineRule="auto"/>
        <w:tabs>
          <w:tab w:leader="none" w:pos="846"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any request or application by the Company to the Trustee to take any action under this Indenture, if so requested by the Trustee, the Company shall furnish to the Trustee:</w:t>
      </w:r>
    </w:p>
    <w:p>
      <w:pPr>
        <w:spacing w:after="0" w:line="143" w:lineRule="exact"/>
        <w:rPr>
          <w:rFonts w:ascii="Times New Roman" w:cs="Times New Roman" w:eastAsia="Times New Roman" w:hAnsi="Times New Roman"/>
          <w:sz w:val="16"/>
          <w:szCs w:val="16"/>
          <w:color w:val="auto"/>
        </w:rPr>
      </w:pPr>
    </w:p>
    <w:p>
      <w:pPr>
        <w:ind w:left="580" w:right="680" w:firstLine="587"/>
        <w:spacing w:after="0" w:line="288" w:lineRule="auto"/>
        <w:tabs>
          <w:tab w:leader="none" w:pos="1435"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Officer’s Certificate (which must include the statements set forth in Section 12.04) stating that, in the opinion of the signer, all conditions precedent, if any, provided for in this Indenture relating to the proposed action have been complied with; and</w:t>
      </w:r>
    </w:p>
    <w:p>
      <w:pPr>
        <w:spacing w:after="0" w:line="143" w:lineRule="exact"/>
        <w:rPr>
          <w:rFonts w:ascii="Times New Roman" w:cs="Times New Roman" w:eastAsia="Times New Roman" w:hAnsi="Times New Roman"/>
          <w:sz w:val="16"/>
          <w:szCs w:val="16"/>
          <w:color w:val="auto"/>
        </w:rPr>
      </w:pPr>
    </w:p>
    <w:p>
      <w:pPr>
        <w:ind w:left="580" w:right="160" w:firstLine="587"/>
        <w:spacing w:after="0" w:line="288" w:lineRule="auto"/>
        <w:tabs>
          <w:tab w:leader="none" w:pos="1435"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Opinion of Counsel (which must include the statements set forth in Section 12.04) stating that, in the opinion of such counsel, all such conditions precedent have been complied with.</w:t>
      </w:r>
    </w:p>
    <w:p>
      <w:pPr>
        <w:spacing w:after="0" w:line="143" w:lineRule="exact"/>
        <w:rPr>
          <w:rFonts w:ascii="Times New Roman" w:cs="Times New Roman" w:eastAsia="Times New Roman" w:hAnsi="Times New Roman"/>
          <w:sz w:val="16"/>
          <w:szCs w:val="16"/>
          <w:color w:val="auto"/>
        </w:rPr>
      </w:pPr>
    </w:p>
    <w:p>
      <w:pPr>
        <w:ind w:right="40" w:firstLine="582"/>
        <w:spacing w:after="0" w:line="261" w:lineRule="auto"/>
        <w:tabs>
          <w:tab w:leader="none" w:pos="896"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certificate, statement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statement or opinion is based are erroneous. Any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unless such counsel knows, or in the exercise of reasonable care should know, that the certificate, statement or opinion or representations with respect to such matters are erroneous.</w:t>
      </w:r>
    </w:p>
    <w:p>
      <w:pPr>
        <w:spacing w:after="0" w:line="163" w:lineRule="exact"/>
        <w:rPr>
          <w:rFonts w:ascii="Times New Roman" w:cs="Times New Roman" w:eastAsia="Times New Roman" w:hAnsi="Times New Roman"/>
          <w:sz w:val="16"/>
          <w:szCs w:val="16"/>
          <w:color w:val="auto"/>
        </w:rPr>
      </w:pPr>
    </w:p>
    <w:p>
      <w:pPr>
        <w:ind w:right="40" w:firstLine="582"/>
        <w:spacing w:after="0" w:line="262" w:lineRule="auto"/>
        <w:tabs>
          <w:tab w:leader="none" w:pos="846"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certificate, statement or opinion of an officer of the Company or of counsel to the Company may be based, insofar as it relates to accounting matters, upon a certificate or opinion of, or representations by, an accountant or firm of accountants, unless such officer or counsel, as the case may be, knows, or in the exercise of reasonable care should know, that the certificate or opinion or representations with respect to the accounting matters upon which his or her certificate, statement or opinion may be based are erroneous. Any certificate or opinion of any firm of independent registered public accountants filed with the Trustee shall contain a statement that such firm is independent.</w:t>
      </w:r>
    </w:p>
    <w:p>
      <w:pPr>
        <w:spacing w:after="0" w:line="164" w:lineRule="exact"/>
        <w:rPr>
          <w:rFonts w:ascii="Times New Roman" w:cs="Times New Roman" w:eastAsia="Times New Roman" w:hAnsi="Times New Roman"/>
          <w:sz w:val="16"/>
          <w:szCs w:val="16"/>
          <w:color w:val="auto"/>
        </w:rPr>
      </w:pPr>
    </w:p>
    <w:p>
      <w:pPr>
        <w:ind w:firstLine="582"/>
        <w:spacing w:after="0" w:line="265" w:lineRule="auto"/>
        <w:tabs>
          <w:tab w:leader="none" w:pos="896"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61" w:lineRule="exact"/>
        <w:rPr>
          <w:rFonts w:ascii="Times New Roman" w:cs="Times New Roman" w:eastAsia="Times New Roman" w:hAnsi="Times New Roman"/>
          <w:sz w:val="16"/>
          <w:szCs w:val="16"/>
          <w:color w:val="auto"/>
        </w:rPr>
      </w:pPr>
    </w:p>
    <w:p>
      <w:pPr>
        <w:ind w:right="360" w:firstLine="582"/>
        <w:spacing w:after="0" w:line="288" w:lineRule="auto"/>
        <w:tabs>
          <w:tab w:leader="none" w:pos="846"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12.04. Statements Required in Certificate and Opinion.</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Each certificate or opinion with respect to compliance with a condition or covenant provided for in this Indenture must include: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09" w:name="page110"/>
    <w:bookmarkEnd w:id="109"/>
    <w:p>
      <w:pPr>
        <w:ind w:left="1440" w:hanging="273"/>
        <w:spacing w:after="0"/>
        <w:tabs>
          <w:tab w:leader="none" w:pos="144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statement that the Person making such certificate or opinion has read such covenant or condition;</w:t>
      </w:r>
    </w:p>
    <w:p>
      <w:pPr>
        <w:spacing w:after="0" w:line="205" w:lineRule="exact"/>
        <w:rPr>
          <w:rFonts w:ascii="Times New Roman" w:cs="Times New Roman" w:eastAsia="Times New Roman" w:hAnsi="Times New Roman"/>
          <w:sz w:val="16"/>
          <w:szCs w:val="16"/>
          <w:color w:val="auto"/>
        </w:rPr>
      </w:pPr>
    </w:p>
    <w:p>
      <w:pPr>
        <w:ind w:left="580" w:right="120" w:firstLine="587"/>
        <w:spacing w:after="0" w:line="288" w:lineRule="auto"/>
        <w:tabs>
          <w:tab w:leader="none" w:pos="1435"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brief statement as to the nature and scope of the examination or investigation upon which the statements or opinions contained in such certificate or opinion are based;</w:t>
      </w:r>
    </w:p>
    <w:p>
      <w:pPr>
        <w:spacing w:after="0" w:line="143" w:lineRule="exact"/>
        <w:rPr>
          <w:rFonts w:ascii="Times New Roman" w:cs="Times New Roman" w:eastAsia="Times New Roman" w:hAnsi="Times New Roman"/>
          <w:sz w:val="16"/>
          <w:szCs w:val="16"/>
          <w:color w:val="auto"/>
        </w:rPr>
      </w:pPr>
    </w:p>
    <w:p>
      <w:pPr>
        <w:ind w:left="580" w:right="20" w:firstLine="587"/>
        <w:spacing w:after="0" w:line="288" w:lineRule="auto"/>
        <w:tabs>
          <w:tab w:leader="none" w:pos="1435"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14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statement as to whether or not, in the opinion of such Person, such condition or covenant has been complied with.</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12.05. Communications by Holders with Other Holders.</w:t>
      </w:r>
    </w:p>
    <w:p>
      <w:pPr>
        <w:spacing w:after="0" w:line="208" w:lineRule="exact"/>
        <w:rPr>
          <w:sz w:val="20"/>
          <w:szCs w:val="20"/>
          <w:color w:val="auto"/>
        </w:rPr>
      </w:pPr>
    </w:p>
    <w:p>
      <w:pPr>
        <w:ind w:right="520" w:firstLine="585"/>
        <w:spacing w:after="0" w:line="288" w:lineRule="auto"/>
        <w:rPr>
          <w:sz w:val="20"/>
          <w:szCs w:val="20"/>
          <w:color w:val="auto"/>
        </w:rPr>
      </w:pPr>
      <w:r>
        <w:rPr>
          <w:rFonts w:ascii="Times New Roman" w:cs="Times New Roman" w:eastAsia="Times New Roman" w:hAnsi="Times New Roman"/>
          <w:sz w:val="16"/>
          <w:szCs w:val="16"/>
          <w:color w:val="auto"/>
        </w:rPr>
        <w:t>Holders may communicate pursuant to TIA § 312(b) with other Holders with respect to their rights under this Indenture or the Securities. The Company, the Trustee, the Registrar and anyone else shall have the protection of TIA § 312(c).</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12.06. Rules by Trustee and Agents.</w:t>
      </w:r>
    </w:p>
    <w:p>
      <w:pPr>
        <w:spacing w:after="0" w:line="208" w:lineRule="exact"/>
        <w:rPr>
          <w:sz w:val="20"/>
          <w:szCs w:val="20"/>
          <w:color w:val="auto"/>
        </w:rPr>
      </w:pPr>
    </w:p>
    <w:p>
      <w:pPr>
        <w:ind w:right="360" w:firstLine="585"/>
        <w:spacing w:after="0" w:line="288" w:lineRule="auto"/>
        <w:rPr>
          <w:sz w:val="20"/>
          <w:szCs w:val="20"/>
          <w:color w:val="auto"/>
        </w:rPr>
      </w:pPr>
      <w:r>
        <w:rPr>
          <w:rFonts w:ascii="Times New Roman" w:cs="Times New Roman" w:eastAsia="Times New Roman" w:hAnsi="Times New Roman"/>
          <w:sz w:val="16"/>
          <w:szCs w:val="16"/>
          <w:color w:val="auto"/>
        </w:rPr>
        <w:t>The Trustee may make reasonable rules for action by or at a meeting of Holders. The Registrar or Paying Agent may make reasonable rules and set reasonable requirements for its functions.</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12.07. No Personal Liability of Directors, Officers, Employees and Stockholders.</w:t>
      </w:r>
    </w:p>
    <w:p>
      <w:pPr>
        <w:spacing w:after="0" w:line="208" w:lineRule="exact"/>
        <w:rPr>
          <w:sz w:val="20"/>
          <w:szCs w:val="20"/>
          <w:color w:val="auto"/>
        </w:rPr>
      </w:pPr>
    </w:p>
    <w:p>
      <w:pPr>
        <w:ind w:right="140" w:firstLine="585"/>
        <w:spacing w:after="0" w:line="265" w:lineRule="auto"/>
        <w:rPr>
          <w:sz w:val="20"/>
          <w:szCs w:val="20"/>
          <w:color w:val="auto"/>
        </w:rPr>
      </w:pPr>
      <w:r>
        <w:rPr>
          <w:rFonts w:ascii="Times New Roman" w:cs="Times New Roman" w:eastAsia="Times New Roman" w:hAnsi="Times New Roman"/>
          <w:sz w:val="16"/>
          <w:szCs w:val="16"/>
          <w:color w:val="auto"/>
        </w:rPr>
        <w:t>No past, present or future director, board member, member, partner, officer, employee or equityholder of the Company, any Guarantor or any of their respective Subsidiaries will have any liability for any of the Company’s or such Guarantor’s obligations under the Securities or this Indenture or for any claim based on, in respect of, or by reason of, such obligations or their creation (other than the Guarantors in respect of their respective Guarantees and the Company in respect of the Securities). Each Holder of Securities by accepting a Security waives and releases all such liability. The waiver and release are part of the consideration for issuance of the Securities.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12.08. Governing Law; Waiver of Jury Trial; Jurisdiction.</w:t>
      </w:r>
    </w:p>
    <w:p>
      <w:pPr>
        <w:spacing w:after="0" w:line="208" w:lineRule="exact"/>
        <w:rPr>
          <w:sz w:val="20"/>
          <w:szCs w:val="20"/>
          <w:color w:val="auto"/>
        </w:rPr>
      </w:pPr>
    </w:p>
    <w:p>
      <w:pPr>
        <w:ind w:right="100" w:firstLine="585"/>
        <w:spacing w:after="0" w:line="265" w:lineRule="auto"/>
        <w:rPr>
          <w:sz w:val="20"/>
          <w:szCs w:val="20"/>
          <w:color w:val="auto"/>
        </w:rPr>
      </w:pPr>
      <w:r>
        <w:rPr>
          <w:rFonts w:ascii="Times New Roman" w:cs="Times New Roman" w:eastAsia="Times New Roman" w:hAnsi="Times New Roman"/>
          <w:sz w:val="16"/>
          <w:szCs w:val="16"/>
          <w:color w:val="auto"/>
        </w:rPr>
        <w:t>THE INTERNAL LAW OF THE STATE OF NEW YORK (INCLUDING, WITHOUT LIMITATION, SECTION 5-1401 OF THE NEW YORK GENERAL OBLIGATIONS LAW OR ANY SUCCESSOR TO SUCH STATUTE) WILL GOVERN AND BE USED TO CONSTRUE THIS INDENTURE, THE SECURITIES AND THE GUARANTEES WITHOUT GIVING EFFECT TO APPLICABLE PRINCIPLES OF CONFLICTS OF LAW TO THE EXTENT THAT THE APPLICATION OF THE LAWS OF ANOTHER JURISDICTION WOULD BE REQUIRED THEREBY.</w:t>
      </w:r>
    </w:p>
    <w:p>
      <w:pPr>
        <w:spacing w:after="0" w:line="162" w:lineRule="exact"/>
        <w:rPr>
          <w:sz w:val="20"/>
          <w:szCs w:val="20"/>
          <w:color w:val="auto"/>
        </w:rPr>
      </w:pPr>
    </w:p>
    <w:p>
      <w:pPr>
        <w:ind w:right="40" w:firstLine="585"/>
        <w:spacing w:after="0" w:line="271" w:lineRule="auto"/>
        <w:rPr>
          <w:sz w:val="20"/>
          <w:szCs w:val="20"/>
          <w:color w:val="auto"/>
        </w:rPr>
      </w:pPr>
      <w:r>
        <w:rPr>
          <w:rFonts w:ascii="Times New Roman" w:cs="Times New Roman" w:eastAsia="Times New Roman" w:hAnsi="Times New Roman"/>
          <w:sz w:val="16"/>
          <w:szCs w:val="16"/>
          <w:color w:val="auto"/>
        </w:rPr>
        <w:t>EACH PARTY HEREBY, AND EACH HOLDER OF A SECURITY BY ITS ACCEPTANCE THEREOF, WAIVES, TO THE FULLEST EXTENT PERMITTED BY APPLICABLE LAW, ANY RIGHT IT MAY HAVE TO A TRIAL BY JURY IN RESPECT OF ANY LITIGATION DIRECTLY OR INDIRECTLY ARISING OUT OF, OR IN CONNECTION WITH THIS INDENTURE.</w:t>
      </w:r>
    </w:p>
    <w:p>
      <w:pPr>
        <w:spacing w:after="0" w:line="156" w:lineRule="exact"/>
        <w:rPr>
          <w:sz w:val="20"/>
          <w:szCs w:val="20"/>
          <w:color w:val="auto"/>
        </w:rPr>
      </w:pPr>
    </w:p>
    <w:p>
      <w:pPr>
        <w:ind w:firstLine="585"/>
        <w:spacing w:after="0" w:line="256" w:lineRule="auto"/>
        <w:rPr>
          <w:sz w:val="20"/>
          <w:szCs w:val="20"/>
          <w:color w:val="auto"/>
        </w:rPr>
      </w:pPr>
      <w:r>
        <w:rPr>
          <w:rFonts w:ascii="Times New Roman" w:cs="Times New Roman" w:eastAsia="Times New Roman" w:hAnsi="Times New Roman"/>
          <w:sz w:val="16"/>
          <w:szCs w:val="16"/>
          <w:color w:val="auto"/>
        </w:rPr>
        <w:t>ANY LEGAL ACTION OR PROCEEDING WITH RESPECT TO THIS INDENTURE AND ANY ACTION FOR ENFORCEMENT OF ANY JUDGMENT IN RESPECT THEREOF MAY BE BROUGHT IN THE COURTS OF THE STATE OF NEW YORK OR OF THE UNITED STATES OF AMERICA FOR THE SOUTHERN DISTRICT OF NEW YORK, IN EACH CASE RESIDING IN THE COUNTY OF NEW YORK, AND, BY EXECUTION AND DELIVERY OF THIS INDENTURE, EACH OF THE PARTIES HERETO HEREBY ACCEPTS FOR ITSELF AND IN RESPECT OF ITS PROPERTY, GENERALLY AND UNCONDITIONALLY, THE NON-EXCLUSIVE JURISDICTION OF THE AFORESAID COURTS AND APPELLATE COURTS FROM ANY THEREOF. THE COMPANY HEREBY IRREVOCABLY CONSENTS TO THE SERVICE OF PROCESS OUT OF ANY OF THE AFOREMENTIONED COURTS IN ANY SUCH ACTION OR PROCEEDING BY THE MAILING OF COPIES THEREOF BY REGISTERED OR CERTIFIED MAIL, POSTAGE PREPAID, TO THE COMPANY AT ITS ADDRESS REFERRED TO IN SECTION 12.02. EACH OF THE PARTIES HERETO HEREBY IRREVOCABLY WAIVES, TO THE FULLEST EXTENT IT MAY DO SO UNDER APPLICABLE LAW, ANY OBJECTION WHICH IT MAY NOW OR HEREAFTER HAVE TO THE LAYING OF VENUE OF ANY OF THE AFORESAID ACTIONS OR PROCEEDINGS ARISING OUT OF OR IN CONNECTION WITH THIS INDENTURE BROUGHT IN THE COURTS REFERRED TO ABOVE AND TO THE FULLEST EXTENT IT MAY DO SO UNDER APPLICABLE LAW HEREBY FURTHER IRREVOCABLY WAIVES AND AGREES NOT TO PLEAD OR CLAIM IN ANY SUCH COURT THAT ANY SUCH ACTION OR PROCEEDING BROUGHT IN ANY SUCH COURT HAS BEEN BROUGHT IN AN INCONVENIENT FORUM. NOTHING HEREIN SHALL AFFECT THE RIGHT OF ANY PARTY HERETO TO SERVE PROCESS IN ANY OTHER MANNER PERMITTED BY LAW OR TO COMMENCE LEGAL PROCEEDINGS OR OTHERWISE PROCEED IN ANY OTHER JURISDICTION.</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0" w:name="page111"/>
    <w:bookmarkEnd w:id="110"/>
    <w:p>
      <w:pPr>
        <w:ind w:left="580"/>
        <w:spacing w:after="0"/>
        <w:rPr>
          <w:sz w:val="20"/>
          <w:szCs w:val="20"/>
          <w:color w:val="auto"/>
        </w:rPr>
      </w:pPr>
      <w:r>
        <w:rPr>
          <w:rFonts w:ascii="Times New Roman" w:cs="Times New Roman" w:eastAsia="Times New Roman" w:hAnsi="Times New Roman"/>
          <w:sz w:val="16"/>
          <w:szCs w:val="16"/>
          <w:i w:val="1"/>
          <w:iCs w:val="1"/>
          <w:color w:val="auto"/>
        </w:rPr>
        <w:t>Section 12.09. No Adverse Interpretation of Other Agreements.</w:t>
      </w:r>
    </w:p>
    <w:p>
      <w:pPr>
        <w:spacing w:after="0" w:line="208" w:lineRule="exact"/>
        <w:rPr>
          <w:sz w:val="20"/>
          <w:szCs w:val="20"/>
          <w:color w:val="auto"/>
        </w:rPr>
      </w:pPr>
    </w:p>
    <w:p>
      <w:pPr>
        <w:ind w:right="500" w:firstLine="585"/>
        <w:spacing w:after="0" w:line="288" w:lineRule="auto"/>
        <w:rPr>
          <w:sz w:val="20"/>
          <w:szCs w:val="20"/>
          <w:color w:val="auto"/>
        </w:rPr>
      </w:pPr>
      <w:r>
        <w:rPr>
          <w:rFonts w:ascii="Times New Roman" w:cs="Times New Roman" w:eastAsia="Times New Roman" w:hAnsi="Times New Roman"/>
          <w:sz w:val="16"/>
          <w:szCs w:val="16"/>
          <w:color w:val="auto"/>
        </w:rPr>
        <w:t>This Indenture may not be used to interpret any other indenture, loan or debt agreement of the Company or its Subsidiaries or of any other Person. Any such indenture, loan or debt agreement may not be used to interpret this Indenture.</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12.10. Successors.</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All agreements of the Company in this Indenture and the Securities will bind its successors. All agreements of the Trustee in this Indenture will bind its successors.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agreements of each Guarantor in this Indenture will bind its successors, except as otherwise provided in Section 10.07.</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12.11. Separability.</w:t>
      </w:r>
    </w:p>
    <w:p>
      <w:pPr>
        <w:spacing w:after="0" w:line="208" w:lineRule="exact"/>
        <w:rPr>
          <w:sz w:val="20"/>
          <w:szCs w:val="20"/>
          <w:color w:val="auto"/>
        </w:rPr>
      </w:pPr>
    </w:p>
    <w:p>
      <w:pPr>
        <w:ind w:right="220" w:firstLine="585"/>
        <w:spacing w:after="0" w:line="288" w:lineRule="auto"/>
        <w:rPr>
          <w:sz w:val="20"/>
          <w:szCs w:val="20"/>
          <w:color w:val="auto"/>
        </w:rPr>
      </w:pPr>
      <w:r>
        <w:rPr>
          <w:rFonts w:ascii="Times New Roman" w:cs="Times New Roman" w:eastAsia="Times New Roman" w:hAnsi="Times New Roman"/>
          <w:sz w:val="16"/>
          <w:szCs w:val="16"/>
          <w:color w:val="auto"/>
        </w:rPr>
        <w:t>In case any provision in this Indenture or in the Securities is invalid, illegal or unenforceable, the validity, legality and enforceability of the remaining provisions will not in any way be affected or impaired thereby.</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12.12. Counterpart Originals.</w:t>
      </w:r>
    </w:p>
    <w:p>
      <w:pPr>
        <w:spacing w:after="0" w:line="208" w:lineRule="exact"/>
        <w:rPr>
          <w:sz w:val="20"/>
          <w:szCs w:val="20"/>
          <w:color w:val="auto"/>
        </w:rPr>
      </w:pPr>
    </w:p>
    <w:p>
      <w:pPr>
        <w:ind w:right="280" w:firstLine="585"/>
        <w:spacing w:after="0" w:line="265" w:lineRule="auto"/>
        <w:rPr>
          <w:sz w:val="20"/>
          <w:szCs w:val="20"/>
          <w:color w:val="auto"/>
        </w:rPr>
      </w:pPr>
      <w:r>
        <w:rPr>
          <w:rFonts w:ascii="Times New Roman" w:cs="Times New Roman" w:eastAsia="Times New Roman" w:hAnsi="Times New Roman"/>
          <w:sz w:val="16"/>
          <w:szCs w:val="16"/>
          <w:color w:val="auto"/>
        </w:rPr>
        <w:t>The parties may sign any number of copies of this Indenture. Each signed copy will be an original, but all of them together represent the same agreement. The exchange of copies of this Indenture and of signature pages by electronic format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“pdf” or “tif”) transmission shall constitute effective execution and delivery of this Indenture as to the parties hereto and may be used in lieu of the original Indenture for all purposes. Signatures of the parties hereto transmitted by electronic format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“pdf” or “tif”) shall be deemed to be their original signatures for all purposes.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12.13. Table of Contents, Headings, etc.</w:t>
      </w:r>
    </w:p>
    <w:p>
      <w:pPr>
        <w:spacing w:after="0" w:line="208" w:lineRule="exact"/>
        <w:rPr>
          <w:sz w:val="20"/>
          <w:szCs w:val="20"/>
          <w:color w:val="auto"/>
        </w:rPr>
      </w:pPr>
    </w:p>
    <w:p>
      <w:pPr>
        <w:ind w:right="20" w:firstLine="585"/>
        <w:spacing w:after="0" w:line="288" w:lineRule="auto"/>
        <w:rPr>
          <w:sz w:val="20"/>
          <w:szCs w:val="20"/>
          <w:color w:val="auto"/>
        </w:rPr>
      </w:pPr>
      <w:r>
        <w:rPr>
          <w:rFonts w:ascii="Times New Roman" w:cs="Times New Roman" w:eastAsia="Times New Roman" w:hAnsi="Times New Roman"/>
          <w:sz w:val="16"/>
          <w:szCs w:val="16"/>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12.14. Benefits of Indenture.</w:t>
      </w:r>
    </w:p>
    <w:p>
      <w:pPr>
        <w:spacing w:after="0" w:line="208" w:lineRule="exact"/>
        <w:rPr>
          <w:sz w:val="20"/>
          <w:szCs w:val="20"/>
          <w:color w:val="auto"/>
        </w:rPr>
      </w:pPr>
    </w:p>
    <w:p>
      <w:pPr>
        <w:ind w:right="60" w:firstLine="585"/>
        <w:spacing w:after="0" w:line="265" w:lineRule="auto"/>
        <w:rPr>
          <w:sz w:val="20"/>
          <w:szCs w:val="20"/>
          <w:color w:val="auto"/>
        </w:rPr>
      </w:pPr>
      <w:r>
        <w:rPr>
          <w:rFonts w:ascii="Times New Roman" w:cs="Times New Roman" w:eastAsia="Times New Roman" w:hAnsi="Times New Roman"/>
          <w:sz w:val="16"/>
          <w:szCs w:val="16"/>
          <w:color w:val="auto"/>
        </w:rPr>
        <w:t>Nothing in this Indenture expressed and nothing that may be implied from any of the provisions hereof is intended, or shall be construed, to confer upon, or to give to, any Person other than the parties hereto and their successors and the Holders of the Securities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and of the Holders of the Securities.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12.15. Electronic Delivery.</w:t>
      </w:r>
    </w:p>
    <w:p>
      <w:pPr>
        <w:spacing w:after="0" w:line="208" w:lineRule="exact"/>
        <w:rPr>
          <w:sz w:val="20"/>
          <w:szCs w:val="20"/>
          <w:color w:val="auto"/>
        </w:rPr>
      </w:pPr>
    </w:p>
    <w:p>
      <w:pPr>
        <w:ind w:firstLine="585"/>
        <w:spacing w:after="0" w:line="259" w:lineRule="auto"/>
        <w:rPr>
          <w:sz w:val="20"/>
          <w:szCs w:val="20"/>
          <w:color w:val="auto"/>
        </w:rPr>
      </w:pPr>
      <w:r>
        <w:rPr>
          <w:rFonts w:ascii="Times New Roman" w:cs="Times New Roman" w:eastAsia="Times New Roman" w:hAnsi="Times New Roman"/>
          <w:sz w:val="16"/>
          <w:szCs w:val="16"/>
          <w:color w:val="auto"/>
        </w:rPr>
        <w:t>The parties acknowledge and agree that they may execute this Indenture, and any variation or amendment to the same, and all documents required to be delivered in connection with this Indenture, by electronic instrument. The parties agree that the electronic signatures appearing on this Indenture and on all documents required to be delivered in connection with this Indenture shall have the same effect as handwritten signatures and the use of an electronic signature on this Indenture and on all documents required to be delivered in connection with this Indenture shall have the same validity and legal effect as the use of a signature affixed by hand and is made with the intention of authenticating this Indenture and on all documents required to be delivered in connection with this Indenture, and evidencing the parties’ intention to be bound by the terms and conditions contained herein. For the purposes of using an electronic signature, the parties authorize each other to the lawful processing of personal data of the signers for contract performance and their legitimate interests including contract management.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ind w:left="583"/>
        <w:spacing w:after="0"/>
        <w:rPr>
          <w:sz w:val="20"/>
          <w:szCs w:val="20"/>
          <w:color w:val="auto"/>
        </w:rPr>
      </w:pPr>
      <w:r>
        <w:rPr>
          <w:rFonts w:ascii="Times New Roman" w:cs="Times New Roman" w:eastAsia="Times New Roman" w:hAnsi="Times New Roman"/>
          <w:sz w:val="16"/>
          <w:szCs w:val="16"/>
          <w:i w:val="1"/>
          <w:iCs w:val="1"/>
          <w:color w:val="auto"/>
        </w:rPr>
        <w:t>Section 12.16. Office of Foreign Assets Control Sanctions Representations.</w:t>
      </w:r>
    </w:p>
    <w:p>
      <w:pPr>
        <w:spacing w:after="0" w:line="208" w:lineRule="exact"/>
        <w:rPr>
          <w:sz w:val="20"/>
          <w:szCs w:val="20"/>
          <w:color w:val="auto"/>
        </w:rPr>
      </w:pPr>
    </w:p>
    <w:p>
      <w:pPr>
        <w:jc w:val="both"/>
        <w:ind w:left="3" w:right="180" w:firstLine="582"/>
        <w:spacing w:after="0" w:line="271" w:lineRule="auto"/>
        <w:tabs>
          <w:tab w:leader="none" w:pos="1092"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represents that neither it nor any of its affiliates, subsidiaries, directors or officers are the target or subject of any sanctions enforced by the U.S. government (including, without limitation, the Office of Foreign Assets Control of the U.S. Department of the Treasury or the U.S. Department of State), the United Nations Security Council, the European Union, His Majesty’s Treasury, or other relevant sanctions authority (collectively “</w:t>
      </w:r>
      <w:r>
        <w:rPr>
          <w:rFonts w:ascii="Times New Roman" w:cs="Times New Roman" w:eastAsia="Times New Roman" w:hAnsi="Times New Roman"/>
          <w:sz w:val="16"/>
          <w:szCs w:val="16"/>
          <w:i w:val="1"/>
          <w:iCs w:val="1"/>
          <w:color w:val="auto"/>
        </w:rPr>
        <w:t>Sanctions</w:t>
      </w:r>
      <w:r>
        <w:rPr>
          <w:rFonts w:ascii="Times New Roman" w:cs="Times New Roman" w:eastAsia="Times New Roman" w:hAnsi="Times New Roman"/>
          <w:sz w:val="16"/>
          <w:szCs w:val="16"/>
          <w:color w:val="auto"/>
        </w:rPr>
        <w:t>”);</w:t>
      </w:r>
    </w:p>
    <w:p>
      <w:pPr>
        <w:spacing w:after="0" w:line="156" w:lineRule="exact"/>
        <w:rPr>
          <w:rFonts w:ascii="Times New Roman" w:cs="Times New Roman" w:eastAsia="Times New Roman" w:hAnsi="Times New Roman"/>
          <w:sz w:val="16"/>
          <w:szCs w:val="16"/>
          <w:color w:val="auto"/>
        </w:rPr>
      </w:pPr>
    </w:p>
    <w:p>
      <w:pPr>
        <w:ind w:left="3" w:right="40" w:firstLine="582"/>
        <w:spacing w:after="0" w:line="264" w:lineRule="auto"/>
        <w:tabs>
          <w:tab w:leader="none" w:pos="1101"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covenants that neither it nor any of its affiliates, subsidiaries, directors or officers will directly or indirectly use any payments made pursuant to this agreement, (i) to fund or facilitate any activities of or business with any person who, at the time of such funding or facilitation, is the subject or target of Sanctions,</w:t>
      </w:r>
    </w:p>
    <w:p>
      <w:pPr>
        <w:ind w:left="3" w:right="300" w:hanging="3"/>
        <w:spacing w:after="0" w:line="268" w:lineRule="auto"/>
        <w:tabs>
          <w:tab w:leader="none" w:pos="242"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fund or facilitate any activities of or business with any country or territory that is the target or subject of Sanctions, or (iii) in any other manner that will result in a violation of Sanctions by any person.</w:t>
      </w:r>
    </w:p>
    <w:p>
      <w:pPr>
        <w:spacing w:after="0" w:line="156"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i w:val="1"/>
          <w:iCs w:val="1"/>
          <w:color w:val="auto"/>
        </w:rPr>
        <w:t>Section 12.17. Foreign Account Tax Compliance Act (FACTA).</w:t>
      </w:r>
    </w:p>
    <w:p>
      <w:pPr>
        <w:spacing w:after="0" w:line="208" w:lineRule="exact"/>
        <w:rPr>
          <w:sz w:val="20"/>
          <w:szCs w:val="20"/>
          <w:color w:val="auto"/>
        </w:rPr>
      </w:pPr>
    </w:p>
    <w:p>
      <w:pPr>
        <w:ind w:left="3" w:firstLine="585"/>
        <w:spacing w:after="0" w:line="259" w:lineRule="auto"/>
        <w:rPr>
          <w:sz w:val="20"/>
          <w:szCs w:val="20"/>
          <w:color w:val="auto"/>
        </w:rPr>
      </w:pPr>
      <w:r>
        <w:rPr>
          <w:rFonts w:ascii="Times New Roman" w:cs="Times New Roman" w:eastAsia="Times New Roman" w:hAnsi="Times New Roman"/>
          <w:sz w:val="16"/>
          <w:szCs w:val="16"/>
          <w:color w:val="auto"/>
        </w:rPr>
        <w:t>In order to comply with applicable tax laws, rules and regulations (inclusive of directives, guidelines and interpretations promulgated by competent authorities) in effect from time to time (“</w:t>
      </w:r>
      <w:r>
        <w:rPr>
          <w:rFonts w:ascii="Times New Roman" w:cs="Times New Roman" w:eastAsia="Times New Roman" w:hAnsi="Times New Roman"/>
          <w:sz w:val="16"/>
          <w:szCs w:val="16"/>
          <w:i w:val="1"/>
          <w:iCs w:val="1"/>
          <w:color w:val="auto"/>
        </w:rPr>
        <w:t>Applicable Law</w:t>
      </w:r>
      <w:r>
        <w:rPr>
          <w:rFonts w:ascii="Times New Roman" w:cs="Times New Roman" w:eastAsia="Times New Roman" w:hAnsi="Times New Roman"/>
          <w:sz w:val="16"/>
          <w:szCs w:val="16"/>
          <w:color w:val="auto"/>
        </w:rPr>
        <w:t>”), the Company agrees (i) to provide to The Bank of New York Mellon sufficient information about Holders or other applicable parties and/or transactions (including any modification to the terms of such transactions), to the extent such information is directly available to the Company, so The Bank of New York Mellon can determine whether it has tax-related obligations under Applicable Law, (ii) that The Bank of New York Mellon shall be entitled to make any withholding or deduction from payments under the Indenture to the extent necessary to comply with Applicable Law for which The Bank of New York Mellon shall not have any liability, and (iii) to hold harmless The Bank of New York Mellon for any losses it may suffer due to the actions it takes to comply with such Applicable Law. The terms of this section shall survive the termination of this Indenture.</w:t>
      </w:r>
    </w:p>
    <w:p>
      <w:pPr>
        <w:spacing w:after="0" w:line="169"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6"/>
          <w:szCs w:val="16"/>
          <w:color w:val="auto"/>
        </w:rPr>
        <w:t>[Signatures on following page]</w:t>
      </w:r>
    </w:p>
    <w:p>
      <w:pPr>
        <w:spacing w:after="0" w:line="360"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3"/>
          </w:cols>
          <w:pgMar w:left="317" w:top="121"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color w:val="auto"/>
        </w:rPr>
        <w:t>IN WITNESS WHEREOF, the parties have caused this Indenture to be duly executed as of the date first written above.</w:t>
      </w:r>
    </w:p>
    <w:p>
      <w:pPr>
        <w:spacing w:after="0" w:line="20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VIATRIS INC.</w:t>
      </w:r>
    </w:p>
    <w:p>
      <w:pPr>
        <w:spacing w:after="0" w:line="2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25400</wp:posOffset>
            </wp:positionV>
            <wp:extent cx="3356610"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4">
                      <a:extLst>
                        <a:ext uri="{28A0092B-C50C-407E-A947-70E740481C1C}"/>
                      </a:extLst>
                    </a:blip>
                    <a:srcRect/>
                    <a:stretch>
                      <a:fillRect/>
                    </a:stretch>
                  </pic:blipFill>
                  <pic:spPr bwMode="auto">
                    <a:xfrm>
                      <a:off x="0" y="0"/>
                      <a:ext cx="3356610" cy="15240"/>
                    </a:xfrm>
                    <a:prstGeom prst="rect">
                      <a:avLst/>
                    </a:prstGeom>
                    <a:noFill/>
                  </pic:spPr>
                </pic:pic>
              </a:graphicData>
            </a:graphic>
          </wp:anchor>
        </w:drawing>
      </w:r>
    </w:p>
    <w:p>
      <w:pPr>
        <w:spacing w:after="0" w:line="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Name:</w:t>
      </w:r>
    </w:p>
    <w:p>
      <w:pPr>
        <w:spacing w:after="0" w:line="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Title:</w:t>
      </w:r>
    </w:p>
    <w:p>
      <w:pPr>
        <w:spacing w:after="0" w:line="19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THE GUARANTORS NAMED ON SCHEDULE A HERETO, as Guarantors,</w:t>
      </w:r>
    </w:p>
    <w:p>
      <w:pPr>
        <w:spacing w:after="0" w:line="2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25400</wp:posOffset>
            </wp:positionV>
            <wp:extent cx="3356610"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5">
                      <a:extLst>
                        <a:ext uri="{28A0092B-C50C-407E-A947-70E740481C1C}"/>
                      </a:extLst>
                    </a:blip>
                    <a:srcRect/>
                    <a:stretch>
                      <a:fillRect/>
                    </a:stretch>
                  </pic:blipFill>
                  <pic:spPr bwMode="auto">
                    <a:xfrm>
                      <a:off x="0" y="0"/>
                      <a:ext cx="3356610" cy="15240"/>
                    </a:xfrm>
                    <a:prstGeom prst="rect">
                      <a:avLst/>
                    </a:prstGeom>
                    <a:noFill/>
                  </pic:spPr>
                </pic:pic>
              </a:graphicData>
            </a:graphic>
          </wp:anchor>
        </w:drawing>
      </w:r>
    </w:p>
    <w:p>
      <w:pPr>
        <w:spacing w:after="0" w:line="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Name:</w:t>
      </w:r>
    </w:p>
    <w:p>
      <w:pPr>
        <w:spacing w:after="0" w:line="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Title:</w:t>
      </w:r>
    </w:p>
    <w:p>
      <w:pPr>
        <w:spacing w:after="0" w:line="19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THE BANK OF NEW YORK MELLON,</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as Trustee</w:t>
      </w:r>
    </w:p>
    <w:p>
      <w:pPr>
        <w:spacing w:after="0" w:line="1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25400</wp:posOffset>
            </wp:positionV>
            <wp:extent cx="3356610"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6">
                      <a:extLst>
                        <a:ext uri="{28A0092B-C50C-407E-A947-70E740481C1C}"/>
                      </a:extLst>
                    </a:blip>
                    <a:srcRect/>
                    <a:stretch>
                      <a:fillRect/>
                    </a:stretch>
                  </pic:blipFill>
                  <pic:spPr bwMode="auto">
                    <a:xfrm>
                      <a:off x="0" y="0"/>
                      <a:ext cx="3356610" cy="15240"/>
                    </a:xfrm>
                    <a:prstGeom prst="rect">
                      <a:avLst/>
                    </a:prstGeom>
                    <a:noFill/>
                  </pic:spPr>
                </pic:pic>
              </a:graphicData>
            </a:graphic>
          </wp:anchor>
        </w:drawing>
      </w:r>
    </w:p>
    <w:p>
      <w:pPr>
        <w:spacing w:after="0" w:line="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Name:</w:t>
      </w:r>
    </w:p>
    <w:p>
      <w:pPr>
        <w:spacing w:after="0" w:line="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Title:</w:t>
      </w:r>
    </w:p>
    <w:p>
      <w:pPr>
        <w:spacing w:after="0" w:line="1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[Signature Page to Senior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241935</wp:posOffset>
            </wp:positionV>
            <wp:extent cx="7145655"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180"/>
          </w:cols>
          <w:pgMar w:left="900" w:top="123" w:right="81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243205</wp:posOffset>
            </wp:positionV>
            <wp:extent cx="714565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6"/>
          <w:szCs w:val="16"/>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NOTATION OF GUARANTEE]</w:t>
      </w:r>
    </w:p>
    <w:p>
      <w:pPr>
        <w:spacing w:after="0" w:line="204" w:lineRule="exact"/>
        <w:rPr>
          <w:sz w:val="20"/>
          <w:szCs w:val="20"/>
          <w:color w:val="auto"/>
        </w:rPr>
      </w:pPr>
    </w:p>
    <w:p>
      <w:pPr>
        <w:ind w:right="60" w:firstLine="585"/>
        <w:spacing w:after="0" w:line="261" w:lineRule="auto"/>
        <w:rPr>
          <w:sz w:val="20"/>
          <w:szCs w:val="20"/>
          <w:color w:val="auto"/>
        </w:rPr>
      </w:pPr>
      <w:r>
        <w:rPr>
          <w:rFonts w:ascii="Times New Roman" w:cs="Times New Roman" w:eastAsia="Times New Roman" w:hAnsi="Times New Roman"/>
          <w:sz w:val="16"/>
          <w:szCs w:val="16"/>
          <w:color w:val="auto"/>
        </w:rPr>
        <w:t>Each of the undersigned (collectively, the “</w:t>
      </w:r>
      <w:r>
        <w:rPr>
          <w:rFonts w:ascii="Times New Roman" w:cs="Times New Roman" w:eastAsia="Times New Roman" w:hAnsi="Times New Roman"/>
          <w:sz w:val="16"/>
          <w:szCs w:val="16"/>
          <w:i w:val="1"/>
          <w:iCs w:val="1"/>
          <w:color w:val="auto"/>
        </w:rPr>
        <w:t>Guarantors</w:t>
      </w:r>
      <w:r>
        <w:rPr>
          <w:rFonts w:ascii="Times New Roman" w:cs="Times New Roman" w:eastAsia="Times New Roman" w:hAnsi="Times New Roman"/>
          <w:sz w:val="16"/>
          <w:szCs w:val="16"/>
          <w:color w:val="auto"/>
        </w:rPr>
        <w:t>”) have guaranteed, jointly and severally, fully and unconditionally (such guarantee by each Guarantor being referred to herein as the “</w:t>
      </w:r>
      <w:r>
        <w:rPr>
          <w:rFonts w:ascii="Times New Roman" w:cs="Times New Roman" w:eastAsia="Times New Roman" w:hAnsi="Times New Roman"/>
          <w:sz w:val="16"/>
          <w:szCs w:val="16"/>
          <w:i w:val="1"/>
          <w:iCs w:val="1"/>
          <w:color w:val="auto"/>
        </w:rPr>
        <w:t>Guarantee</w:t>
      </w:r>
      <w:r>
        <w:rPr>
          <w:rFonts w:ascii="Times New Roman" w:cs="Times New Roman" w:eastAsia="Times New Roman" w:hAnsi="Times New Roman"/>
          <w:sz w:val="16"/>
          <w:szCs w:val="16"/>
          <w:color w:val="auto"/>
        </w:rPr>
        <w:t>”) (i) the due and punctual payment of the principal of and interest on the Securities, whether at maturity, by acceleration or otherwise, the due and punctual payment of interest on the overdue principal and interest, if any, on the Securities, to the extent lawful, and the due and punctual performance of all other obligations of the Company to the Holders or the Trustee all in accordance with the terms set forth in Article X of the Indenture and (ii) in case of any extension of time of payment or renewal of any Securities or any of such other obligations, that the same will be promptly paid in full when due or performed in accordance with the terms of the extension or renewal, whether at stated maturity, by acceleration or otherwise.</w:t>
      </w:r>
    </w:p>
    <w:p>
      <w:pPr>
        <w:spacing w:after="0" w:line="166" w:lineRule="exact"/>
        <w:rPr>
          <w:sz w:val="20"/>
          <w:szCs w:val="20"/>
          <w:color w:val="auto"/>
        </w:rPr>
      </w:pPr>
    </w:p>
    <w:p>
      <w:pPr>
        <w:ind w:right="100" w:firstLine="585"/>
        <w:spacing w:after="0" w:line="265" w:lineRule="auto"/>
        <w:rPr>
          <w:sz w:val="20"/>
          <w:szCs w:val="20"/>
          <w:color w:val="auto"/>
        </w:rPr>
      </w:pPr>
      <w:r>
        <w:rPr>
          <w:rFonts w:ascii="Times New Roman" w:cs="Times New Roman" w:eastAsia="Times New Roman" w:hAnsi="Times New Roman"/>
          <w:sz w:val="16"/>
          <w:szCs w:val="16"/>
          <w:color w:val="auto"/>
        </w:rPr>
        <w:t>No past, present or future director, board member, member, partner, officer, employee or equityholder of the Guarantors will have any liability for any of the Guarantor’s obligations under the Guarantee or for any claim based on, in respect of, or by reason of, such obligations or their creation (other than the Guarantors in respect of their respective Guarantees and the Company in respect of the Securities). Each Holder of Securities by accepting a Security waives and releases all such liability. The waiver and release are part of the consideration for issuance of the Guarantees.</w:t>
      </w:r>
    </w:p>
    <w:p>
      <w:pPr>
        <w:spacing w:after="0" w:line="162" w:lineRule="exact"/>
        <w:rPr>
          <w:sz w:val="20"/>
          <w:szCs w:val="20"/>
          <w:color w:val="auto"/>
        </w:rPr>
      </w:pPr>
    </w:p>
    <w:p>
      <w:pPr>
        <w:ind w:right="500" w:firstLine="585"/>
        <w:spacing w:after="0" w:line="288" w:lineRule="auto"/>
        <w:rPr>
          <w:sz w:val="20"/>
          <w:szCs w:val="20"/>
          <w:color w:val="auto"/>
        </w:rPr>
      </w:pPr>
      <w:r>
        <w:rPr>
          <w:rFonts w:ascii="Times New Roman" w:cs="Times New Roman" w:eastAsia="Times New Roman" w:hAnsi="Times New Roman"/>
          <w:sz w:val="16"/>
          <w:szCs w:val="16"/>
          <w:color w:val="auto"/>
        </w:rPr>
        <w:t>Each Holder of a Security by accepting a Security agrees that any Guarantor named below shall have no further liability with respect to its Guarantee if such Guarantor otherwise ceases to be liable in respect of its Guarantee in accordance with the terms of the Indenture.</w:t>
      </w:r>
    </w:p>
    <w:p>
      <w:pPr>
        <w:spacing w:after="0" w:line="143" w:lineRule="exact"/>
        <w:rPr>
          <w:sz w:val="20"/>
          <w:szCs w:val="20"/>
          <w:color w:val="auto"/>
        </w:rPr>
      </w:pPr>
    </w:p>
    <w:p>
      <w:pPr>
        <w:ind w:right="100" w:firstLine="585"/>
        <w:spacing w:after="0" w:line="288" w:lineRule="auto"/>
        <w:rPr>
          <w:sz w:val="20"/>
          <w:szCs w:val="20"/>
          <w:color w:val="auto"/>
        </w:rPr>
      </w:pPr>
      <w:r>
        <w:rPr>
          <w:rFonts w:ascii="Times New Roman" w:cs="Times New Roman" w:eastAsia="Times New Roman" w:hAnsi="Times New Roman"/>
          <w:sz w:val="16"/>
          <w:szCs w:val="16"/>
          <w:color w:val="auto"/>
        </w:rPr>
        <w:t>The Guarantee shall not be valid or obligatory for any purpose until the certificate of authentication on the Securities upon which the Guarantee is noted shall have been executed by the Trustee under the Indenture by the manual signature of one of its authorized officers.</w:t>
      </w:r>
    </w:p>
    <w:p>
      <w:pPr>
        <w:spacing w:after="0" w:line="3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[GUARANTORS]</w:t>
      </w:r>
    </w:p>
    <w:p>
      <w:pPr>
        <w:spacing w:after="0" w:line="2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25400</wp:posOffset>
            </wp:positionV>
            <wp:extent cx="3356610"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9">
                      <a:extLst>
                        <a:ext uri="{28A0092B-C50C-407E-A947-70E740481C1C}"/>
                      </a:extLst>
                    </a:blip>
                    <a:srcRect/>
                    <a:stretch>
                      <a:fillRect/>
                    </a:stretch>
                  </pic:blipFill>
                  <pic:spPr bwMode="auto">
                    <a:xfrm>
                      <a:off x="0" y="0"/>
                      <a:ext cx="3356610" cy="15240"/>
                    </a:xfrm>
                    <a:prstGeom prst="rect">
                      <a:avLst/>
                    </a:prstGeom>
                    <a:noFill/>
                  </pic:spPr>
                </pic:pic>
              </a:graphicData>
            </a:graphic>
          </wp:anchor>
        </w:drawing>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Name: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309245</wp:posOffset>
            </wp:positionV>
            <wp:extent cx="714565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11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1">
                      <a:extLst>
                        <a:ext uri="{28A0092B-C50C-407E-A947-70E740481C1C}"/>
                      </a:extLst>
                    </a:blip>
                    <a:srcRect/>
                    <a:stretch>
                      <a:fillRect/>
                    </a:stretch>
                  </pic:blipFill>
                  <pic:spPr bwMode="auto">
                    <a:xfrm>
                      <a:off x="0" y="0"/>
                      <a:ext cx="7145655" cy="31115"/>
                    </a:xfrm>
                    <a:prstGeom prst="rect">
                      <a:avLst/>
                    </a:prstGeom>
                    <a:noFill/>
                  </pic:spPr>
                </pic:pic>
              </a:graphicData>
            </a:graphic>
          </wp:anchor>
        </w:drawing>
        <w:t>Exhibit 4.12</w:t>
      </w:r>
    </w:p>
    <w:p>
      <w:pPr>
        <w:spacing w:after="0" w:line="20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VIATRIS INC.</w:t>
      </w:r>
    </w:p>
    <w:p>
      <w:pPr>
        <w:spacing w:after="0" w:line="20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SUBORDINATED INDENTURE</w:t>
      </w:r>
    </w:p>
    <w:p>
      <w:pPr>
        <w:spacing w:after="0" w:line="206" w:lineRule="exact"/>
        <w:rPr>
          <w:sz w:val="20"/>
          <w:szCs w:val="20"/>
          <w:color w:val="auto"/>
        </w:rPr>
      </w:pPr>
    </w:p>
    <w:p>
      <w:pPr>
        <w:ind w:left="3900"/>
        <w:spacing w:after="0"/>
        <w:tabs>
          <w:tab w:leader="none" w:pos="5060" w:val="left"/>
        </w:tabs>
        <w:rPr>
          <w:sz w:val="20"/>
          <w:szCs w:val="20"/>
          <w:color w:val="auto"/>
        </w:rPr>
      </w:pPr>
      <w:r>
        <w:rPr>
          <w:rFonts w:ascii="Times New Roman" w:cs="Times New Roman" w:eastAsia="Times New Roman" w:hAnsi="Times New Roman"/>
          <w:sz w:val="16"/>
          <w:szCs w:val="16"/>
          <w:b w:val="1"/>
          <w:bCs w:val="1"/>
          <w:color w:val="auto"/>
        </w:rPr>
        <w:t>Dated as of</w:t>
      </w:r>
      <w:r>
        <w:rPr>
          <w:sz w:val="20"/>
          <w:szCs w:val="20"/>
          <w:color w:val="auto"/>
        </w:rPr>
        <w:tab/>
      </w:r>
      <w:r>
        <w:rPr>
          <w:rFonts w:ascii="Times New Roman" w:cs="Times New Roman" w:eastAsia="Times New Roman" w:hAnsi="Times New Roman"/>
          <w:sz w:val="16"/>
          <w:szCs w:val="16"/>
          <w:b w:val="1"/>
          <w:bCs w:val="1"/>
          <w:color w:val="auto"/>
        </w:rPr>
        <w:t>,</w:t>
      </w:r>
    </w:p>
    <w:p>
      <w:pPr>
        <w:spacing w:after="0" w:line="20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THE BANK OF NEW YORK MELLON</w:t>
      </w:r>
    </w:p>
    <w:p>
      <w:pPr>
        <w:spacing w:after="0" w:line="20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243205</wp:posOffset>
            </wp:positionV>
            <wp:extent cx="7145655"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140"/>
          </w:cols>
          <w:pgMar w:left="1440" w:top="255" w:right="31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7280" w:type="dxa"/>
            <w:vAlign w:val="bottom"/>
            <w:gridSpan w:val="3"/>
          </w:tcPr>
          <w:p>
            <w:pPr>
              <w:jc w:val="center"/>
              <w:ind w:right="3659"/>
              <w:spacing w:after="0"/>
              <w:rPr>
                <w:sz w:val="20"/>
                <w:szCs w:val="20"/>
                <w:color w:val="auto"/>
              </w:rPr>
            </w:pPr>
            <w:r>
              <w:rPr>
                <w:rFonts w:ascii="Times New Roman" w:cs="Times New Roman" w:eastAsia="Times New Roman" w:hAnsi="Times New Roman"/>
                <w:sz w:val="16"/>
                <w:szCs w:val="16"/>
                <w:color w:val="auto"/>
              </w:rPr>
              <w:t>Table Showing Reflection in Indenture of Certain</w:t>
            </w: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7280" w:type="dxa"/>
            <w:vAlign w:val="bottom"/>
            <w:gridSpan w:val="3"/>
          </w:tcPr>
          <w:p>
            <w:pPr>
              <w:jc w:val="center"/>
              <w:ind w:right="3639"/>
              <w:spacing w:after="0"/>
              <w:rPr>
                <w:sz w:val="20"/>
                <w:szCs w:val="20"/>
                <w:color w:val="auto"/>
              </w:rPr>
            </w:pPr>
            <w:r>
              <w:rPr>
                <w:rFonts w:ascii="Times New Roman" w:cs="Times New Roman" w:eastAsia="Times New Roman" w:hAnsi="Times New Roman"/>
                <w:sz w:val="16"/>
                <w:szCs w:val="16"/>
                <w:color w:val="auto"/>
              </w:rPr>
              <w:t>Provisions of Trust Indenture Act of 1939, as</w:t>
            </w:r>
          </w:p>
        </w:tc>
      </w:tr>
      <w:tr>
        <w:trPr>
          <w:trHeight w:val="211"/>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7280" w:type="dxa"/>
            <w:vAlign w:val="bottom"/>
            <w:gridSpan w:val="3"/>
          </w:tcPr>
          <w:p>
            <w:pPr>
              <w:jc w:val="center"/>
              <w:ind w:right="3639"/>
              <w:spacing w:after="0"/>
              <w:rPr>
                <w:sz w:val="20"/>
                <w:szCs w:val="20"/>
                <w:color w:val="auto"/>
              </w:rPr>
            </w:pPr>
            <w:r>
              <w:rPr>
                <w:rFonts w:ascii="Times New Roman" w:cs="Times New Roman" w:eastAsia="Times New Roman" w:hAnsi="Times New Roman"/>
                <w:sz w:val="16"/>
                <w:szCs w:val="16"/>
                <w:color w:val="auto"/>
              </w:rPr>
              <w:t>amended*</w:t>
            </w:r>
          </w:p>
        </w:tc>
      </w:tr>
      <w:tr>
        <w:trPr>
          <w:trHeight w:val="285"/>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77"/>
        </w:trPr>
        <w:tc>
          <w:tcPr>
            <w:tcW w:w="20" w:type="dxa"/>
            <w:vAlign w:val="bottom"/>
          </w:tcPr>
          <w:p>
            <w:pPr>
              <w:spacing w:after="0"/>
              <w:rPr>
                <w:sz w:val="6"/>
                <w:szCs w:val="6"/>
                <w:color w:val="auto"/>
              </w:rPr>
            </w:pPr>
          </w:p>
        </w:tc>
        <w:tc>
          <w:tcPr>
            <w:tcW w:w="3960" w:type="dxa"/>
            <w:vAlign w:val="bottom"/>
            <w:tcBorders>
              <w:bottom w:val="single" w:sz="8" w:color="auto"/>
            </w:tcBorders>
          </w:tcPr>
          <w:p>
            <w:pPr>
              <w:spacing w:after="0"/>
              <w:rPr>
                <w:sz w:val="6"/>
                <w:szCs w:val="6"/>
                <w:color w:val="auto"/>
              </w:rPr>
            </w:pPr>
          </w:p>
        </w:tc>
        <w:tc>
          <w:tcPr>
            <w:tcW w:w="49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r>
      <w:tr>
        <w:trPr>
          <w:trHeight w:val="279"/>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7280" w:type="dxa"/>
            <w:vAlign w:val="bottom"/>
            <w:gridSpan w:val="3"/>
          </w:tcPr>
          <w:p>
            <w:pPr>
              <w:jc w:val="right"/>
              <w:ind w:right="4839"/>
              <w:spacing w:after="0"/>
              <w:rPr>
                <w:sz w:val="20"/>
                <w:szCs w:val="20"/>
                <w:color w:val="auto"/>
              </w:rPr>
            </w:pPr>
            <w:r>
              <w:rPr>
                <w:rFonts w:ascii="Times New Roman" w:cs="Times New Roman" w:eastAsia="Times New Roman" w:hAnsi="Times New Roman"/>
                <w:sz w:val="16"/>
                <w:szCs w:val="16"/>
                <w:color w:val="auto"/>
              </w:rPr>
              <w:t>Reflected in Indenture</w:t>
            </w:r>
          </w:p>
        </w:tc>
      </w:tr>
      <w:tr>
        <w:trPr>
          <w:trHeight w:val="200"/>
        </w:trPr>
        <w:tc>
          <w:tcPr>
            <w:tcW w:w="3980" w:type="dxa"/>
            <w:vAlign w:val="bottom"/>
            <w:gridSpan w:val="2"/>
          </w:tcPr>
          <w:p>
            <w:pPr>
              <w:spacing w:after="0"/>
              <w:rPr>
                <w:sz w:val="17"/>
                <w:szCs w:val="17"/>
                <w:color w:val="auto"/>
              </w:rPr>
            </w:pPr>
          </w:p>
        </w:tc>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39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Trust Indenture Act Section</w:t>
            </w:r>
          </w:p>
        </w:tc>
        <w:tc>
          <w:tcPr>
            <w:tcW w:w="49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2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Indenture Section</w:t>
            </w:r>
          </w:p>
        </w:tc>
      </w:tr>
      <w:tr>
        <w:trPr>
          <w:trHeight w:val="195"/>
        </w:trPr>
        <w:tc>
          <w:tcPr>
            <w:tcW w:w="20" w:type="dxa"/>
            <w:vAlign w:val="bottom"/>
          </w:tcPr>
          <w:p>
            <w:pPr>
              <w:spacing w:after="0"/>
              <w:rPr>
                <w:sz w:val="16"/>
                <w:szCs w:val="16"/>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310 (a) (1)</w:t>
            </w:r>
          </w:p>
        </w:tc>
        <w:tc>
          <w:tcPr>
            <w:tcW w:w="4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7.09</w:t>
            </w:r>
          </w:p>
        </w:tc>
      </w:tr>
      <w:tr>
        <w:trPr>
          <w:trHeight w:val="195"/>
        </w:trPr>
        <w:tc>
          <w:tcPr>
            <w:tcW w:w="20" w:type="dxa"/>
            <w:vAlign w:val="bottom"/>
          </w:tcPr>
          <w:p>
            <w:pPr>
              <w:spacing w:after="0"/>
              <w:rPr>
                <w:sz w:val="16"/>
                <w:szCs w:val="16"/>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 (2)</w:t>
            </w:r>
          </w:p>
        </w:tc>
        <w:tc>
          <w:tcPr>
            <w:tcW w:w="728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7.09</w:t>
            </w:r>
          </w:p>
        </w:tc>
      </w:tr>
      <w:tr>
        <w:trPr>
          <w:trHeight w:val="195"/>
        </w:trPr>
        <w:tc>
          <w:tcPr>
            <w:tcW w:w="20" w:type="dxa"/>
            <w:vAlign w:val="bottom"/>
          </w:tcPr>
          <w:p>
            <w:pPr>
              <w:spacing w:after="0"/>
              <w:rPr>
                <w:sz w:val="16"/>
                <w:szCs w:val="16"/>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 (3)</w:t>
            </w:r>
          </w:p>
        </w:tc>
        <w:tc>
          <w:tcPr>
            <w:tcW w:w="4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N.A.</w:t>
            </w:r>
          </w:p>
        </w:tc>
      </w:tr>
      <w:tr>
        <w:trPr>
          <w:trHeight w:val="195"/>
        </w:trPr>
        <w:tc>
          <w:tcPr>
            <w:tcW w:w="20" w:type="dxa"/>
            <w:vAlign w:val="bottom"/>
          </w:tcPr>
          <w:p>
            <w:pPr>
              <w:spacing w:after="0"/>
              <w:rPr>
                <w:sz w:val="16"/>
                <w:szCs w:val="16"/>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 (4)</w:t>
            </w:r>
          </w:p>
        </w:tc>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N.A.</w:t>
            </w:r>
          </w:p>
        </w:tc>
      </w:tr>
      <w:tr>
        <w:trPr>
          <w:trHeight w:val="195"/>
        </w:trPr>
        <w:tc>
          <w:tcPr>
            <w:tcW w:w="20" w:type="dxa"/>
            <w:vAlign w:val="bottom"/>
          </w:tcPr>
          <w:p>
            <w:pPr>
              <w:spacing w:after="0"/>
              <w:rPr>
                <w:sz w:val="16"/>
                <w:szCs w:val="16"/>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 (5)</w:t>
            </w:r>
          </w:p>
        </w:tc>
        <w:tc>
          <w:tcPr>
            <w:tcW w:w="728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7.09</w:t>
            </w:r>
          </w:p>
        </w:tc>
      </w:tr>
      <w:tr>
        <w:trPr>
          <w:trHeight w:val="195"/>
        </w:trPr>
        <w:tc>
          <w:tcPr>
            <w:tcW w:w="20" w:type="dxa"/>
            <w:vAlign w:val="bottom"/>
          </w:tcPr>
          <w:p>
            <w:pPr>
              <w:spacing w:after="0"/>
              <w:rPr>
                <w:sz w:val="16"/>
                <w:szCs w:val="16"/>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(b)</w:t>
            </w:r>
          </w:p>
        </w:tc>
        <w:tc>
          <w:tcPr>
            <w:tcW w:w="728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7.03; 7.09</w:t>
            </w:r>
          </w:p>
        </w:tc>
      </w:tr>
      <w:tr>
        <w:trPr>
          <w:trHeight w:val="195"/>
        </w:trPr>
        <w:tc>
          <w:tcPr>
            <w:tcW w:w="20" w:type="dxa"/>
            <w:vAlign w:val="bottom"/>
          </w:tcPr>
          <w:p>
            <w:pPr>
              <w:spacing w:after="0"/>
              <w:rPr>
                <w:sz w:val="16"/>
                <w:szCs w:val="16"/>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311 (a)</w:t>
            </w:r>
          </w:p>
        </w:tc>
        <w:tc>
          <w:tcPr>
            <w:tcW w:w="728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7.11</w:t>
            </w:r>
          </w:p>
        </w:tc>
      </w:tr>
      <w:tr>
        <w:trPr>
          <w:trHeight w:val="195"/>
        </w:trPr>
        <w:tc>
          <w:tcPr>
            <w:tcW w:w="20" w:type="dxa"/>
            <w:vAlign w:val="bottom"/>
          </w:tcPr>
          <w:p>
            <w:pPr>
              <w:spacing w:after="0"/>
              <w:rPr>
                <w:sz w:val="16"/>
                <w:szCs w:val="16"/>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(b)</w:t>
            </w:r>
          </w:p>
        </w:tc>
        <w:tc>
          <w:tcPr>
            <w:tcW w:w="728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7.11</w:t>
            </w:r>
          </w:p>
        </w:tc>
      </w:tr>
      <w:tr>
        <w:trPr>
          <w:trHeight w:val="195"/>
        </w:trPr>
        <w:tc>
          <w:tcPr>
            <w:tcW w:w="20" w:type="dxa"/>
            <w:vAlign w:val="bottom"/>
          </w:tcPr>
          <w:p>
            <w:pPr>
              <w:spacing w:after="0"/>
              <w:rPr>
                <w:sz w:val="16"/>
                <w:szCs w:val="16"/>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312 (a)</w:t>
            </w:r>
          </w:p>
        </w:tc>
        <w:tc>
          <w:tcPr>
            <w:tcW w:w="728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2.07</w:t>
            </w:r>
          </w:p>
        </w:tc>
      </w:tr>
      <w:tr>
        <w:trPr>
          <w:trHeight w:val="195"/>
        </w:trPr>
        <w:tc>
          <w:tcPr>
            <w:tcW w:w="20" w:type="dxa"/>
            <w:vAlign w:val="bottom"/>
          </w:tcPr>
          <w:p>
            <w:pPr>
              <w:spacing w:after="0"/>
              <w:rPr>
                <w:sz w:val="16"/>
                <w:szCs w:val="16"/>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(b)</w:t>
            </w:r>
          </w:p>
        </w:tc>
        <w:tc>
          <w:tcPr>
            <w:tcW w:w="728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12.05</w:t>
            </w:r>
          </w:p>
        </w:tc>
      </w:tr>
      <w:tr>
        <w:trPr>
          <w:trHeight w:val="195"/>
        </w:trPr>
        <w:tc>
          <w:tcPr>
            <w:tcW w:w="20" w:type="dxa"/>
            <w:vAlign w:val="bottom"/>
          </w:tcPr>
          <w:p>
            <w:pPr>
              <w:spacing w:after="0"/>
              <w:rPr>
                <w:sz w:val="16"/>
                <w:szCs w:val="16"/>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w:t>
            </w:r>
          </w:p>
        </w:tc>
        <w:tc>
          <w:tcPr>
            <w:tcW w:w="728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12.05</w:t>
            </w:r>
          </w:p>
        </w:tc>
      </w:tr>
      <w:tr>
        <w:trPr>
          <w:trHeight w:val="195"/>
        </w:trPr>
        <w:tc>
          <w:tcPr>
            <w:tcW w:w="20" w:type="dxa"/>
            <w:vAlign w:val="bottom"/>
          </w:tcPr>
          <w:p>
            <w:pPr>
              <w:spacing w:after="0"/>
              <w:rPr>
                <w:sz w:val="16"/>
                <w:szCs w:val="16"/>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313 (a)</w:t>
            </w:r>
          </w:p>
        </w:tc>
        <w:tc>
          <w:tcPr>
            <w:tcW w:w="728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7.10</w:t>
            </w:r>
          </w:p>
        </w:tc>
      </w:tr>
      <w:tr>
        <w:trPr>
          <w:trHeight w:val="195"/>
        </w:trPr>
        <w:tc>
          <w:tcPr>
            <w:tcW w:w="20" w:type="dxa"/>
            <w:vAlign w:val="bottom"/>
          </w:tcPr>
          <w:p>
            <w:pPr>
              <w:spacing w:after="0"/>
              <w:rPr>
                <w:sz w:val="16"/>
                <w:szCs w:val="16"/>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(b) (1)</w:t>
            </w:r>
          </w:p>
        </w:tc>
        <w:tc>
          <w:tcPr>
            <w:tcW w:w="4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N.A.</w:t>
            </w:r>
          </w:p>
        </w:tc>
      </w:tr>
      <w:tr>
        <w:trPr>
          <w:trHeight w:val="195"/>
        </w:trPr>
        <w:tc>
          <w:tcPr>
            <w:tcW w:w="20" w:type="dxa"/>
            <w:vAlign w:val="bottom"/>
          </w:tcPr>
          <w:p>
            <w:pPr>
              <w:spacing w:after="0"/>
              <w:rPr>
                <w:sz w:val="16"/>
                <w:szCs w:val="16"/>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(b) (2)</w:t>
            </w:r>
          </w:p>
        </w:tc>
        <w:tc>
          <w:tcPr>
            <w:tcW w:w="728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7.10</w:t>
            </w:r>
          </w:p>
        </w:tc>
      </w:tr>
      <w:tr>
        <w:trPr>
          <w:trHeight w:val="195"/>
        </w:trPr>
        <w:tc>
          <w:tcPr>
            <w:tcW w:w="20" w:type="dxa"/>
            <w:vAlign w:val="bottom"/>
          </w:tcPr>
          <w:p>
            <w:pPr>
              <w:spacing w:after="0"/>
              <w:rPr>
                <w:sz w:val="16"/>
                <w:szCs w:val="16"/>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w:t>
            </w:r>
          </w:p>
        </w:tc>
        <w:tc>
          <w:tcPr>
            <w:tcW w:w="728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7.10</w:t>
            </w:r>
          </w:p>
        </w:tc>
      </w:tr>
      <w:tr>
        <w:trPr>
          <w:trHeight w:val="195"/>
        </w:trPr>
        <w:tc>
          <w:tcPr>
            <w:tcW w:w="20" w:type="dxa"/>
            <w:vAlign w:val="bottom"/>
          </w:tcPr>
          <w:p>
            <w:pPr>
              <w:spacing w:after="0"/>
              <w:rPr>
                <w:sz w:val="16"/>
                <w:szCs w:val="16"/>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w:t>
            </w:r>
          </w:p>
        </w:tc>
        <w:tc>
          <w:tcPr>
            <w:tcW w:w="728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7.10</w:t>
            </w:r>
          </w:p>
        </w:tc>
      </w:tr>
      <w:tr>
        <w:trPr>
          <w:trHeight w:val="195"/>
        </w:trPr>
        <w:tc>
          <w:tcPr>
            <w:tcW w:w="20" w:type="dxa"/>
            <w:vAlign w:val="bottom"/>
          </w:tcPr>
          <w:p>
            <w:pPr>
              <w:spacing w:after="0"/>
              <w:rPr>
                <w:sz w:val="16"/>
                <w:szCs w:val="16"/>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314 (a)</w:t>
            </w:r>
          </w:p>
        </w:tc>
        <w:tc>
          <w:tcPr>
            <w:tcW w:w="728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4.03; 12.02; 12.04</w:t>
            </w:r>
          </w:p>
        </w:tc>
      </w:tr>
      <w:tr>
        <w:trPr>
          <w:trHeight w:val="195"/>
        </w:trPr>
        <w:tc>
          <w:tcPr>
            <w:tcW w:w="20" w:type="dxa"/>
            <w:vAlign w:val="bottom"/>
          </w:tcPr>
          <w:p>
            <w:pPr>
              <w:spacing w:after="0"/>
              <w:rPr>
                <w:sz w:val="16"/>
                <w:szCs w:val="16"/>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(b)</w:t>
            </w:r>
          </w:p>
        </w:tc>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N.A.</w:t>
            </w:r>
          </w:p>
        </w:tc>
      </w:tr>
      <w:tr>
        <w:trPr>
          <w:trHeight w:val="195"/>
        </w:trPr>
        <w:tc>
          <w:tcPr>
            <w:tcW w:w="20" w:type="dxa"/>
            <w:vAlign w:val="bottom"/>
          </w:tcPr>
          <w:p>
            <w:pPr>
              <w:spacing w:after="0"/>
              <w:rPr>
                <w:sz w:val="16"/>
                <w:szCs w:val="16"/>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 (1)</w:t>
            </w:r>
          </w:p>
        </w:tc>
        <w:tc>
          <w:tcPr>
            <w:tcW w:w="728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12.03</w:t>
            </w:r>
          </w:p>
        </w:tc>
      </w:tr>
      <w:tr>
        <w:trPr>
          <w:trHeight w:val="195"/>
        </w:trPr>
        <w:tc>
          <w:tcPr>
            <w:tcW w:w="20" w:type="dxa"/>
            <w:vAlign w:val="bottom"/>
          </w:tcPr>
          <w:p>
            <w:pPr>
              <w:spacing w:after="0"/>
              <w:rPr>
                <w:sz w:val="16"/>
                <w:szCs w:val="16"/>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 (2)</w:t>
            </w:r>
          </w:p>
        </w:tc>
        <w:tc>
          <w:tcPr>
            <w:tcW w:w="728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12.03</w:t>
            </w:r>
          </w:p>
        </w:tc>
      </w:tr>
      <w:tr>
        <w:trPr>
          <w:trHeight w:val="195"/>
        </w:trPr>
        <w:tc>
          <w:tcPr>
            <w:tcW w:w="20" w:type="dxa"/>
            <w:vAlign w:val="bottom"/>
          </w:tcPr>
          <w:p>
            <w:pPr>
              <w:spacing w:after="0"/>
              <w:rPr>
                <w:sz w:val="16"/>
                <w:szCs w:val="16"/>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 (3)</w:t>
            </w:r>
          </w:p>
        </w:tc>
        <w:tc>
          <w:tcPr>
            <w:tcW w:w="4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N.A.</w:t>
            </w:r>
          </w:p>
        </w:tc>
      </w:tr>
      <w:tr>
        <w:trPr>
          <w:trHeight w:val="195"/>
        </w:trPr>
        <w:tc>
          <w:tcPr>
            <w:tcW w:w="20" w:type="dxa"/>
            <w:vAlign w:val="bottom"/>
          </w:tcPr>
          <w:p>
            <w:pPr>
              <w:spacing w:after="0"/>
              <w:rPr>
                <w:sz w:val="16"/>
                <w:szCs w:val="16"/>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w:t>
            </w:r>
          </w:p>
        </w:tc>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N.A.</w:t>
            </w:r>
          </w:p>
        </w:tc>
      </w:tr>
      <w:tr>
        <w:trPr>
          <w:trHeight w:val="195"/>
        </w:trPr>
        <w:tc>
          <w:tcPr>
            <w:tcW w:w="20" w:type="dxa"/>
            <w:vAlign w:val="bottom"/>
          </w:tcPr>
          <w:p>
            <w:pPr>
              <w:spacing w:after="0"/>
              <w:rPr>
                <w:sz w:val="16"/>
                <w:szCs w:val="16"/>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(e)</w:t>
            </w:r>
          </w:p>
        </w:tc>
        <w:tc>
          <w:tcPr>
            <w:tcW w:w="728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12.04</w:t>
            </w:r>
          </w:p>
        </w:tc>
      </w:tr>
      <w:tr>
        <w:trPr>
          <w:trHeight w:val="195"/>
        </w:trPr>
        <w:tc>
          <w:tcPr>
            <w:tcW w:w="20" w:type="dxa"/>
            <w:vAlign w:val="bottom"/>
          </w:tcPr>
          <w:p>
            <w:pPr>
              <w:spacing w:after="0"/>
              <w:rPr>
                <w:sz w:val="16"/>
                <w:szCs w:val="16"/>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(f)</w:t>
            </w:r>
          </w:p>
        </w:tc>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N.A.</w:t>
            </w:r>
          </w:p>
        </w:tc>
      </w:tr>
      <w:tr>
        <w:trPr>
          <w:trHeight w:val="195"/>
        </w:trPr>
        <w:tc>
          <w:tcPr>
            <w:tcW w:w="20" w:type="dxa"/>
            <w:vAlign w:val="bottom"/>
          </w:tcPr>
          <w:p>
            <w:pPr>
              <w:spacing w:after="0"/>
              <w:rPr>
                <w:sz w:val="16"/>
                <w:szCs w:val="16"/>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315 (a)</w:t>
            </w:r>
          </w:p>
        </w:tc>
        <w:tc>
          <w:tcPr>
            <w:tcW w:w="728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7.01</w:t>
            </w:r>
          </w:p>
        </w:tc>
      </w:tr>
      <w:tr>
        <w:trPr>
          <w:trHeight w:val="195"/>
        </w:trPr>
        <w:tc>
          <w:tcPr>
            <w:tcW w:w="20" w:type="dxa"/>
            <w:vAlign w:val="bottom"/>
          </w:tcPr>
          <w:p>
            <w:pPr>
              <w:spacing w:after="0"/>
              <w:rPr>
                <w:sz w:val="16"/>
                <w:szCs w:val="16"/>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(b)</w:t>
            </w:r>
          </w:p>
        </w:tc>
        <w:tc>
          <w:tcPr>
            <w:tcW w:w="728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7.05</w:t>
            </w:r>
          </w:p>
        </w:tc>
      </w:tr>
      <w:tr>
        <w:trPr>
          <w:trHeight w:val="195"/>
        </w:trPr>
        <w:tc>
          <w:tcPr>
            <w:tcW w:w="20" w:type="dxa"/>
            <w:vAlign w:val="bottom"/>
          </w:tcPr>
          <w:p>
            <w:pPr>
              <w:spacing w:after="0"/>
              <w:rPr>
                <w:sz w:val="16"/>
                <w:szCs w:val="16"/>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w:t>
            </w:r>
          </w:p>
        </w:tc>
        <w:tc>
          <w:tcPr>
            <w:tcW w:w="728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7.01</w:t>
            </w:r>
          </w:p>
        </w:tc>
      </w:tr>
      <w:tr>
        <w:trPr>
          <w:trHeight w:val="195"/>
        </w:trPr>
        <w:tc>
          <w:tcPr>
            <w:tcW w:w="20" w:type="dxa"/>
            <w:vAlign w:val="bottom"/>
          </w:tcPr>
          <w:p>
            <w:pPr>
              <w:spacing w:after="0"/>
              <w:rPr>
                <w:sz w:val="16"/>
                <w:szCs w:val="16"/>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w:t>
            </w:r>
          </w:p>
        </w:tc>
        <w:tc>
          <w:tcPr>
            <w:tcW w:w="728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7.01</w:t>
            </w:r>
          </w:p>
        </w:tc>
      </w:tr>
      <w:tr>
        <w:trPr>
          <w:trHeight w:val="195"/>
        </w:trPr>
        <w:tc>
          <w:tcPr>
            <w:tcW w:w="20" w:type="dxa"/>
            <w:vAlign w:val="bottom"/>
          </w:tcPr>
          <w:p>
            <w:pPr>
              <w:spacing w:after="0"/>
              <w:rPr>
                <w:sz w:val="16"/>
                <w:szCs w:val="16"/>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(e)</w:t>
            </w:r>
          </w:p>
        </w:tc>
        <w:tc>
          <w:tcPr>
            <w:tcW w:w="728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6.11</w:t>
            </w:r>
          </w:p>
        </w:tc>
      </w:tr>
      <w:tr>
        <w:trPr>
          <w:trHeight w:val="195"/>
        </w:trPr>
        <w:tc>
          <w:tcPr>
            <w:tcW w:w="20" w:type="dxa"/>
            <w:vAlign w:val="bottom"/>
          </w:tcPr>
          <w:p>
            <w:pPr>
              <w:spacing w:after="0"/>
              <w:rPr>
                <w:sz w:val="16"/>
                <w:szCs w:val="16"/>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 (1) (A)</w:t>
            </w:r>
          </w:p>
        </w:tc>
        <w:tc>
          <w:tcPr>
            <w:tcW w:w="728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6.05</w:t>
            </w:r>
          </w:p>
        </w:tc>
      </w:tr>
      <w:tr>
        <w:trPr>
          <w:trHeight w:val="195"/>
        </w:trPr>
        <w:tc>
          <w:tcPr>
            <w:tcW w:w="20" w:type="dxa"/>
            <w:vAlign w:val="bottom"/>
          </w:tcPr>
          <w:p>
            <w:pPr>
              <w:spacing w:after="0"/>
              <w:rPr>
                <w:sz w:val="16"/>
                <w:szCs w:val="16"/>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 (1) (B)</w:t>
            </w:r>
          </w:p>
        </w:tc>
        <w:tc>
          <w:tcPr>
            <w:tcW w:w="728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6.04</w:t>
            </w:r>
          </w:p>
        </w:tc>
      </w:tr>
      <w:tr>
        <w:trPr>
          <w:trHeight w:val="195"/>
        </w:trPr>
        <w:tc>
          <w:tcPr>
            <w:tcW w:w="20" w:type="dxa"/>
            <w:vAlign w:val="bottom"/>
          </w:tcPr>
          <w:p>
            <w:pPr>
              <w:spacing w:after="0"/>
              <w:rPr>
                <w:sz w:val="16"/>
                <w:szCs w:val="16"/>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 (2)</w:t>
            </w:r>
          </w:p>
        </w:tc>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N.A.</w:t>
            </w:r>
          </w:p>
        </w:tc>
      </w:tr>
      <w:tr>
        <w:trPr>
          <w:trHeight w:val="195"/>
        </w:trPr>
        <w:tc>
          <w:tcPr>
            <w:tcW w:w="20" w:type="dxa"/>
            <w:vAlign w:val="bottom"/>
          </w:tcPr>
          <w:p>
            <w:pPr>
              <w:spacing w:after="0"/>
              <w:rPr>
                <w:sz w:val="16"/>
                <w:szCs w:val="16"/>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316 (a) (last sentence)</w:t>
            </w:r>
          </w:p>
        </w:tc>
        <w:tc>
          <w:tcPr>
            <w:tcW w:w="728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2.11</w:t>
            </w:r>
          </w:p>
        </w:tc>
      </w:tr>
      <w:tr>
        <w:trPr>
          <w:trHeight w:val="195"/>
        </w:trPr>
        <w:tc>
          <w:tcPr>
            <w:tcW w:w="20" w:type="dxa"/>
            <w:vAlign w:val="bottom"/>
          </w:tcPr>
          <w:p>
            <w:pPr>
              <w:spacing w:after="0"/>
              <w:rPr>
                <w:sz w:val="16"/>
                <w:szCs w:val="16"/>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(b)</w:t>
            </w:r>
          </w:p>
        </w:tc>
        <w:tc>
          <w:tcPr>
            <w:tcW w:w="728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6.07</w:t>
            </w:r>
          </w:p>
        </w:tc>
      </w:tr>
      <w:tr>
        <w:trPr>
          <w:trHeight w:val="195"/>
        </w:trPr>
        <w:tc>
          <w:tcPr>
            <w:tcW w:w="20" w:type="dxa"/>
            <w:vAlign w:val="bottom"/>
          </w:tcPr>
          <w:p>
            <w:pPr>
              <w:spacing w:after="0"/>
              <w:rPr>
                <w:sz w:val="16"/>
                <w:szCs w:val="16"/>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w:t>
            </w:r>
          </w:p>
        </w:tc>
        <w:tc>
          <w:tcPr>
            <w:tcW w:w="728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8.03</w:t>
            </w:r>
          </w:p>
        </w:tc>
      </w:tr>
      <w:tr>
        <w:trPr>
          <w:trHeight w:val="195"/>
        </w:trPr>
        <w:tc>
          <w:tcPr>
            <w:tcW w:w="20" w:type="dxa"/>
            <w:vAlign w:val="bottom"/>
          </w:tcPr>
          <w:p>
            <w:pPr>
              <w:spacing w:after="0"/>
              <w:rPr>
                <w:sz w:val="16"/>
                <w:szCs w:val="16"/>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317 (a) (1)</w:t>
            </w:r>
          </w:p>
        </w:tc>
        <w:tc>
          <w:tcPr>
            <w:tcW w:w="728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6.08</w:t>
            </w:r>
          </w:p>
        </w:tc>
      </w:tr>
      <w:tr>
        <w:trPr>
          <w:trHeight w:val="195"/>
        </w:trPr>
        <w:tc>
          <w:tcPr>
            <w:tcW w:w="20" w:type="dxa"/>
            <w:vAlign w:val="bottom"/>
          </w:tcPr>
          <w:p>
            <w:pPr>
              <w:spacing w:after="0"/>
              <w:rPr>
                <w:sz w:val="16"/>
                <w:szCs w:val="16"/>
                <w:color w:val="auto"/>
              </w:rPr>
            </w:pPr>
          </w:p>
        </w:tc>
        <w:tc>
          <w:tcPr>
            <w:tcW w:w="3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 (2)</w:t>
            </w:r>
          </w:p>
        </w:tc>
        <w:tc>
          <w:tcPr>
            <w:tcW w:w="728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6.09</w:t>
            </w:r>
          </w:p>
        </w:tc>
      </w:tr>
      <w:tr>
        <w:trPr>
          <w:trHeight w:val="195"/>
        </w:trPr>
        <w:tc>
          <w:tcPr>
            <w:tcW w:w="20" w:type="dxa"/>
            <w:vAlign w:val="bottom"/>
          </w:tcPr>
          <w:p>
            <w:pPr>
              <w:spacing w:after="0"/>
              <w:rPr>
                <w:sz w:val="16"/>
                <w:szCs w:val="16"/>
                <w:color w:val="auto"/>
              </w:rPr>
            </w:pPr>
          </w:p>
        </w:tc>
        <w:tc>
          <w:tcPr>
            <w:tcW w:w="39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(b)</w:t>
            </w:r>
          </w:p>
        </w:tc>
        <w:tc>
          <w:tcPr>
            <w:tcW w:w="728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2.06</w:t>
            </w:r>
          </w:p>
        </w:tc>
      </w:tr>
      <w:tr>
        <w:trPr>
          <w:trHeight w:val="199"/>
        </w:trPr>
        <w:tc>
          <w:tcPr>
            <w:tcW w:w="20" w:type="dxa"/>
            <w:vAlign w:val="bottom"/>
          </w:tcPr>
          <w:p>
            <w:pPr>
              <w:spacing w:after="0"/>
              <w:rPr>
                <w:sz w:val="17"/>
                <w:szCs w:val="17"/>
                <w:color w:val="auto"/>
              </w:rPr>
            </w:pPr>
          </w:p>
        </w:tc>
        <w:tc>
          <w:tcPr>
            <w:tcW w:w="39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318 (a)</w:t>
            </w:r>
          </w:p>
        </w:tc>
        <w:tc>
          <w:tcPr>
            <w:tcW w:w="7280" w:type="dxa"/>
            <w:vAlign w:val="bottom"/>
            <w:tcBorders>
              <w:bottom w:val="single" w:sz="8" w:color="auto"/>
            </w:tcBorders>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12.01</w:t>
            </w:r>
          </w:p>
        </w:tc>
      </w:tr>
      <w:tr>
        <w:trPr>
          <w:trHeight w:val="178"/>
        </w:trPr>
        <w:tc>
          <w:tcPr>
            <w:tcW w:w="20" w:type="dxa"/>
            <w:vAlign w:val="bottom"/>
          </w:tcPr>
          <w:p>
            <w:pPr>
              <w:spacing w:after="0"/>
              <w:rPr>
                <w:sz w:val="15"/>
                <w:szCs w:val="15"/>
                <w:color w:val="auto"/>
              </w:rPr>
            </w:pPr>
          </w:p>
        </w:tc>
        <w:tc>
          <w:tcPr>
            <w:tcW w:w="39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N.A. means not applicable.</w:t>
            </w:r>
          </w:p>
        </w:tc>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240"/>
        </w:trPr>
        <w:tc>
          <w:tcPr>
            <w:tcW w:w="3980" w:type="dxa"/>
            <w:vAlign w:val="bottom"/>
            <w:tcBorders>
              <w:bottom w:val="single" w:sz="8" w:color="808080"/>
            </w:tcBorders>
            <w:gridSpan w:val="2"/>
          </w:tcPr>
          <w:p>
            <w:pPr>
              <w:spacing w:after="0"/>
              <w:rPr>
                <w:sz w:val="20"/>
                <w:szCs w:val="20"/>
                <w:color w:val="auto"/>
              </w:rPr>
            </w:pPr>
            <w:r>
              <w:rPr>
                <w:rFonts w:ascii="Times New Roman" w:cs="Times New Roman" w:eastAsia="Times New Roman" w:hAnsi="Times New Roman"/>
                <w:sz w:val="16"/>
                <w:szCs w:val="16"/>
                <w:color w:val="auto"/>
              </w:rPr>
              <w:t>*  This Cross Reference Table is not part of the Indenture.</w:t>
            </w:r>
          </w:p>
        </w:tc>
        <w:tc>
          <w:tcPr>
            <w:tcW w:w="492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2260" w:type="dxa"/>
            <w:vAlign w:val="bottom"/>
            <w:tcBorders>
              <w:bottom w:val="single" w:sz="8" w:color="808080"/>
            </w:tcBorders>
          </w:tcPr>
          <w:p>
            <w:pPr>
              <w:spacing w:after="0"/>
              <w:rPr>
                <w:sz w:val="20"/>
                <w:szCs w:val="20"/>
                <w:color w:val="auto"/>
              </w:rPr>
            </w:pPr>
          </w:p>
        </w:tc>
      </w:tr>
    </w:tbl>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20" w:type="dxa"/>
            <w:vAlign w:val="bottom"/>
          </w:tcPr>
          <w:p>
            <w:pPr>
              <w:ind w:left="36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160" w:type="dxa"/>
            <w:vAlign w:val="bottom"/>
            <w:gridSpan w:val="2"/>
          </w:tcPr>
          <w:p>
            <w:pPr>
              <w:ind w:left="178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2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ARTICLE I</w:t>
            </w: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2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DEFINITIONS AND INCORPORATION BY REFERENCE</w:t>
            </w: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080" w:type="dxa"/>
            <w:vAlign w:val="bottom"/>
          </w:tcPr>
          <w:p>
            <w:pPr>
              <w:spacing w:after="0"/>
              <w:rPr>
                <w:sz w:val="17"/>
                <w:szCs w:val="17"/>
                <w:color w:val="auto"/>
              </w:rPr>
            </w:pPr>
          </w:p>
        </w:tc>
        <w:tc>
          <w:tcPr>
            <w:tcW w:w="80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1.01.</w:t>
            </w:r>
          </w:p>
        </w:tc>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Definitions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1.02.</w:t>
            </w:r>
          </w:p>
        </w:tc>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Definitions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1.03.</w:t>
            </w:r>
          </w:p>
        </w:tc>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Rules of Construction</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1.04.</w:t>
            </w:r>
          </w:p>
        </w:tc>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Incorporation by Reference of Trust Indenture Act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2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ARTICLE II</w:t>
            </w: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2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rPr>
              <w:t>THE SECURITIES</w:t>
            </w:r>
          </w:p>
        </w:tc>
        <w:tc>
          <w:tcPr>
            <w:tcW w:w="2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08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2.01.</w:t>
            </w:r>
          </w:p>
        </w:tc>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Terms of the Securities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2.02.</w:t>
            </w:r>
          </w:p>
        </w:tc>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Amount Unlimited; Issuable in Series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2.03.</w:t>
            </w:r>
          </w:p>
        </w:tc>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Execution and Authentication</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2.04.</w:t>
            </w:r>
          </w:p>
        </w:tc>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Forms of Certificate of Authentication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2.05.</w:t>
            </w:r>
          </w:p>
        </w:tc>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Registrar and Paying Agent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2.06.</w:t>
            </w:r>
          </w:p>
        </w:tc>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Paying Agent To Hold Money in Trust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2.07.</w:t>
            </w:r>
          </w:p>
        </w:tc>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Holder Lists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2.08.</w:t>
            </w:r>
          </w:p>
        </w:tc>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Transfer and Exchange</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2.09.</w:t>
            </w:r>
          </w:p>
        </w:tc>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Replacement Securities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2.10.</w:t>
            </w:r>
          </w:p>
        </w:tc>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Outstanding Securities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2.11.</w:t>
            </w:r>
          </w:p>
        </w:tc>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Treasury Securities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2.12.</w:t>
            </w:r>
          </w:p>
        </w:tc>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Temporary Securities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2.13.</w:t>
            </w:r>
          </w:p>
        </w:tc>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Cancellation</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2.14.</w:t>
            </w:r>
          </w:p>
        </w:tc>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Defaulted Interest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2.15.</w:t>
            </w:r>
          </w:p>
        </w:tc>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Identifying Number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2.16.</w:t>
            </w:r>
          </w:p>
        </w:tc>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Deposit of Moneys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2.17.</w:t>
            </w:r>
          </w:p>
        </w:tc>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Global Securities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2.18.</w:t>
            </w:r>
          </w:p>
        </w:tc>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Additional Securities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2.19.</w:t>
            </w:r>
          </w:p>
        </w:tc>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Computation of Interest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2.20.</w:t>
            </w:r>
          </w:p>
        </w:tc>
        <w:tc>
          <w:tcPr>
            <w:tcW w:w="8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Currency of Payments in Respect of Securities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2.21.</w:t>
            </w:r>
          </w:p>
        </w:tc>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Judgments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20" w:type="dxa"/>
            <w:vAlign w:val="bottom"/>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rPr>
              <w:t>ARTICLE III</w:t>
            </w:r>
          </w:p>
        </w:tc>
        <w:tc>
          <w:tcPr>
            <w:tcW w:w="2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2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REDEMPTION AND PREPAYMENT</w:t>
            </w: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3.01.</w:t>
            </w:r>
          </w:p>
        </w:tc>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Applicability of Right of Redemption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3.02.</w:t>
            </w:r>
          </w:p>
        </w:tc>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Election To Redeem; Notices to Trustee</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3.03.</w:t>
            </w:r>
          </w:p>
        </w:tc>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Selection by Trustee of Securities To Be Redeemed</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3.04.</w:t>
            </w:r>
          </w:p>
        </w:tc>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Notice of Redemption</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3.05.</w:t>
            </w:r>
          </w:p>
        </w:tc>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Effect of Notice of Redemption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3.06.</w:t>
            </w:r>
          </w:p>
        </w:tc>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Deposit of Redemption Price</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3.07.</w:t>
            </w:r>
          </w:p>
        </w:tc>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Securities Redeemed in Part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2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ARTICLE IV</w:t>
            </w: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2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rPr>
              <w:t>COVENANTS</w:t>
            </w:r>
          </w:p>
        </w:tc>
        <w:tc>
          <w:tcPr>
            <w:tcW w:w="2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08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4.01.</w:t>
            </w:r>
          </w:p>
        </w:tc>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 of Principal, Premium and Interest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4.02.</w:t>
            </w:r>
          </w:p>
        </w:tc>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Maintenance of Office or Agency</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4.03.</w:t>
            </w:r>
          </w:p>
        </w:tc>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Reports to Holders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4.04.</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Guarantees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4.05.</w:t>
            </w:r>
          </w:p>
        </w:tc>
        <w:tc>
          <w:tcPr>
            <w:tcW w:w="7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Compliance Certificate</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92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92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8"/>
              </w:rPr>
              <w:t>ARTICLE V</w:t>
            </w: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92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rPr>
              <w:t>SUCCESSORS</w:t>
            </w:r>
          </w:p>
        </w:tc>
        <w:tc>
          <w:tcPr>
            <w:tcW w:w="22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08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5.01.</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Consolidation, Merger and Sale of Assets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92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rPr>
              <w:t>ARTICLE VI</w:t>
            </w:r>
          </w:p>
        </w:tc>
        <w:tc>
          <w:tcPr>
            <w:tcW w:w="22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92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rPr>
              <w:t>DEFAULTS AND REMEDIES</w:t>
            </w: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92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6.01.</w:t>
            </w:r>
          </w:p>
        </w:tc>
        <w:tc>
          <w:tcPr>
            <w:tcW w:w="7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Events of Default</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6.02.</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Acceleration of Maturity; Rescission</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6.03.</w:t>
            </w:r>
          </w:p>
        </w:tc>
        <w:tc>
          <w:tcPr>
            <w:tcW w:w="7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Remedies</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6.04.</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Waiver of Past Defaults and Events of Default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6.05.</w:t>
            </w:r>
          </w:p>
        </w:tc>
        <w:tc>
          <w:tcPr>
            <w:tcW w:w="7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Control by Majority</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6.06.</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Limitation on Suits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6.07.</w:t>
            </w:r>
          </w:p>
        </w:tc>
        <w:tc>
          <w:tcPr>
            <w:tcW w:w="7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Rights of Holders To Receive Payment</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6.08.</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Collection Suit by Trustee</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6.09.</w:t>
            </w:r>
          </w:p>
        </w:tc>
        <w:tc>
          <w:tcPr>
            <w:tcW w:w="7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Trustee May File Proofs of Claim</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6.10.</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Priorities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6.11.</w:t>
            </w:r>
          </w:p>
        </w:tc>
        <w:tc>
          <w:tcPr>
            <w:tcW w:w="7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Undertaking for Costs</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6.12.</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Delay or Omission Not Waiver</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92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rPr>
              <w:t>ARTICLE VII</w:t>
            </w:r>
          </w:p>
        </w:tc>
        <w:tc>
          <w:tcPr>
            <w:tcW w:w="22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92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TRUSTEE</w:t>
            </w: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92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7.01.</w:t>
            </w:r>
          </w:p>
        </w:tc>
        <w:tc>
          <w:tcPr>
            <w:tcW w:w="7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Duties of Trustee</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7.02.</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Rights of Trustee</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7.03.</w:t>
            </w:r>
          </w:p>
        </w:tc>
        <w:tc>
          <w:tcPr>
            <w:tcW w:w="7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Individual Rights of Trustee</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7.04.</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Trustee’s Disclaimer</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7.05.</w:t>
            </w:r>
          </w:p>
        </w:tc>
        <w:tc>
          <w:tcPr>
            <w:tcW w:w="7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Notice of Defaults</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7.06.</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and Indemnity</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7.07.</w:t>
            </w:r>
          </w:p>
        </w:tc>
        <w:tc>
          <w:tcPr>
            <w:tcW w:w="7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Replacement of Trustee</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7.08.</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Successor Trustee by Consolidation, Merger, etc.</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7.09.</w:t>
            </w:r>
          </w:p>
        </w:tc>
        <w:tc>
          <w:tcPr>
            <w:tcW w:w="7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Eligibility; Disqualification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7.10.</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Reports by Trustee to Holders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7.11.</w:t>
            </w:r>
          </w:p>
        </w:tc>
        <w:tc>
          <w:tcPr>
            <w:tcW w:w="7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Preferential Collection of Claims Against Company</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7.12.</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Appointment of Authenticating Agent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92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8"/>
              </w:rPr>
              <w:t>ARTICLE VIII</w:t>
            </w:r>
          </w:p>
        </w:tc>
        <w:tc>
          <w:tcPr>
            <w:tcW w:w="22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92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rPr>
              <w:t>AMENDMENT, SUPPLEMENT AND WAIVER</w:t>
            </w: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92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8.01.</w:t>
            </w:r>
          </w:p>
        </w:tc>
        <w:tc>
          <w:tcPr>
            <w:tcW w:w="7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Without Consent of Holders</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8.02.</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With Consent of Holders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8.03.</w:t>
            </w:r>
          </w:p>
        </w:tc>
        <w:tc>
          <w:tcPr>
            <w:tcW w:w="7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Revocation and Effect of Consents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8.04.</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Notation on or Exchange of Securities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8.05.</w:t>
            </w:r>
          </w:p>
        </w:tc>
        <w:tc>
          <w:tcPr>
            <w:tcW w:w="7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Trustee To Sign Amendments, etc.</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8.06.</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Compliance with Trust Indenture Act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Section 8.07.</w:t>
            </w:r>
          </w:p>
        </w:tc>
        <w:tc>
          <w:tcPr>
            <w:tcW w:w="7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Effect of Execution of Supplemental Indenture</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8.08.</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Subordination Unimpaired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19" w:name="page120"/>
    <w:bookmarkEnd w:id="119"/>
    <w:p>
      <w:pPr>
        <w:jc w:val="center"/>
        <w:ind w:right="600"/>
        <w:spacing w:after="0"/>
        <w:rPr>
          <w:sz w:val="20"/>
          <w:szCs w:val="20"/>
          <w:color w:val="auto"/>
        </w:rPr>
      </w:pPr>
      <w:r>
        <w:rPr>
          <w:rFonts w:ascii="Times New Roman" w:cs="Times New Roman" w:eastAsia="Times New Roman" w:hAnsi="Times New Roman"/>
          <w:sz w:val="16"/>
          <w:szCs w:val="16"/>
          <w:color w:val="auto"/>
        </w:rPr>
        <w:t>ARTICLE IX</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6"/>
          <w:szCs w:val="16"/>
          <w:color w:val="auto"/>
        </w:rPr>
        <w:t>SATISFACTION AND DISCHARGE OF INDENTURE; DEFEASANCE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9.01.</w:t>
            </w: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Applicability of Article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9.02.</w:t>
            </w:r>
          </w:p>
        </w:tc>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Satisfaction and Discharge of Liability on Securities; Defeasance</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9.03.</w:t>
            </w: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Conditions to Defeasance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9.04.</w:t>
            </w:r>
          </w:p>
        </w:tc>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Deposited Money and U.S. Government Obligations To Be Held in Trust; Other Miscellaneous Provisions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9.05.</w:t>
            </w: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Reinstatement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9.06.</w:t>
            </w:r>
          </w:p>
        </w:tc>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Moneys Held by Paying Agent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9.07.</w:t>
            </w: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Moneys Held by Trustee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9.08.</w:t>
            </w:r>
          </w:p>
        </w:tc>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Deposits of Non-U.S. Currencies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5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5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8"/>
              </w:rPr>
              <w:t>ARTICLE X</w:t>
            </w: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5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GUARANTEES</w:t>
            </w:r>
          </w:p>
        </w:tc>
        <w:tc>
          <w:tcPr>
            <w:tcW w:w="15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120" w:type="dxa"/>
            <w:vAlign w:val="bottom"/>
          </w:tcPr>
          <w:p>
            <w:pPr>
              <w:spacing w:after="0"/>
              <w:rPr>
                <w:sz w:val="16"/>
                <w:szCs w:val="16"/>
                <w:color w:val="auto"/>
              </w:rPr>
            </w:pPr>
          </w:p>
        </w:tc>
        <w:tc>
          <w:tcPr>
            <w:tcW w:w="85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10.01.</w:t>
            </w: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Guarantees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10.02.</w:t>
            </w:r>
          </w:p>
        </w:tc>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Severability</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10.03.</w:t>
            </w: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Limitation of Liability</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10.04.</w:t>
            </w:r>
          </w:p>
        </w:tc>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Contribution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10.05.</w:t>
            </w: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Subrogation</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10.06.</w:t>
            </w:r>
          </w:p>
        </w:tc>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Reinstatement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10.07.</w:t>
            </w: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Release of a Guarantor</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10.08.</w:t>
            </w:r>
          </w:p>
        </w:tc>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Benefits Acknowledged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10.09.</w:t>
            </w: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Subordination of Guarantees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5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54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ARTICLE XI</w:t>
            </w:r>
          </w:p>
        </w:tc>
        <w:tc>
          <w:tcPr>
            <w:tcW w:w="15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5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SINKING FUNDS</w:t>
            </w: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5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11.01.</w:t>
            </w:r>
          </w:p>
        </w:tc>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Applicability of Sinking Fund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11.02.</w:t>
            </w: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Mandatory Sinking Fund Obligation</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11.03.</w:t>
            </w:r>
          </w:p>
        </w:tc>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Optional Redemption at Sinking Fund Redemption Price</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11.04.</w:t>
            </w: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Application of Sinking Fund Payment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5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54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ARTICLE XII</w:t>
            </w:r>
          </w:p>
        </w:tc>
        <w:tc>
          <w:tcPr>
            <w:tcW w:w="15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5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MISCELLANEOUS</w:t>
            </w: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5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12.01.</w:t>
            </w:r>
          </w:p>
        </w:tc>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Trust Indenture Act Controls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12.02.</w:t>
            </w: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Notices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12.03.</w:t>
            </w:r>
          </w:p>
        </w:tc>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Certificate and Opinion as to Conditions Precedent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12.04.</w:t>
            </w: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Statements Required in Certificate and Opinion</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12.05.</w:t>
            </w:r>
          </w:p>
        </w:tc>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Communications by Holders with Other Holders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12.06.</w:t>
            </w: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Rules by Trustee and Agents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12.07.</w:t>
            </w:r>
          </w:p>
        </w:tc>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 Personal Liability of Directors, Officers, Employees and Stockholders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12.08.</w:t>
            </w: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Governing Law; Waiver of Jury Trial; Jurisdiction</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12.09.</w:t>
            </w:r>
          </w:p>
        </w:tc>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 Adverse Interpretation of Other Agreements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12.10.</w:t>
            </w: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Successors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12.11.</w:t>
            </w:r>
          </w:p>
        </w:tc>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Separability</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12.12.</w:t>
            </w: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Counterpart Originals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12.13.</w:t>
            </w:r>
          </w:p>
        </w:tc>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Table of Contents, Headings, etc.</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12.14.</w:t>
            </w: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Benefits of Indenture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12.15.</w:t>
            </w:r>
          </w:p>
        </w:tc>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Electronic Delivery</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20" w:name="page121"/>
    <w:bookmarkEnd w:id="120"/>
    <w:p>
      <w:pPr>
        <w:jc w:val="center"/>
        <w:ind w:right="600"/>
        <w:spacing w:after="0"/>
        <w:rPr>
          <w:sz w:val="20"/>
          <w:szCs w:val="20"/>
          <w:color w:val="auto"/>
        </w:rPr>
      </w:pPr>
      <w:r>
        <w:rPr>
          <w:rFonts w:ascii="Times New Roman" w:cs="Times New Roman" w:eastAsia="Times New Roman" w:hAnsi="Times New Roman"/>
          <w:sz w:val="16"/>
          <w:szCs w:val="16"/>
          <w:color w:val="auto"/>
        </w:rPr>
        <w:t>ARTICLE XIII</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6"/>
          <w:szCs w:val="16"/>
          <w:color w:val="auto"/>
        </w:rPr>
        <w:t>SUBORDINATION OF SECURITIES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13.01.</w:t>
            </w:r>
          </w:p>
        </w:tc>
        <w:tc>
          <w:tcPr>
            <w:tcW w:w="8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Applicability of Article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13.02.</w:t>
            </w:r>
          </w:p>
        </w:tc>
        <w:tc>
          <w:tcPr>
            <w:tcW w:w="8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Securities Subordinate to Senior Indebtedness</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13.03.</w:t>
            </w:r>
          </w:p>
        </w:tc>
        <w:tc>
          <w:tcPr>
            <w:tcW w:w="8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 Over of Proceeds Upon Dissolution, Etc.</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13.04.</w:t>
            </w:r>
          </w:p>
        </w:tc>
        <w:tc>
          <w:tcPr>
            <w:tcW w:w="8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 Payment When Senior Indebtedness of the Company in Default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13.05.</w:t>
            </w:r>
          </w:p>
        </w:tc>
        <w:tc>
          <w:tcPr>
            <w:tcW w:w="8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 Permitted if No Default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13.06.</w:t>
            </w:r>
          </w:p>
        </w:tc>
        <w:tc>
          <w:tcPr>
            <w:tcW w:w="8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Subrogation to Rights of Holders of Senior Indebtedness of the Company</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13.07.</w:t>
            </w:r>
          </w:p>
        </w:tc>
        <w:tc>
          <w:tcPr>
            <w:tcW w:w="8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Provisions Solely to Define Relative Rights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13.08.</w:t>
            </w:r>
          </w:p>
        </w:tc>
        <w:tc>
          <w:tcPr>
            <w:tcW w:w="8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Trustee to Effectuate Subordination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13.09.</w:t>
            </w:r>
          </w:p>
        </w:tc>
        <w:tc>
          <w:tcPr>
            <w:tcW w:w="8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 Waiver of Subordination Provisions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13.10.</w:t>
            </w:r>
          </w:p>
        </w:tc>
        <w:tc>
          <w:tcPr>
            <w:tcW w:w="8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Notice to Trustee</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13.11.</w:t>
            </w:r>
          </w:p>
        </w:tc>
        <w:tc>
          <w:tcPr>
            <w:tcW w:w="8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Reliance on Judicial Order or Certificate of Liquidating Agent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13.12.</w:t>
            </w:r>
          </w:p>
        </w:tc>
        <w:tc>
          <w:tcPr>
            <w:tcW w:w="8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Trustee Not Fiduciary for Holders of Senior Indebtedness of the Company</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13.13.</w:t>
            </w:r>
          </w:p>
        </w:tc>
        <w:tc>
          <w:tcPr>
            <w:tcW w:w="8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Rights of Trustee as Holder of Senior Indebtedness of the Company; Preservation of Trustee’s Rights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13.14.</w:t>
            </w:r>
          </w:p>
        </w:tc>
        <w:tc>
          <w:tcPr>
            <w:tcW w:w="8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Article Applicable to Paying Agents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13.15.</w:t>
            </w:r>
          </w:p>
        </w:tc>
        <w:tc>
          <w:tcPr>
            <w:tcW w:w="8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Defeasance of this Article XIII</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12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EXHIBIT A</w:t>
            </w:r>
          </w:p>
        </w:tc>
        <w:tc>
          <w:tcPr>
            <w:tcW w:w="8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FORM OF NOTATION OF GUARANTEE</w:t>
            </w:r>
          </w:p>
        </w:tc>
        <w:tc>
          <w:tcPr>
            <w:tcW w:w="1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21" w:name="page122"/>
    <w:bookmarkEnd w:id="121"/>
    <w:p>
      <w:pPr>
        <w:ind w:right="140" w:firstLine="585"/>
        <w:spacing w:after="0" w:line="288" w:lineRule="auto"/>
        <w:rPr>
          <w:sz w:val="20"/>
          <w:szCs w:val="20"/>
          <w:color w:val="auto"/>
        </w:rPr>
      </w:pPr>
      <w:r>
        <w:rPr>
          <w:rFonts w:ascii="Times New Roman" w:cs="Times New Roman" w:eastAsia="Times New Roman" w:hAnsi="Times New Roman"/>
          <w:sz w:val="16"/>
          <w:szCs w:val="16"/>
          <w:color w:val="auto"/>
        </w:rPr>
        <w:t>SUBORDINATED INDENTURE, dated as of , , among Viatris Inc., a Delaware corporation, as issuer, the Guarantors (as defined in Section 1.01) and The Bank of New York Mellon, a New York banking corporation, as trustee.</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Each party agrees as follows for the benefit of the other parties and for the equal and ratable benefit of the Holders of the Securities.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DEFINITIONS AND INCORPORATION BY REFERENCE</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1.01. Definitions.</w:t>
      </w:r>
    </w:p>
    <w:p>
      <w:pPr>
        <w:spacing w:after="0" w:line="206" w:lineRule="exact"/>
        <w:rPr>
          <w:sz w:val="20"/>
          <w:szCs w:val="20"/>
          <w:color w:val="auto"/>
        </w:rPr>
      </w:pPr>
    </w:p>
    <w:p>
      <w:pPr>
        <w:ind w:right="42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Additional Securities</w:t>
      </w:r>
      <w:r>
        <w:rPr>
          <w:rFonts w:ascii="Times New Roman" w:cs="Times New Roman" w:eastAsia="Times New Roman" w:hAnsi="Times New Roman"/>
          <w:sz w:val="16"/>
          <w:szCs w:val="16"/>
          <w:color w:val="auto"/>
        </w:rPr>
        <w:t>” means, with respect to a series of Securities, additional Securities of such series (other than the Initial Securities of such series) issued hereunder from time to time in accordance with Sections 2.02 and 2.18, as part of the same or a different series as the Initial Securities of such series.</w:t>
      </w:r>
    </w:p>
    <w:p>
      <w:pPr>
        <w:spacing w:after="0" w:line="138" w:lineRule="exact"/>
        <w:rPr>
          <w:sz w:val="20"/>
          <w:szCs w:val="20"/>
          <w:color w:val="auto"/>
        </w:rPr>
      </w:pPr>
    </w:p>
    <w:p>
      <w:pPr>
        <w:ind w:right="100" w:firstLine="585"/>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Affiliate</w:t>
      </w:r>
      <w:r>
        <w:rPr>
          <w:rFonts w:ascii="Times New Roman" w:cs="Times New Roman" w:eastAsia="Times New Roman" w:hAnsi="Times New Roman"/>
          <w:sz w:val="16"/>
          <w:szCs w:val="16"/>
          <w:color w:val="auto"/>
        </w:rPr>
        <w:t>” means, with respect to any specified Person,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ownership of voting securities, by contract or otherwise; and the terms “controlling” and “controlled” have meanings correlative to the foregoing. No Person (other than the Company or any Subsidiary of the Company) in whom a Receivables Entity makes an Investment in connection with a Qualified Receivables Transaction will be deemed to be an Affiliate of the Company or any of its Subsidiaries solely by reason of such Investment.</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Agent</w:t>
      </w:r>
      <w:r>
        <w:rPr>
          <w:rFonts w:ascii="Times New Roman" w:cs="Times New Roman" w:eastAsia="Times New Roman" w:hAnsi="Times New Roman"/>
          <w:sz w:val="16"/>
          <w:szCs w:val="16"/>
          <w:color w:val="auto"/>
        </w:rPr>
        <w:t>” means any Registrar, co-Registrar or Paying Agent.</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amend</w:t>
      </w:r>
      <w:r>
        <w:rPr>
          <w:rFonts w:ascii="Times New Roman" w:cs="Times New Roman" w:eastAsia="Times New Roman" w:hAnsi="Times New Roman"/>
          <w:sz w:val="16"/>
          <w:szCs w:val="16"/>
          <w:color w:val="auto"/>
        </w:rPr>
        <w:t>” means amend, modify, supplement, restate or amend and restate, including successively; and “</w:t>
      </w:r>
      <w:r>
        <w:rPr>
          <w:rFonts w:ascii="Times New Roman" w:cs="Times New Roman" w:eastAsia="Times New Roman" w:hAnsi="Times New Roman"/>
          <w:sz w:val="16"/>
          <w:szCs w:val="16"/>
          <w:i w:val="1"/>
          <w:iCs w:val="1"/>
          <w:color w:val="auto"/>
        </w:rPr>
        <w:t>amending</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amended</w:t>
      </w:r>
      <w:r>
        <w:rPr>
          <w:rFonts w:ascii="Times New Roman" w:cs="Times New Roman" w:eastAsia="Times New Roman" w:hAnsi="Times New Roman"/>
          <w:sz w:val="16"/>
          <w:szCs w:val="16"/>
          <w:color w:val="auto"/>
        </w:rPr>
        <w:t>” have correlative meanings.</w:t>
      </w:r>
    </w:p>
    <w:p>
      <w:pPr>
        <w:spacing w:after="0" w:line="206" w:lineRule="exact"/>
        <w:rPr>
          <w:sz w:val="20"/>
          <w:szCs w:val="20"/>
          <w:color w:val="auto"/>
        </w:rPr>
      </w:pPr>
    </w:p>
    <w:p>
      <w:pPr>
        <w:ind w:firstLine="585"/>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Attributable Debt</w:t>
      </w:r>
      <w:r>
        <w:rPr>
          <w:rFonts w:ascii="Times New Roman" w:cs="Times New Roman" w:eastAsia="Times New Roman" w:hAnsi="Times New Roman"/>
          <w:sz w:val="16"/>
          <w:szCs w:val="16"/>
          <w:color w:val="auto"/>
        </w:rPr>
        <w:t xml:space="preserve">” in respect of a Sale Leaseback Transaction means, as at the time of determination, the present value (discounted at the interest rate implicit in the lease, compounded annually) of the total obligations of the lessee for rental payments during the remaining term of the lease included in such Sale Leaseback Transaction (including any period for which such lease has been extended);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such Sale Leaseback Transaction results in a Capital Lease Obligation, the amount of Indebtedness represented thereby will be determined in accordance with the definition of “Capital Lease Obligations.”</w:t>
      </w:r>
    </w:p>
    <w:p>
      <w:pPr>
        <w:spacing w:after="0" w:line="159" w:lineRule="exact"/>
        <w:rPr>
          <w:sz w:val="20"/>
          <w:szCs w:val="20"/>
          <w:color w:val="auto"/>
        </w:rPr>
      </w:pPr>
    </w:p>
    <w:p>
      <w:pPr>
        <w:ind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Attributable Receivables Indebtedness</w:t>
      </w:r>
      <w:r>
        <w:rPr>
          <w:rFonts w:ascii="Times New Roman" w:cs="Times New Roman" w:eastAsia="Times New Roman" w:hAnsi="Times New Roman"/>
          <w:sz w:val="16"/>
          <w:szCs w:val="16"/>
          <w:color w:val="auto"/>
        </w:rPr>
        <w:t>” at any time means the principal amount of Indebtedness which (i) if a Qualified Receivables Transaction is structured as a secured lending agreement, would constitute the principal amount of such Indebtedness or (ii) if a Qualified Receivables Transaction is structured as a purchase agreement, would be outstanding at such time under the Qualified Receivables Transaction if the same were structured as a secured lending agreement rather than a purchase agreement.</w:t>
      </w:r>
    </w:p>
    <w:p>
      <w:pPr>
        <w:spacing w:after="0" w:line="154" w:lineRule="exact"/>
        <w:rPr>
          <w:sz w:val="20"/>
          <w:szCs w:val="20"/>
          <w:color w:val="auto"/>
        </w:rPr>
      </w:pPr>
    </w:p>
    <w:p>
      <w:pPr>
        <w:ind w:right="10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Bankruptcy Law</w:t>
      </w:r>
      <w:r>
        <w:rPr>
          <w:rFonts w:ascii="Times New Roman" w:cs="Times New Roman" w:eastAsia="Times New Roman" w:hAnsi="Times New Roman"/>
          <w:sz w:val="16"/>
          <w:szCs w:val="16"/>
          <w:color w:val="auto"/>
        </w:rPr>
        <w:t>” means Title 11, United States Code, or any similar U.S. Federal or state law, the Netherlands Bankruptcy Act (</w:t>
      </w:r>
      <w:r>
        <w:rPr>
          <w:rFonts w:ascii="Times New Roman" w:cs="Times New Roman" w:eastAsia="Times New Roman" w:hAnsi="Times New Roman"/>
          <w:sz w:val="16"/>
          <w:szCs w:val="16"/>
          <w:i w:val="1"/>
          <w:iCs w:val="1"/>
          <w:color w:val="auto"/>
        </w:rPr>
        <w:t>Faillissementswet</w:t>
      </w:r>
      <w:r>
        <w:rPr>
          <w:rFonts w:ascii="Times New Roman" w:cs="Times New Roman" w:eastAsia="Times New Roman" w:hAnsi="Times New Roman"/>
          <w:sz w:val="16"/>
          <w:szCs w:val="16"/>
          <w:color w:val="auto"/>
        </w:rPr>
        <w:t>) or law of any other jurisdiction relating to bankruptcy, insolvency, winding-up, liquidation, reorganization or relief of debtors.</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Board of Directors</w:t>
      </w:r>
      <w:r>
        <w:rPr>
          <w:rFonts w:ascii="Times New Roman" w:cs="Times New Roman" w:eastAsia="Times New Roman" w:hAnsi="Times New Roman"/>
          <w:sz w:val="16"/>
          <w:szCs w:val="16"/>
          <w:color w:val="auto"/>
        </w:rPr>
        <w:t>” means the board of directors of the Company or any duly authorized committee thereof.</w:t>
      </w:r>
    </w:p>
    <w:p>
      <w:pPr>
        <w:spacing w:after="0" w:line="206" w:lineRule="exact"/>
        <w:rPr>
          <w:sz w:val="20"/>
          <w:szCs w:val="20"/>
          <w:color w:val="auto"/>
        </w:rPr>
      </w:pPr>
    </w:p>
    <w:p>
      <w:pPr>
        <w:ind w:right="32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Business Day</w:t>
      </w:r>
      <w:r>
        <w:rPr>
          <w:rFonts w:ascii="Times New Roman" w:cs="Times New Roman" w:eastAsia="Times New Roman" w:hAnsi="Times New Roman"/>
          <w:sz w:val="16"/>
          <w:szCs w:val="16"/>
          <w:color w:val="auto"/>
        </w:rPr>
        <w:t>” means each Monday, Tuesday, Wednesday, Thursday and Friday which is not a day on which banking institutions in the place of payment for a series of Securities are authorized or obligated by law or executive order to close.</w:t>
      </w:r>
    </w:p>
    <w:p>
      <w:pPr>
        <w:spacing w:after="0" w:line="138" w:lineRule="exact"/>
        <w:rPr>
          <w:sz w:val="20"/>
          <w:szCs w:val="20"/>
          <w:color w:val="auto"/>
        </w:rPr>
      </w:pPr>
    </w:p>
    <w:p>
      <w:pPr>
        <w:ind w:right="280" w:firstLine="585"/>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Capital Lease Obligations</w:t>
      </w:r>
      <w:r>
        <w:rPr>
          <w:rFonts w:ascii="Times New Roman" w:cs="Times New Roman" w:eastAsia="Times New Roman" w:hAnsi="Times New Roman"/>
          <w:sz w:val="16"/>
          <w:szCs w:val="16"/>
          <w:color w:val="auto"/>
        </w:rPr>
        <w:t>” means, with respect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Indenture, the amount of such obligations at any time shall be the capitalized amount thereof at such time determined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212725</wp:posOffset>
            </wp:positionV>
            <wp:extent cx="714565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2" w:name="page123"/>
    <w:bookmarkEnd w:id="122"/>
    <w:p>
      <w:pPr>
        <w:ind w:firstLine="585"/>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Capital Stock</w:t>
      </w:r>
      <w:r>
        <w:rPr>
          <w:rFonts w:ascii="Times New Roman" w:cs="Times New Roman" w:eastAsia="Times New Roman" w:hAnsi="Times New Roman"/>
          <w:sz w:val="16"/>
          <w:szCs w:val="16"/>
          <w:color w:val="auto"/>
        </w:rPr>
        <w:t>” of any Person means any and all shares, interests, participations, rights in or other equivalents (however designated) of such Person’s capital stock, other equity interests whether now outstanding or issued after the Issue Date, partnership interests (whether general or limited), limited liability company interests, any other interest or participation that confers on a Person the right to receive a share of the profits and losses of, or distributions of assets of, the issuing Person, including any Preferred Stock, and any rights (other than debt securities convertible into, or exchangeable for or valued by reference to, Capital Stock until and unless any such debt security is converted into Capital Stock), warrants or options exchangeable for or convertible into such Capital Stock.</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Commission</w:t>
      </w:r>
      <w:r>
        <w:rPr>
          <w:rFonts w:ascii="Times New Roman" w:cs="Times New Roman" w:eastAsia="Times New Roman" w:hAnsi="Times New Roman"/>
          <w:sz w:val="16"/>
          <w:szCs w:val="16"/>
          <w:color w:val="auto"/>
        </w:rPr>
        <w:t>” means the U.S. Securities and Exchange Commission.</w:t>
      </w:r>
    </w:p>
    <w:p>
      <w:pPr>
        <w:spacing w:after="0" w:line="206" w:lineRule="exact"/>
        <w:rPr>
          <w:sz w:val="20"/>
          <w:szCs w:val="20"/>
          <w:color w:val="auto"/>
        </w:rPr>
      </w:pPr>
    </w:p>
    <w:p>
      <w:pPr>
        <w:ind w:right="18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Commodity Price Protection Agreement</w:t>
      </w:r>
      <w:r>
        <w:rPr>
          <w:rFonts w:ascii="Times New Roman" w:cs="Times New Roman" w:eastAsia="Times New Roman" w:hAnsi="Times New Roman"/>
          <w:sz w:val="16"/>
          <w:szCs w:val="16"/>
          <w:color w:val="auto"/>
        </w:rPr>
        <w:t>” means any forward contract, commodity swap, commodity option or other similar financial agreement or arrangement relating to, or the value of which is dependent upon, fluctuations in commodity prices.</w:t>
      </w:r>
    </w:p>
    <w:p>
      <w:pPr>
        <w:spacing w:after="0" w:line="138" w:lineRule="exact"/>
        <w:rPr>
          <w:sz w:val="20"/>
          <w:szCs w:val="20"/>
          <w:color w:val="auto"/>
        </w:rPr>
      </w:pPr>
    </w:p>
    <w:p>
      <w:pPr>
        <w:ind w:right="22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Company</w:t>
      </w:r>
      <w:r>
        <w:rPr>
          <w:rFonts w:ascii="Times New Roman" w:cs="Times New Roman" w:eastAsia="Times New Roman" w:hAnsi="Times New Roman"/>
          <w:sz w:val="16"/>
          <w:szCs w:val="16"/>
          <w:color w:val="auto"/>
        </w:rPr>
        <w:t>” means Viatris Inc., a Delaware corporation, until a successor replaces it in accordance with the applicable provisions of this Indenture and thereafter means the successor serving hereunder and any and all successors thereto hereunder.</w:t>
      </w:r>
    </w:p>
    <w:p>
      <w:pPr>
        <w:spacing w:after="0" w:line="138" w:lineRule="exact"/>
        <w:rPr>
          <w:sz w:val="20"/>
          <w:szCs w:val="20"/>
          <w:color w:val="auto"/>
        </w:rPr>
      </w:pPr>
    </w:p>
    <w:p>
      <w:pPr>
        <w:jc w:val="both"/>
        <w:ind w:right="36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Company Order</w:t>
      </w:r>
      <w:r>
        <w:rPr>
          <w:rFonts w:ascii="Times New Roman" w:cs="Times New Roman" w:eastAsia="Times New Roman" w:hAnsi="Times New Roman"/>
          <w:sz w:val="16"/>
          <w:szCs w:val="16"/>
          <w:color w:val="auto"/>
        </w:rPr>
        <w:t>” means a written request or order signed in the name of the Company by its chairman or executive chairman, as applicable, of the Board of Directors, its chief executive officer or chief financial officer, its president or a vice president, a treasurer, an assistant treasurer, its controller, an assistant controller, its secretary or an assistant secretary, or any other officer designated in an Officer’s Certificate, and delivered to the Trustee.</w:t>
      </w:r>
    </w:p>
    <w:p>
      <w:pPr>
        <w:spacing w:after="0" w:line="154" w:lineRule="exact"/>
        <w:rPr>
          <w:sz w:val="20"/>
          <w:szCs w:val="20"/>
          <w:color w:val="auto"/>
        </w:rPr>
      </w:pPr>
    </w:p>
    <w:p>
      <w:pPr>
        <w:ind w:firstLine="585"/>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Company’s Indenture Obligations</w:t>
      </w:r>
      <w:r>
        <w:rPr>
          <w:rFonts w:ascii="Times New Roman" w:cs="Times New Roman" w:eastAsia="Times New Roman" w:hAnsi="Times New Roman"/>
          <w:sz w:val="16"/>
          <w:szCs w:val="16"/>
          <w:color w:val="auto"/>
        </w:rPr>
        <w:t>” means, with respect to any series of Securities, the Obligations with respect to the Securities of such series of the Company and any other obligor under this Indenture or under the Securities of such series to pay principal, premium, if any, and interest when due and payable, and all other amounts due or to become due, under or in connection with this Indenture and the Securities of such series, and the performance of all other Obligations with respect to the Securities of such series, to the Trustee and to the Holders of the Securities of such series under this Indenture and the Securities of such series, in each case according to the respective terms thereof.</w:t>
      </w:r>
    </w:p>
    <w:p>
      <w:pPr>
        <w:spacing w:after="0" w:line="161" w:lineRule="exact"/>
        <w:rPr>
          <w:sz w:val="20"/>
          <w:szCs w:val="20"/>
          <w:color w:val="auto"/>
        </w:rPr>
      </w:pPr>
    </w:p>
    <w:p>
      <w:pPr>
        <w:jc w:val="both"/>
        <w:ind w:right="20" w:firstLine="585"/>
        <w:spacing w:after="0" w:line="21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Corporate Trust Office</w:t>
      </w:r>
      <w:r>
        <w:rPr>
          <w:rFonts w:ascii="Times New Roman" w:cs="Times New Roman" w:eastAsia="Times New Roman" w:hAnsi="Times New Roman"/>
          <w:sz w:val="16"/>
          <w:szCs w:val="16"/>
          <w:color w:val="auto"/>
        </w:rPr>
        <w:t>” means the office of the Trustee at which at any particular time its corporate trust business in Pittsburgh, Pennsylvania shall be principally administered, which office as of the date of this Indenture is located at 500 Ross Street, 12</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Floor, Pittsburgh, PA 15262, Attention: Corporate Trust Administration, or such other address as the Trustee may designate from time to time by notice to the Holders and the Company.</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corporation</w:t>
      </w:r>
      <w:r>
        <w:rPr>
          <w:rFonts w:ascii="Times New Roman" w:cs="Times New Roman" w:eastAsia="Times New Roman" w:hAnsi="Times New Roman"/>
          <w:sz w:val="16"/>
          <w:szCs w:val="16"/>
          <w:color w:val="auto"/>
        </w:rPr>
        <w:t>” includes corporations, associations, companies (including any limited liability company), business trusts and limited partnerships.</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Currency</w:t>
      </w:r>
      <w:r>
        <w:rPr>
          <w:rFonts w:ascii="Times New Roman" w:cs="Times New Roman" w:eastAsia="Times New Roman" w:hAnsi="Times New Roman"/>
          <w:sz w:val="16"/>
          <w:szCs w:val="16"/>
          <w:color w:val="auto"/>
        </w:rPr>
        <w:t>” means U.S. Dollars or any Foreign Currency.</w:t>
      </w:r>
    </w:p>
    <w:p>
      <w:pPr>
        <w:spacing w:after="0" w:line="206" w:lineRule="exact"/>
        <w:rPr>
          <w:sz w:val="20"/>
          <w:szCs w:val="20"/>
          <w:color w:val="auto"/>
        </w:rPr>
      </w:pPr>
    </w:p>
    <w:p>
      <w:pPr>
        <w:ind w:right="60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Currency Agreement</w:t>
      </w:r>
      <w:r>
        <w:rPr>
          <w:rFonts w:ascii="Times New Roman" w:cs="Times New Roman" w:eastAsia="Times New Roman" w:hAnsi="Times New Roman"/>
          <w:sz w:val="16"/>
          <w:szCs w:val="16"/>
          <w:color w:val="auto"/>
        </w:rPr>
        <w:t>” means one or more of the following agreements which shall be entered into by one or more financial institutions: foreign exchange contracts, currency swap agreements or other similar agreements or arrangements designed to protect against the fluctuations in currency values.</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Custodian</w:t>
      </w:r>
      <w:r>
        <w:rPr>
          <w:rFonts w:ascii="Times New Roman" w:cs="Times New Roman" w:eastAsia="Times New Roman" w:hAnsi="Times New Roman"/>
          <w:sz w:val="16"/>
          <w:szCs w:val="16"/>
          <w:color w:val="auto"/>
        </w:rPr>
        <w:t>” means any receiver, interim receiver, receiver and manager, trustee, assignee, liquidator, custodian, curator or similar official under any Bankruptcy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Law.</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Default</w:t>
      </w:r>
      <w:r>
        <w:rPr>
          <w:rFonts w:ascii="Times New Roman" w:cs="Times New Roman" w:eastAsia="Times New Roman" w:hAnsi="Times New Roman"/>
          <w:sz w:val="16"/>
          <w:szCs w:val="16"/>
          <w:color w:val="auto"/>
        </w:rPr>
        <w:t>” means any event which is, or after notice or passage of time or both would be, an Event of Default.</w:t>
      </w:r>
    </w:p>
    <w:p>
      <w:pPr>
        <w:spacing w:after="0" w:line="206" w:lineRule="exact"/>
        <w:rPr>
          <w:sz w:val="20"/>
          <w:szCs w:val="20"/>
          <w:color w:val="auto"/>
        </w:rPr>
      </w:pPr>
    </w:p>
    <w:p>
      <w:pPr>
        <w:ind w:right="40" w:firstLine="585"/>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Depositary</w:t>
      </w:r>
      <w:r>
        <w:rPr>
          <w:rFonts w:ascii="Times New Roman" w:cs="Times New Roman" w:eastAsia="Times New Roman" w:hAnsi="Times New Roman"/>
          <w:sz w:val="16"/>
          <w:szCs w:val="16"/>
          <w:color w:val="auto"/>
        </w:rPr>
        <w:t>” means, with respect to the Securities issued in the form of one or more Global Securities, the Person designated as the Depositary by the Company pursuant to Section 2.02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Domestic Subsidiary</w:t>
      </w:r>
      <w:r>
        <w:rPr>
          <w:rFonts w:ascii="Times New Roman" w:cs="Times New Roman" w:eastAsia="Times New Roman" w:hAnsi="Times New Roman"/>
          <w:sz w:val="16"/>
          <w:szCs w:val="16"/>
          <w:color w:val="auto"/>
        </w:rPr>
        <w:t>” means any Subsidiary that is not a Foreign Subsidiary.</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3" w:name="page124"/>
    <w:bookmarkEnd w:id="123"/>
    <w:p>
      <w:pPr>
        <w:ind w:right="24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Electronic Means</w:t>
      </w:r>
      <w:r>
        <w:rPr>
          <w:rFonts w:ascii="Times New Roman" w:cs="Times New Roman" w:eastAsia="Times New Roman" w:hAnsi="Times New Roman"/>
          <w:sz w:val="16"/>
          <w:szCs w:val="16"/>
          <w:color w:val="auto"/>
        </w:rPr>
        <w:t>” means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38" w:lineRule="exact"/>
        <w:rPr>
          <w:sz w:val="20"/>
          <w:szCs w:val="20"/>
          <w:color w:val="auto"/>
        </w:rPr>
      </w:pPr>
    </w:p>
    <w:p>
      <w:pPr>
        <w:ind w:right="16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Exchange Act</w:t>
      </w:r>
      <w:r>
        <w:rPr>
          <w:rFonts w:ascii="Times New Roman" w:cs="Times New Roman" w:eastAsia="Times New Roman" w:hAnsi="Times New Roman"/>
          <w:sz w:val="16"/>
          <w:szCs w:val="16"/>
          <w:color w:val="auto"/>
        </w:rPr>
        <w:t>” means the Securities Exchange Act of 1934, as amended, or any successor statute, and the rules and regulations promulgated by the Commission thereunder.</w:t>
      </w:r>
    </w:p>
    <w:p>
      <w:pPr>
        <w:spacing w:after="0" w:line="138" w:lineRule="exact"/>
        <w:rPr>
          <w:sz w:val="20"/>
          <w:szCs w:val="20"/>
          <w:color w:val="auto"/>
        </w:rPr>
      </w:pPr>
    </w:p>
    <w:p>
      <w:pPr>
        <w:ind w:right="80" w:firstLine="585"/>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Fair Market Value</w:t>
      </w:r>
      <w:r>
        <w:rPr>
          <w:rFonts w:ascii="Times New Roman" w:cs="Times New Roman" w:eastAsia="Times New Roman" w:hAnsi="Times New Roman"/>
          <w:sz w:val="16"/>
          <w:szCs w:val="16"/>
          <w:color w:val="auto"/>
        </w:rPr>
        <w:t>” means, with respect to any asset or property, the sale value that would be obtained in an arm’s-length free market transaction between an informed and willing seller under no compulsion to sell and an informed and willing buyer under no compulsion to buy less any present or future taxes, duties, assessments or governmental charges of whatever nature payable as a result of or arising out of the disposition of such asset or property. Fair Market Value shall be determined in good faith by the Company.</w:t>
      </w:r>
    </w:p>
    <w:p>
      <w:pPr>
        <w:spacing w:after="0" w:line="159" w:lineRule="exact"/>
        <w:rPr>
          <w:sz w:val="20"/>
          <w:szCs w:val="20"/>
          <w:color w:val="auto"/>
        </w:rPr>
      </w:pPr>
    </w:p>
    <w:p>
      <w:pPr>
        <w:ind w:right="60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Foreign Currency</w:t>
      </w:r>
      <w:r>
        <w:rPr>
          <w:rFonts w:ascii="Times New Roman" w:cs="Times New Roman" w:eastAsia="Times New Roman" w:hAnsi="Times New Roman"/>
          <w:sz w:val="16"/>
          <w:szCs w:val="16"/>
          <w:color w:val="auto"/>
        </w:rPr>
        <w:t>” means a currency issued by the government of any country other than the United States or a composite currency, the value of which is determined by reference to the values of the currencies of any group of countries.</w:t>
      </w:r>
    </w:p>
    <w:p>
      <w:pPr>
        <w:spacing w:after="0" w:line="138" w:lineRule="exact"/>
        <w:rPr>
          <w:sz w:val="20"/>
          <w:szCs w:val="20"/>
          <w:color w:val="auto"/>
        </w:rPr>
      </w:pPr>
    </w:p>
    <w:p>
      <w:pPr>
        <w:ind w:right="32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Foreign Subsidiary</w:t>
      </w:r>
      <w:r>
        <w:rPr>
          <w:rFonts w:ascii="Times New Roman" w:cs="Times New Roman" w:eastAsia="Times New Roman" w:hAnsi="Times New Roman"/>
          <w:sz w:val="16"/>
          <w:szCs w:val="16"/>
          <w:color w:val="auto"/>
        </w:rPr>
        <w:t>” means a Subsidiary that is not organized, incorporated or existing under the laws of the United States of America or any state or territory thereof or the District of Columbia or is a Subsidiary of such Foreign Subsidiary.</w:t>
      </w:r>
    </w:p>
    <w:p>
      <w:pPr>
        <w:spacing w:after="0" w:line="138" w:lineRule="exact"/>
        <w:rPr>
          <w:sz w:val="20"/>
          <w:szCs w:val="20"/>
          <w:color w:val="auto"/>
        </w:rPr>
      </w:pPr>
    </w:p>
    <w:p>
      <w:pPr>
        <w:ind w:right="16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GAAP</w:t>
      </w:r>
      <w:r>
        <w:rPr>
          <w:rFonts w:ascii="Times New Roman" w:cs="Times New Roman" w:eastAsia="Times New Roman" w:hAnsi="Times New Roman"/>
          <w:sz w:val="16"/>
          <w:szCs w:val="16"/>
          <w:color w:val="auto"/>
        </w:rPr>
        <w:t>” means generally accepted accounting principles in the United States of America as in effect from time to time (except with respect to accounting for capital leases, as to which such principles in effect on December 31, 2018 shall apply), including, without limitation, those set forth in the Financial Accounting Standards Board’s “Accounting Standards Codification” or in such other statements by such other entity as approved by a significant segment of the accounting profession.</w:t>
      </w:r>
    </w:p>
    <w:p>
      <w:pPr>
        <w:spacing w:after="0" w:line="154" w:lineRule="exact"/>
        <w:rPr>
          <w:sz w:val="20"/>
          <w:szCs w:val="20"/>
          <w:color w:val="auto"/>
        </w:rPr>
      </w:pPr>
    </w:p>
    <w:p>
      <w:pPr>
        <w:ind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Global Security</w:t>
      </w:r>
      <w:r>
        <w:rPr>
          <w:rFonts w:ascii="Times New Roman" w:cs="Times New Roman" w:eastAsia="Times New Roman" w:hAnsi="Times New Roman"/>
          <w:sz w:val="16"/>
          <w:szCs w:val="16"/>
          <w:color w:val="auto"/>
        </w:rPr>
        <w:t>” means any Security that evidences all or part of a series of Securities, issued in fully-registered certificated form to the Depositary for such series in accordance with Section 2.17 and bearing the legend prescribed in Section 2.17(a).</w:t>
      </w:r>
    </w:p>
    <w:p>
      <w:pPr>
        <w:spacing w:after="0" w:line="138" w:lineRule="exact"/>
        <w:rPr>
          <w:sz w:val="20"/>
          <w:szCs w:val="20"/>
          <w:color w:val="auto"/>
        </w:rPr>
      </w:pPr>
    </w:p>
    <w:p>
      <w:pPr>
        <w:ind w:right="6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Governmental Authority</w:t>
      </w:r>
      <w:r>
        <w:rPr>
          <w:rFonts w:ascii="Times New Roman" w:cs="Times New Roman" w:eastAsia="Times New Roman" w:hAnsi="Times New Roman"/>
          <w:sz w:val="16"/>
          <w:szCs w:val="16"/>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54" w:lineRule="exact"/>
        <w:rPr>
          <w:sz w:val="20"/>
          <w:szCs w:val="20"/>
          <w:color w:val="auto"/>
        </w:rPr>
      </w:pPr>
    </w:p>
    <w:p>
      <w:pPr>
        <w:ind w:right="50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Guarantee</w:t>
      </w:r>
      <w:r>
        <w:rPr>
          <w:rFonts w:ascii="Times New Roman" w:cs="Times New Roman" w:eastAsia="Times New Roman" w:hAnsi="Times New Roman"/>
          <w:sz w:val="16"/>
          <w:szCs w:val="16"/>
          <w:color w:val="auto"/>
        </w:rPr>
        <w:t>” means any obligation, contingent or otherwise, of any Person directly or indirectly guaranteeing any Indebtedness of any other Person and any obligation, direct or indirect, contingent or otherwise, of such Person:</w:t>
      </w:r>
    </w:p>
    <w:p>
      <w:pPr>
        <w:spacing w:after="0" w:line="140" w:lineRule="exact"/>
        <w:rPr>
          <w:sz w:val="20"/>
          <w:szCs w:val="20"/>
          <w:color w:val="auto"/>
        </w:rPr>
      </w:pPr>
    </w:p>
    <w:p>
      <w:pPr>
        <w:ind w:left="660" w:right="20" w:firstLine="506"/>
        <w:spacing w:after="0" w:line="271" w:lineRule="auto"/>
        <w:tabs>
          <w:tab w:leader="none" w:pos="1761"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156" w:lineRule="exact"/>
        <w:rPr>
          <w:rFonts w:ascii="Times New Roman" w:cs="Times New Roman" w:eastAsia="Times New Roman" w:hAnsi="Times New Roman"/>
          <w:sz w:val="16"/>
          <w:szCs w:val="16"/>
          <w:color w:val="auto"/>
        </w:rPr>
      </w:pPr>
    </w:p>
    <w:p>
      <w:pPr>
        <w:ind w:left="1760" w:hanging="594"/>
        <w:spacing w:after="0"/>
        <w:tabs>
          <w:tab w:leader="none" w:pos="176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entered into for the purpose of assuring in any other manner the obligee against loss in respect thereof (in whole or in part);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the term “Guarantee” shall not include:</w:t>
      </w:r>
    </w:p>
    <w:p>
      <w:pPr>
        <w:spacing w:after="0" w:line="208" w:lineRule="exact"/>
        <w:rPr>
          <w:sz w:val="20"/>
          <w:szCs w:val="20"/>
          <w:color w:val="auto"/>
        </w:rPr>
      </w:pPr>
    </w:p>
    <w:p>
      <w:pPr>
        <w:ind w:left="1760" w:hanging="594"/>
        <w:spacing w:after="0"/>
        <w:tabs>
          <w:tab w:leader="none" w:pos="176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endorsements for collection or deposit in the ordinary course of business; or</w:t>
      </w:r>
    </w:p>
    <w:p>
      <w:pPr>
        <w:spacing w:after="0" w:line="205" w:lineRule="exact"/>
        <w:rPr>
          <w:rFonts w:ascii="Times New Roman" w:cs="Times New Roman" w:eastAsia="Times New Roman" w:hAnsi="Times New Roman"/>
          <w:sz w:val="16"/>
          <w:szCs w:val="16"/>
          <w:color w:val="auto"/>
        </w:rPr>
      </w:pPr>
    </w:p>
    <w:p>
      <w:pPr>
        <w:ind w:left="1760" w:hanging="594"/>
        <w:spacing w:after="0"/>
        <w:tabs>
          <w:tab w:leader="none" w:pos="176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contractual commitment by one Person to invest in another Person.</w:t>
      </w:r>
    </w:p>
    <w:p>
      <w:pPr>
        <w:spacing w:after="0" w:line="204"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i w:val="1"/>
          <w:iCs w:val="1"/>
          <w:color w:val="auto"/>
        </w:rPr>
        <w:t>Guarantee</w:t>
      </w:r>
      <w:r>
        <w:rPr>
          <w:rFonts w:ascii="Times New Roman" w:cs="Times New Roman" w:eastAsia="Times New Roman" w:hAnsi="Times New Roman"/>
          <w:sz w:val="16"/>
          <w:szCs w:val="16"/>
          <w:color w:val="auto"/>
        </w:rPr>
        <w:t>” used as a verb has a corresponding meaning. The term “</w:t>
      </w:r>
      <w:r>
        <w:rPr>
          <w:rFonts w:ascii="Times New Roman" w:cs="Times New Roman" w:eastAsia="Times New Roman" w:hAnsi="Times New Roman"/>
          <w:sz w:val="16"/>
          <w:szCs w:val="16"/>
          <w:i w:val="1"/>
          <w:iCs w:val="1"/>
          <w:color w:val="auto"/>
        </w:rPr>
        <w:t>Guarantor</w:t>
      </w:r>
      <w:r>
        <w:rPr>
          <w:rFonts w:ascii="Times New Roman" w:cs="Times New Roman" w:eastAsia="Times New Roman" w:hAnsi="Times New Roman"/>
          <w:sz w:val="16"/>
          <w:szCs w:val="16"/>
          <w:color w:val="auto"/>
        </w:rPr>
        <w:t xml:space="preserve">” means (i) initially on the execution of this Indenture, each of the entities, if any, listed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attached hereto, and (ii) any other Subsidiary of the Company that Guarantees the Company’s Indenture Obligations from time to time, in each case during such periods that such entity Guarantees the Company’s Indenture Obligations in accordance with the terms of this Indenture.</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4" w:name="page125"/>
    <w:bookmarkEnd w:id="124"/>
    <w:p>
      <w:pPr>
        <w:ind w:right="40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Hedging Obligations</w:t>
      </w:r>
      <w:r>
        <w:rPr>
          <w:rFonts w:ascii="Times New Roman" w:cs="Times New Roman" w:eastAsia="Times New Roman" w:hAnsi="Times New Roman"/>
          <w:sz w:val="16"/>
          <w:szCs w:val="16"/>
          <w:color w:val="auto"/>
        </w:rPr>
        <w:t>” of any Person means the obligations of such Person pursuant to any Interest Rate Agreement, Currency Agreement, Commodity Price Protection Agreement or any other similar agreement or arrangement.</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Holder</w:t>
      </w:r>
      <w:r>
        <w:rPr>
          <w:rFonts w:ascii="Times New Roman" w:cs="Times New Roman" w:eastAsia="Times New Roman" w:hAnsi="Times New Roman"/>
          <w:sz w:val="16"/>
          <w:szCs w:val="16"/>
          <w:color w:val="auto"/>
        </w:rPr>
        <w:t>” means the Person in whose name a Security is registered on the Security register.</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Indebtedness</w:t>
      </w:r>
      <w:r>
        <w:rPr>
          <w:rFonts w:ascii="Times New Roman" w:cs="Times New Roman" w:eastAsia="Times New Roman" w:hAnsi="Times New Roman"/>
          <w:sz w:val="16"/>
          <w:szCs w:val="16"/>
          <w:color w:val="auto"/>
        </w:rPr>
        <w:t>” means, with respect to any Person on any date of determination (without duplication):</w:t>
      </w:r>
    </w:p>
    <w:p>
      <w:pPr>
        <w:spacing w:after="0" w:line="208" w:lineRule="exact"/>
        <w:rPr>
          <w:sz w:val="20"/>
          <w:szCs w:val="20"/>
          <w:color w:val="auto"/>
        </w:rPr>
      </w:pPr>
    </w:p>
    <w:p>
      <w:pPr>
        <w:jc w:val="both"/>
        <w:ind w:left="660" w:right="160" w:firstLine="506"/>
        <w:spacing w:after="0" w:line="271" w:lineRule="auto"/>
        <w:tabs>
          <w:tab w:leader="none" w:pos="177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in respect of (A) indebtedness of such Person for money borrowed and (B) indebtedness evidenced by notes, debentures, bonds or other similar instruments for the payment of which such Person is responsible or liable, including, in each case, any premium on such indebtedness to the extent such premium has become due and payable;</w:t>
      </w:r>
    </w:p>
    <w:p>
      <w:pPr>
        <w:spacing w:after="0" w:line="156" w:lineRule="exact"/>
        <w:rPr>
          <w:rFonts w:ascii="Times New Roman" w:cs="Times New Roman" w:eastAsia="Times New Roman" w:hAnsi="Times New Roman"/>
          <w:sz w:val="16"/>
          <w:szCs w:val="16"/>
          <w:color w:val="auto"/>
        </w:rPr>
      </w:pPr>
    </w:p>
    <w:p>
      <w:pPr>
        <w:ind w:left="1760" w:hanging="594"/>
        <w:spacing w:after="0"/>
        <w:tabs>
          <w:tab w:leader="none" w:pos="17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Capital Lease Obligations of such Person and all Attributable Debt in respect of Sale Leaseback Transactions entered into by such Person;</w:t>
      </w:r>
    </w:p>
    <w:p>
      <w:pPr>
        <w:spacing w:after="0" w:line="205" w:lineRule="exact"/>
        <w:rPr>
          <w:rFonts w:ascii="Times New Roman" w:cs="Times New Roman" w:eastAsia="Times New Roman" w:hAnsi="Times New Roman"/>
          <w:sz w:val="16"/>
          <w:szCs w:val="16"/>
          <w:color w:val="auto"/>
        </w:rPr>
      </w:pPr>
    </w:p>
    <w:p>
      <w:pPr>
        <w:ind w:left="660" w:right="20" w:firstLine="506"/>
        <w:spacing w:after="0" w:line="271" w:lineRule="auto"/>
        <w:tabs>
          <w:tab w:leader="none" w:pos="177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obligations of such Person issued or assumed as the deferred purchase price of Property, all conditional sale obligations of such Person and all obligations of such Person under any title retention agreement (but excluding any accounts payable or other liability to trade creditors arising in the ordinary course of business);</w:t>
      </w:r>
    </w:p>
    <w:p>
      <w:pPr>
        <w:spacing w:after="0" w:line="156" w:lineRule="exact"/>
        <w:rPr>
          <w:rFonts w:ascii="Times New Roman" w:cs="Times New Roman" w:eastAsia="Times New Roman" w:hAnsi="Times New Roman"/>
          <w:sz w:val="16"/>
          <w:szCs w:val="16"/>
          <w:color w:val="auto"/>
        </w:rPr>
      </w:pPr>
    </w:p>
    <w:p>
      <w:pPr>
        <w:jc w:val="both"/>
        <w:ind w:left="660" w:firstLine="506"/>
        <w:spacing w:after="0" w:line="265" w:lineRule="auto"/>
        <w:tabs>
          <w:tab w:leader="none" w:pos="177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obligations of such Person for the reimbursement of any obligor on any letter of credit, bankers’ acceptance or similar credit transaction (other than obligations with respect to letters of credit securing obligations (other than obligations described in clauses (1) through (3) above) entered into in the ordinary course of business of such Person to the extent such letters of credit are not drawn upon or, if and to the extent drawn upon, such drawing is reimbursed no later than the 30th day following payment on the letter of credit);</w:t>
      </w:r>
    </w:p>
    <w:p>
      <w:pPr>
        <w:spacing w:after="0" w:line="161" w:lineRule="exact"/>
        <w:rPr>
          <w:rFonts w:ascii="Times New Roman" w:cs="Times New Roman" w:eastAsia="Times New Roman" w:hAnsi="Times New Roman"/>
          <w:sz w:val="16"/>
          <w:szCs w:val="16"/>
          <w:color w:val="auto"/>
        </w:rPr>
      </w:pPr>
    </w:p>
    <w:p>
      <w:pPr>
        <w:ind w:left="1760" w:hanging="594"/>
        <w:spacing w:after="0"/>
        <w:tabs>
          <w:tab w:leader="none" w:pos="17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not otherwise included in this definition, Hedging Obligations of such Person;</w:t>
      </w:r>
    </w:p>
    <w:p>
      <w:pPr>
        <w:spacing w:after="0" w:line="205" w:lineRule="exact"/>
        <w:rPr>
          <w:rFonts w:ascii="Times New Roman" w:cs="Times New Roman" w:eastAsia="Times New Roman" w:hAnsi="Times New Roman"/>
          <w:sz w:val="16"/>
          <w:szCs w:val="16"/>
          <w:color w:val="auto"/>
        </w:rPr>
      </w:pPr>
    </w:p>
    <w:p>
      <w:pPr>
        <w:ind w:left="1760" w:hanging="594"/>
        <w:spacing w:after="0"/>
        <w:tabs>
          <w:tab w:leader="none" w:pos="17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Attributable Receivables Indebtedness;</w:t>
      </w:r>
    </w:p>
    <w:p>
      <w:pPr>
        <w:spacing w:after="0" w:line="205" w:lineRule="exact"/>
        <w:rPr>
          <w:rFonts w:ascii="Times New Roman" w:cs="Times New Roman" w:eastAsia="Times New Roman" w:hAnsi="Times New Roman"/>
          <w:sz w:val="16"/>
          <w:szCs w:val="16"/>
          <w:color w:val="auto"/>
        </w:rPr>
      </w:pPr>
    </w:p>
    <w:p>
      <w:pPr>
        <w:jc w:val="both"/>
        <w:ind w:left="660" w:right="360" w:firstLine="506"/>
        <w:spacing w:after="0" w:line="288" w:lineRule="auto"/>
        <w:tabs>
          <w:tab w:leader="none" w:pos="177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obligations of the type referred to in clauses (1) through (6) above of other Persons and all dividends of other Persons for the payment of which, in either case, such Person is responsible or liable, directly or indirectly, as obligor, guarantor or otherwise, including by means of any Guarantee; and</w:t>
      </w:r>
    </w:p>
    <w:p>
      <w:pPr>
        <w:spacing w:after="0" w:line="143" w:lineRule="exact"/>
        <w:rPr>
          <w:rFonts w:ascii="Times New Roman" w:cs="Times New Roman" w:eastAsia="Times New Roman" w:hAnsi="Times New Roman"/>
          <w:sz w:val="16"/>
          <w:szCs w:val="16"/>
          <w:color w:val="auto"/>
        </w:rPr>
      </w:pPr>
    </w:p>
    <w:p>
      <w:pPr>
        <w:ind w:left="660" w:right="100" w:firstLine="506"/>
        <w:spacing w:after="0" w:line="271" w:lineRule="auto"/>
        <w:tabs>
          <w:tab w:leader="none" w:pos="177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obligations of the type referred to in clauses (1) through (7) above of other Persons secured by any Lien on any property or asset of such Person (whether or not such obligation is assumed by such Person), the amount of such obligation being deemed to be the lesser of the Fair Market Value of such property or assets and the amount of the obligation so secured.</w:t>
      </w:r>
    </w:p>
    <w:p>
      <w:pPr>
        <w:spacing w:after="0" w:line="156" w:lineRule="exact"/>
        <w:rPr>
          <w:sz w:val="20"/>
          <w:szCs w:val="20"/>
          <w:color w:val="auto"/>
        </w:rPr>
      </w:pPr>
    </w:p>
    <w:p>
      <w:pPr>
        <w:ind w:right="60" w:firstLine="585"/>
        <w:spacing w:after="0" w:line="262" w:lineRule="auto"/>
        <w:rPr>
          <w:sz w:val="20"/>
          <w:szCs w:val="20"/>
          <w:color w:val="auto"/>
        </w:rPr>
      </w:pPr>
      <w:r>
        <w:rPr>
          <w:rFonts w:ascii="Times New Roman" w:cs="Times New Roman" w:eastAsia="Times New Roman" w:hAnsi="Times New Roman"/>
          <w:sz w:val="16"/>
          <w:szCs w:val="16"/>
          <w:color w:val="auto"/>
        </w:rPr>
        <w:t xml:space="preserve">Notwithstanding the foregoing, in connection with the purchase by the Company or any Subsidiary of the Company of any business, the term “Indebtedness” will exclude indemnification, purchase price adjustment, earn-outs, holdbacks, milestones and contingency payment obligations to which the seller may become entitled to the extent such payment is determined by a final closing balance sheet or such payment depends on the performance of such business after the closing;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at the time of closing, the amount of any such payment is not determinable and, to the extent such payment thereafter becomes fixed and determined, the amount is paid within 60 days thereafter.</w:t>
      </w:r>
    </w:p>
    <w:p>
      <w:pPr>
        <w:spacing w:after="0" w:line="163" w:lineRule="exact"/>
        <w:rPr>
          <w:sz w:val="20"/>
          <w:szCs w:val="20"/>
          <w:color w:val="auto"/>
        </w:rPr>
      </w:pPr>
    </w:p>
    <w:p>
      <w:pPr>
        <w:ind w:right="20" w:firstLine="585"/>
        <w:spacing w:after="0" w:line="291" w:lineRule="auto"/>
        <w:rPr>
          <w:sz w:val="20"/>
          <w:szCs w:val="20"/>
          <w:color w:val="auto"/>
        </w:rPr>
      </w:pPr>
      <w:r>
        <w:rPr>
          <w:rFonts w:ascii="Times New Roman" w:cs="Times New Roman" w:eastAsia="Times New Roman" w:hAnsi="Times New Roman"/>
          <w:sz w:val="16"/>
          <w:szCs w:val="16"/>
          <w:color w:val="auto"/>
        </w:rPr>
        <w:t xml:space="preserve">The amount of Indebtedness of any Person at any date shall be the outstanding balance at such date of all obligations as described above;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in the case of Indebtedness sold at a discount, the amount of such Indebtedness at any time will be the accreted value thereof at such time.</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5" w:name="page126"/>
    <w:bookmarkEnd w:id="125"/>
    <w:p>
      <w:pPr>
        <w:ind w:firstLine="585"/>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Indenture</w:t>
      </w:r>
      <w:r>
        <w:rPr>
          <w:rFonts w:ascii="Times New Roman" w:cs="Times New Roman" w:eastAsia="Times New Roman" w:hAnsi="Times New Roman"/>
          <w:sz w:val="16"/>
          <w:szCs w:val="16"/>
          <w:color w:val="auto"/>
        </w:rPr>
        <w:t xml:space="preserve">” means this instrument as originally executed or as it may from time to time be supplemented or amended by one or more indentures supplemental hereto entered into pursuant to the applicable provisions hereof, including, for all purposes of this instrument and any such supplemental indenture, the provisions of the TIA that are deemed to be a part of and govern this instrument and any such supplemental indenture, respectively. The term “Indenture” shall also include the terms of particular series of Securities established as contemplated by Section 2.02;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2.02,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169" w:lineRule="exact"/>
        <w:rPr>
          <w:sz w:val="20"/>
          <w:szCs w:val="20"/>
          <w:color w:val="auto"/>
        </w:rPr>
      </w:pPr>
    </w:p>
    <w:p>
      <w:pPr>
        <w:ind w:right="18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Individual Securities</w:t>
      </w:r>
      <w:r>
        <w:rPr>
          <w:rFonts w:ascii="Times New Roman" w:cs="Times New Roman" w:eastAsia="Times New Roman" w:hAnsi="Times New Roman"/>
          <w:sz w:val="16"/>
          <w:szCs w:val="16"/>
          <w:color w:val="auto"/>
        </w:rPr>
        <w:t>” means a Security that is substantially in the form attached to the supplemental indenture or Company Order authorizing such Security and that is not a Global Security.</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Initial Securities</w:t>
      </w:r>
      <w:r>
        <w:rPr>
          <w:rFonts w:ascii="Times New Roman" w:cs="Times New Roman" w:eastAsia="Times New Roman" w:hAnsi="Times New Roman"/>
          <w:sz w:val="16"/>
          <w:szCs w:val="16"/>
          <w:color w:val="auto"/>
        </w:rPr>
        <w:t>” means, for a series of Securities, the first Securities of such series issued under this Indenture.</w:t>
      </w:r>
    </w:p>
    <w:p>
      <w:pPr>
        <w:spacing w:after="0" w:line="206" w:lineRule="exact"/>
        <w:rPr>
          <w:sz w:val="20"/>
          <w:szCs w:val="20"/>
          <w:color w:val="auto"/>
        </w:rPr>
      </w:pPr>
    </w:p>
    <w:p>
      <w:pPr>
        <w:jc w:val="both"/>
        <w:ind w:right="8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interest</w:t>
      </w:r>
      <w:r>
        <w:rPr>
          <w:rFonts w:ascii="Times New Roman" w:cs="Times New Roman" w:eastAsia="Times New Roman" w:hAnsi="Times New Roman"/>
          <w:sz w:val="16"/>
          <w:szCs w:val="16"/>
          <w:color w:val="auto"/>
        </w:rPr>
        <w:t>” means, unless the context otherwise requires, interest payable on any Securities, and with respect to an Original Issue Discount Security that by its terms bears interest only after the Maturity Date, interest payable after the Maturity Date.</w:t>
      </w:r>
    </w:p>
    <w:p>
      <w:pPr>
        <w:spacing w:after="0" w:line="138" w:lineRule="exact"/>
        <w:rPr>
          <w:sz w:val="20"/>
          <w:szCs w:val="20"/>
          <w:color w:val="auto"/>
        </w:rPr>
      </w:pPr>
    </w:p>
    <w:p>
      <w:pPr>
        <w:ind w:right="64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Interest Payment Date</w:t>
      </w:r>
      <w:r>
        <w:rPr>
          <w:rFonts w:ascii="Times New Roman" w:cs="Times New Roman" w:eastAsia="Times New Roman" w:hAnsi="Times New Roman"/>
          <w:sz w:val="16"/>
          <w:szCs w:val="16"/>
          <w:color w:val="auto"/>
        </w:rPr>
        <w:t>” means, with respect to any Securities, the date specified in such Securities for the payment of any installment of interest on those Securities.</w:t>
      </w:r>
    </w:p>
    <w:p>
      <w:pPr>
        <w:spacing w:after="0" w:line="138" w:lineRule="exact"/>
        <w:rPr>
          <w:sz w:val="20"/>
          <w:szCs w:val="20"/>
          <w:color w:val="auto"/>
        </w:rPr>
      </w:pPr>
    </w:p>
    <w:p>
      <w:pPr>
        <w:jc w:val="both"/>
        <w:ind w:right="6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Interest Rate Agreement</w:t>
      </w:r>
      <w:r>
        <w:rPr>
          <w:rFonts w:ascii="Times New Roman" w:cs="Times New Roman" w:eastAsia="Times New Roman" w:hAnsi="Times New Roman"/>
          <w:sz w:val="16"/>
          <w:szCs w:val="16"/>
          <w:color w:val="auto"/>
        </w:rPr>
        <w:t>” means one or more of the following agreements which shall be entered into by one or more financial institutions: interest rate protection agreements (including, without limitation, interest rate swaps, caps, floors, collars and similar agreements) and/or other types of interest rate hedging agreements from time to time.</w:t>
      </w:r>
    </w:p>
    <w:p>
      <w:pPr>
        <w:spacing w:after="0" w:line="154" w:lineRule="exact"/>
        <w:rPr>
          <w:sz w:val="20"/>
          <w:szCs w:val="20"/>
          <w:color w:val="auto"/>
        </w:rPr>
      </w:pPr>
    </w:p>
    <w:p>
      <w:pPr>
        <w:ind w:right="240" w:firstLine="585"/>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Investment</w:t>
      </w:r>
      <w:r>
        <w:rPr>
          <w:rFonts w:ascii="Times New Roman" w:cs="Times New Roman" w:eastAsia="Times New Roman" w:hAnsi="Times New Roman"/>
          <w:sz w:val="16"/>
          <w:szCs w:val="16"/>
          <w:color w:val="auto"/>
        </w:rPr>
        <w:t>” means, with respect to any Person, directly or indirectly, (i) any advance, loan (including guarantees), or other extension of credit or capital contribution to (by means of any transfer of cash or other property to others), (ii) any payment for property or services for the account or use of others, (iii) any purchase, acquisition or ownership by such Person of any Capital Stock, bonds, notes, debentures or other securities issued by any other Person, or (iv) any other item to the extent required to be reflected as an investment on a consolidated balance sheet of such Person prepared in accordance with GAAP.</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Issue Date</w:t>
      </w:r>
      <w:r>
        <w:rPr>
          <w:rFonts w:ascii="Times New Roman" w:cs="Times New Roman" w:eastAsia="Times New Roman" w:hAnsi="Times New Roman"/>
          <w:sz w:val="16"/>
          <w:szCs w:val="16"/>
          <w:color w:val="auto"/>
        </w:rPr>
        <w:t>” means, with respect to a series of Securities, the date on which such Securities are initially issued.</w:t>
      </w:r>
    </w:p>
    <w:p>
      <w:pPr>
        <w:spacing w:after="0" w:line="206" w:lineRule="exact"/>
        <w:rPr>
          <w:sz w:val="20"/>
          <w:szCs w:val="20"/>
          <w:color w:val="auto"/>
        </w:rPr>
      </w:pPr>
    </w:p>
    <w:p>
      <w:pPr>
        <w:ind w:right="12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Lien</w:t>
      </w:r>
      <w:r>
        <w:rPr>
          <w:rFonts w:ascii="Times New Roman" w:cs="Times New Roman" w:eastAsia="Times New Roman" w:hAnsi="Times New Roman"/>
          <w:sz w:val="16"/>
          <w:szCs w:val="16"/>
          <w:color w:val="auto"/>
        </w:rPr>
        <w:t>” means any mortgage, pledge, security interest, encumbrance, lien or charge of any kind (including any conditional sale or other title retention agreement or lease in the nature thereof).</w:t>
      </w:r>
    </w:p>
    <w:p>
      <w:pPr>
        <w:spacing w:after="0" w:line="138" w:lineRule="exact"/>
        <w:rPr>
          <w:sz w:val="20"/>
          <w:szCs w:val="20"/>
          <w:color w:val="auto"/>
        </w:rPr>
      </w:pPr>
    </w:p>
    <w:p>
      <w:pPr>
        <w:ind w:right="26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Maturity Date</w:t>
      </w:r>
      <w:r>
        <w:rPr>
          <w:rFonts w:ascii="Times New Roman" w:cs="Times New Roman" w:eastAsia="Times New Roman" w:hAnsi="Times New Roman"/>
          <w:sz w:val="16"/>
          <w:szCs w:val="16"/>
          <w:color w:val="auto"/>
        </w:rPr>
        <w:t>,” when used with respect to any Security, means the date on which the principal amount of such Security becomes due and payable as therein or herein provided.</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Mylan Indentures</w:t>
      </w:r>
      <w:r>
        <w:rPr>
          <w:rFonts w:ascii="Times New Roman" w:cs="Times New Roman" w:eastAsia="Times New Roman" w:hAnsi="Times New Roman"/>
          <w:sz w:val="16"/>
          <w:szCs w:val="16"/>
          <w:color w:val="auto"/>
        </w:rPr>
        <w:t>” means the following:</w:t>
      </w:r>
    </w:p>
    <w:p>
      <w:pPr>
        <w:spacing w:after="0" w:line="208" w:lineRule="exact"/>
        <w:rPr>
          <w:sz w:val="20"/>
          <w:szCs w:val="20"/>
          <w:color w:val="auto"/>
        </w:rPr>
      </w:pPr>
    </w:p>
    <w:p>
      <w:pPr>
        <w:ind w:left="1760" w:hanging="593"/>
        <w:spacing w:after="0"/>
        <w:tabs>
          <w:tab w:leader="none" w:pos="1760" w:val="left"/>
        </w:tabs>
        <w:numPr>
          <w:ilvl w:val="0"/>
          <w:numId w:val="10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Indenture dated as of November 29, 2013, between Mylan Inc., as issuer, and The Bank of New York Mellon, as trustee;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ind w:left="580" w:right="20" w:firstLine="587"/>
        <w:spacing w:after="0" w:line="288" w:lineRule="auto"/>
        <w:tabs>
          <w:tab w:leader="none" w:pos="1760" w:val="left"/>
        </w:tabs>
        <w:numPr>
          <w:ilvl w:val="0"/>
          <w:numId w:val="11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First supplemental indenture dated as of November 29, 2013, between Mylan Inc., as issuer, and The Bank of New York Mellon, as trustee, to the indenture dated as of November 29, 2013;</w:t>
      </w:r>
    </w:p>
    <w:p>
      <w:pPr>
        <w:spacing w:after="0" w:line="143" w:lineRule="exact"/>
        <w:rPr>
          <w:rFonts w:ascii="Times New Roman" w:cs="Times New Roman" w:eastAsia="Times New Roman" w:hAnsi="Times New Roman"/>
          <w:sz w:val="16"/>
          <w:szCs w:val="16"/>
          <w:color w:val="010000"/>
        </w:rPr>
      </w:pPr>
    </w:p>
    <w:p>
      <w:pPr>
        <w:ind w:left="580" w:right="320" w:firstLine="587"/>
        <w:spacing w:after="0" w:line="288" w:lineRule="auto"/>
        <w:tabs>
          <w:tab w:leader="none" w:pos="1760" w:val="left"/>
        </w:tabs>
        <w:numPr>
          <w:ilvl w:val="0"/>
          <w:numId w:val="11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Second supplemental indenture dated as of February 27, 2015, among Mylan Inc., as issuer, Mylan N.V., as guarantor, and The Bank of New York Mellon, as trustee, to the indenture dated as of November 29, 2013;</w:t>
      </w:r>
    </w:p>
    <w:p>
      <w:pPr>
        <w:spacing w:after="0" w:line="143" w:lineRule="exact"/>
        <w:rPr>
          <w:rFonts w:ascii="Times New Roman" w:cs="Times New Roman" w:eastAsia="Times New Roman" w:hAnsi="Times New Roman"/>
          <w:sz w:val="16"/>
          <w:szCs w:val="16"/>
          <w:color w:val="010000"/>
        </w:rPr>
      </w:pPr>
    </w:p>
    <w:p>
      <w:pPr>
        <w:ind w:left="580" w:right="460" w:firstLine="587"/>
        <w:spacing w:after="0" w:line="288" w:lineRule="auto"/>
        <w:tabs>
          <w:tab w:leader="none" w:pos="1757" w:val="left"/>
        </w:tabs>
        <w:numPr>
          <w:ilvl w:val="0"/>
          <w:numId w:val="11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Third supplemental indenture dated as of March 12, 2015, among Mylan Inc., as issuer, Mylan N.V., as parent, and The Bank of New York Mellon, as trustee, to the indenture dated as of November 29, 2013;</w:t>
      </w:r>
    </w:p>
    <w:p>
      <w:pPr>
        <w:spacing w:after="0" w:line="143" w:lineRule="exact"/>
        <w:rPr>
          <w:rFonts w:ascii="Times New Roman" w:cs="Times New Roman" w:eastAsia="Times New Roman" w:hAnsi="Times New Roman"/>
          <w:sz w:val="16"/>
          <w:szCs w:val="16"/>
          <w:color w:val="010000"/>
        </w:rPr>
      </w:pPr>
    </w:p>
    <w:p>
      <w:pPr>
        <w:ind w:left="580" w:firstLine="587"/>
        <w:spacing w:after="0" w:line="288" w:lineRule="auto"/>
        <w:tabs>
          <w:tab w:leader="none" w:pos="1760" w:val="left"/>
        </w:tabs>
        <w:numPr>
          <w:ilvl w:val="0"/>
          <w:numId w:val="11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Fourth supplemental indenture dated as of November 16, 2020, among Mylan Inc., Viatris Inc., Utah Acquisition Sub Inc., Mylan II B.V. and The Bank of New York Mellon, as trustee, to the indenture dated as of November 29, 2013;</w:t>
      </w:r>
    </w:p>
    <w:p>
      <w:pPr>
        <w:spacing w:after="0" w:line="143" w:lineRule="exact"/>
        <w:rPr>
          <w:rFonts w:ascii="Times New Roman" w:cs="Times New Roman" w:eastAsia="Times New Roman" w:hAnsi="Times New Roman"/>
          <w:sz w:val="16"/>
          <w:szCs w:val="16"/>
          <w:color w:val="010000"/>
        </w:rPr>
      </w:pPr>
    </w:p>
    <w:p>
      <w:pPr>
        <w:ind w:left="1760" w:hanging="593"/>
        <w:spacing w:after="0"/>
        <w:tabs>
          <w:tab w:leader="none" w:pos="1760" w:val="left"/>
        </w:tabs>
        <w:numPr>
          <w:ilvl w:val="0"/>
          <w:numId w:val="11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Indenture dated as of June 9, 2016, among Mylan N.V., as issuer, Mylan Inc., as guarantor, and The Bank of New York Mellon, as trustee;</w:t>
      </w:r>
    </w:p>
    <w:p>
      <w:pPr>
        <w:spacing w:after="0" w:line="205" w:lineRule="exact"/>
        <w:rPr>
          <w:rFonts w:ascii="Times New Roman" w:cs="Times New Roman" w:eastAsia="Times New Roman" w:hAnsi="Times New Roman"/>
          <w:sz w:val="16"/>
          <w:szCs w:val="16"/>
          <w:color w:val="010000"/>
        </w:rPr>
      </w:pPr>
    </w:p>
    <w:p>
      <w:pPr>
        <w:ind w:left="580" w:right="140" w:firstLine="587"/>
        <w:spacing w:after="0" w:line="288" w:lineRule="auto"/>
        <w:tabs>
          <w:tab w:leader="none" w:pos="1760" w:val="left"/>
        </w:tabs>
        <w:numPr>
          <w:ilvl w:val="0"/>
          <w:numId w:val="11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First supplemental indenture dated as of November 16, 2020, among Viatris Inc., Utah Acquisition Sub Inc., Mylan II B.V., Mylan Inc. and The Bank of New York Mellon, as trustee, to the indenture dated as of June 9, 2016;</w:t>
      </w:r>
    </w:p>
    <w:p>
      <w:pPr>
        <w:spacing w:after="0" w:line="143" w:lineRule="exact"/>
        <w:rPr>
          <w:rFonts w:ascii="Times New Roman" w:cs="Times New Roman" w:eastAsia="Times New Roman" w:hAnsi="Times New Roman"/>
          <w:sz w:val="16"/>
          <w:szCs w:val="16"/>
          <w:color w:val="010000"/>
        </w:rPr>
      </w:pPr>
    </w:p>
    <w:p>
      <w:pPr>
        <w:ind w:left="1760" w:hanging="593"/>
        <w:spacing w:after="0"/>
        <w:tabs>
          <w:tab w:leader="none" w:pos="1760" w:val="left"/>
        </w:tabs>
        <w:numPr>
          <w:ilvl w:val="0"/>
          <w:numId w:val="11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Indenture dated as of November 22, 2016, among Mylan N.V., as issuer, Mylan Inc., as guarantor, and Citibank, N.A., London Branch, as trustee;</w:t>
      </w:r>
    </w:p>
    <w:p>
      <w:pPr>
        <w:spacing w:after="0" w:line="205" w:lineRule="exact"/>
        <w:rPr>
          <w:rFonts w:ascii="Times New Roman" w:cs="Times New Roman" w:eastAsia="Times New Roman" w:hAnsi="Times New Roman"/>
          <w:sz w:val="16"/>
          <w:szCs w:val="16"/>
          <w:color w:val="010000"/>
        </w:rPr>
      </w:pPr>
    </w:p>
    <w:p>
      <w:pPr>
        <w:ind w:left="580" w:right="440" w:firstLine="587"/>
        <w:spacing w:after="0" w:line="288" w:lineRule="auto"/>
        <w:tabs>
          <w:tab w:leader="none" w:pos="1760" w:val="left"/>
        </w:tabs>
        <w:numPr>
          <w:ilvl w:val="0"/>
          <w:numId w:val="11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First supplemental indenture dated as of November 16, 2020, among Viatris Inc., Utah Acquisition Sub Inc., Mylan II B.V., Mylan Inc. and Citibank, N.A., London Branch, as trustee, to the indenture dated as of November 22, 2016;</w:t>
      </w:r>
    </w:p>
    <w:p>
      <w:pPr>
        <w:spacing w:after="0" w:line="143" w:lineRule="exact"/>
        <w:rPr>
          <w:rFonts w:ascii="Times New Roman" w:cs="Times New Roman" w:eastAsia="Times New Roman" w:hAnsi="Times New Roman"/>
          <w:sz w:val="16"/>
          <w:szCs w:val="16"/>
          <w:color w:val="010000"/>
        </w:rPr>
      </w:pPr>
    </w:p>
    <w:p>
      <w:pPr>
        <w:ind w:left="1760" w:hanging="593"/>
        <w:spacing w:after="0"/>
        <w:tabs>
          <w:tab w:leader="none" w:pos="1760" w:val="left"/>
        </w:tabs>
        <w:numPr>
          <w:ilvl w:val="0"/>
          <w:numId w:val="11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Indenture dated as of April 9, 2018, among Mylan Inc., as issuer, Mylan N.V., as guarantor, and The Bank of New York Mellon, as trustee; and</w:t>
      </w:r>
    </w:p>
    <w:p>
      <w:pPr>
        <w:spacing w:after="0" w:line="205" w:lineRule="exact"/>
        <w:rPr>
          <w:rFonts w:ascii="Times New Roman" w:cs="Times New Roman" w:eastAsia="Times New Roman" w:hAnsi="Times New Roman"/>
          <w:sz w:val="16"/>
          <w:szCs w:val="16"/>
          <w:color w:val="010000"/>
        </w:rPr>
      </w:pPr>
    </w:p>
    <w:p>
      <w:pPr>
        <w:ind w:left="580" w:right="140" w:firstLine="587"/>
        <w:spacing w:after="0" w:line="288" w:lineRule="auto"/>
        <w:tabs>
          <w:tab w:leader="none" w:pos="1754" w:val="left"/>
        </w:tabs>
        <w:numPr>
          <w:ilvl w:val="0"/>
          <w:numId w:val="11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First supplemental indenture dated as of November 16, 2020, among Mylan Inc., Viatris Inc., Utah Acquisition Sub Inc., Mylan II B.V. and The Bank of New York Mellon, as trustee, to the indenture dated as of April 9, 2018.</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Mylan Notes</w:t>
      </w:r>
      <w:r>
        <w:rPr>
          <w:rFonts w:ascii="Times New Roman" w:cs="Times New Roman" w:eastAsia="Times New Roman" w:hAnsi="Times New Roman"/>
          <w:sz w:val="16"/>
          <w:szCs w:val="16"/>
          <w:color w:val="auto"/>
        </w:rPr>
        <w:t>” means any senior notes issued under the Mylan Indentures and that remain outstanding on the applicable Issue Date.</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Notation of Guarantee</w:t>
      </w:r>
      <w:r>
        <w:rPr>
          <w:rFonts w:ascii="Times New Roman" w:cs="Times New Roman" w:eastAsia="Times New Roman" w:hAnsi="Times New Roman"/>
          <w:sz w:val="16"/>
          <w:szCs w:val="16"/>
          <w:color w:val="auto"/>
        </w:rPr>
        <w:t xml:space="preserve">” means a notation of guarantee substantially in the form attached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w:t>
      </w:r>
    </w:p>
    <w:p>
      <w:pPr>
        <w:spacing w:after="0" w:line="206" w:lineRule="exact"/>
        <w:rPr>
          <w:sz w:val="20"/>
          <w:szCs w:val="20"/>
          <w:color w:val="auto"/>
        </w:rPr>
      </w:pPr>
    </w:p>
    <w:p>
      <w:pPr>
        <w:ind w:right="4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Obligations</w:t>
      </w:r>
      <w:r>
        <w:rPr>
          <w:rFonts w:ascii="Times New Roman" w:cs="Times New Roman" w:eastAsia="Times New Roman" w:hAnsi="Times New Roman"/>
          <w:sz w:val="16"/>
          <w:szCs w:val="16"/>
          <w:color w:val="auto"/>
        </w:rPr>
        <w:t>” means, with respect to any Indebtedness, all obligations for principal, premium, interest, penalties, fees, indemnifications, reimbursements, and other amounts payable pursuant to the documentation governing such Indebtedness.</w:t>
      </w:r>
    </w:p>
    <w:p>
      <w:pPr>
        <w:spacing w:after="0" w:line="138" w:lineRule="exact"/>
        <w:rPr>
          <w:sz w:val="20"/>
          <w:szCs w:val="20"/>
          <w:color w:val="auto"/>
        </w:rPr>
      </w:pPr>
    </w:p>
    <w:p>
      <w:pPr>
        <w:ind w:right="18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Officer</w:t>
      </w:r>
      <w:r>
        <w:rPr>
          <w:rFonts w:ascii="Times New Roman" w:cs="Times New Roman" w:eastAsia="Times New Roman" w:hAnsi="Times New Roman"/>
          <w:sz w:val="16"/>
          <w:szCs w:val="16"/>
          <w:color w:val="auto"/>
        </w:rPr>
        <w:t>” means the chief executive officer, the president, the chief financial officer or any vice president, any treasurer, any assistant treasurer, the controller, the secretary or any assistant secretary of the specified Person.</w:t>
      </w:r>
    </w:p>
    <w:p>
      <w:pPr>
        <w:spacing w:after="0" w:line="138" w:lineRule="exact"/>
        <w:rPr>
          <w:sz w:val="20"/>
          <w:szCs w:val="20"/>
          <w:color w:val="auto"/>
        </w:rPr>
      </w:pPr>
    </w:p>
    <w:p>
      <w:pPr>
        <w:ind w:right="18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Officer’s Certificate</w:t>
      </w:r>
      <w:r>
        <w:rPr>
          <w:rFonts w:ascii="Times New Roman" w:cs="Times New Roman" w:eastAsia="Times New Roman" w:hAnsi="Times New Roman"/>
          <w:sz w:val="16"/>
          <w:szCs w:val="16"/>
          <w:color w:val="auto"/>
        </w:rPr>
        <w:t>” means a certificate which meets the requirements of Section 12.03, signed by the chairman or executive chairman, as applicable, of the Board of Directors, the chief executive officer, the chief financial officer, the president or a vice president, a treasurer, an assistant treasurer, the controller, the secretary or an assistant secretary of the Company and delivered to the Trustee.</w:t>
      </w:r>
    </w:p>
    <w:p>
      <w:pPr>
        <w:spacing w:after="0" w:line="154" w:lineRule="exact"/>
        <w:rPr>
          <w:sz w:val="20"/>
          <w:szCs w:val="20"/>
          <w:color w:val="auto"/>
        </w:rPr>
      </w:pPr>
    </w:p>
    <w:p>
      <w:pPr>
        <w:ind w:right="36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Opinion of Counsel</w:t>
      </w:r>
      <w:r>
        <w:rPr>
          <w:rFonts w:ascii="Times New Roman" w:cs="Times New Roman" w:eastAsia="Times New Roman" w:hAnsi="Times New Roman"/>
          <w:sz w:val="16"/>
          <w:szCs w:val="16"/>
          <w:color w:val="auto"/>
        </w:rPr>
        <w:t>” means a written opinion which meets the requirements of Section 12.03 from legal counsel, who is reasonably acceptable to the Trustee, delivered to the Trustee. The counsel may be an employee of or counsel to the Company, any Subsidiary of the Company or the Trustee.</w:t>
      </w:r>
    </w:p>
    <w:p>
      <w:pPr>
        <w:spacing w:after="0" w:line="138" w:lineRule="exact"/>
        <w:rPr>
          <w:sz w:val="20"/>
          <w:szCs w:val="20"/>
          <w:color w:val="auto"/>
        </w:rPr>
      </w:pPr>
    </w:p>
    <w:p>
      <w:pPr>
        <w:jc w:val="both"/>
        <w:ind w:right="10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Original Issue Discount Security</w:t>
      </w:r>
      <w:r>
        <w:rPr>
          <w:rFonts w:ascii="Times New Roman" w:cs="Times New Roman" w:eastAsia="Times New Roman" w:hAnsi="Times New Roman"/>
          <w:sz w:val="16"/>
          <w:szCs w:val="16"/>
          <w:color w:val="auto"/>
        </w:rPr>
        <w:t>” means any Security that is issued with “original issue discount” within the meaning of Section 1273(a) of the Internal Revenue Code of 1986, as amended, and Treasury Regulations promulgated thereunder and any other Security designated by the Company as issued with original issue discount for United States federal income tax purposes.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7" w:name="page128"/>
    <w:bookmarkEnd w:id="127"/>
    <w:p>
      <w:pPr>
        <w:ind w:right="38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Person</w:t>
      </w:r>
      <w:r>
        <w:rPr>
          <w:rFonts w:ascii="Times New Roman" w:cs="Times New Roman" w:eastAsia="Times New Roman" w:hAnsi="Times New Roman"/>
          <w:sz w:val="16"/>
          <w:szCs w:val="16"/>
          <w:color w:val="auto"/>
        </w:rPr>
        <w:t>” means any individual, corporation, company (including any limited liability company), association, partnership, joint venture, trust, unincorporated organization, government or any agency or political subdivision thereof or any other entity.</w:t>
      </w:r>
    </w:p>
    <w:p>
      <w:pPr>
        <w:spacing w:after="0" w:line="138" w:lineRule="exact"/>
        <w:rPr>
          <w:sz w:val="20"/>
          <w:szCs w:val="20"/>
          <w:color w:val="auto"/>
        </w:rPr>
      </w:pPr>
    </w:p>
    <w:p>
      <w:pPr>
        <w:ind w:right="4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Place of Payment</w:t>
      </w:r>
      <w:r>
        <w:rPr>
          <w:rFonts w:ascii="Times New Roman" w:cs="Times New Roman" w:eastAsia="Times New Roman" w:hAnsi="Times New Roman"/>
          <w:sz w:val="16"/>
          <w:szCs w:val="16"/>
          <w:color w:val="auto"/>
        </w:rPr>
        <w:t>,” when used with respect to the Securities, means the place or places where the principal of (and premium, if any) and interest on the Securities are payable as specified as contemplated by Section 4.02.</w:t>
      </w:r>
    </w:p>
    <w:p>
      <w:pPr>
        <w:spacing w:after="0" w:line="138" w:lineRule="exact"/>
        <w:rPr>
          <w:sz w:val="20"/>
          <w:szCs w:val="20"/>
          <w:color w:val="auto"/>
        </w:rPr>
      </w:pPr>
    </w:p>
    <w:p>
      <w:pPr>
        <w:ind w:right="12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Preferred Stock</w:t>
      </w:r>
      <w:r>
        <w:rPr>
          <w:rFonts w:ascii="Times New Roman" w:cs="Times New Roman" w:eastAsia="Times New Roman" w:hAnsi="Times New Roman"/>
          <w:sz w:val="16"/>
          <w:szCs w:val="16"/>
          <w:color w:val="auto"/>
        </w:rPr>
        <w:t>,” as applied to the Capital Stock of any Person, means Capital Stock of any class or classes (however designated) which is preferred as to the payment of dividends or distributions, or as to the distribution of assets upon any voluntary or involuntary liquidation or dissolution of such Person, over shares of Capital Stock of any other class of such Person.</w:t>
      </w:r>
    </w:p>
    <w:p>
      <w:pPr>
        <w:spacing w:after="0" w:line="154" w:lineRule="exact"/>
        <w:rPr>
          <w:sz w:val="20"/>
          <w:szCs w:val="20"/>
          <w:color w:val="auto"/>
        </w:rPr>
      </w:pPr>
    </w:p>
    <w:p>
      <w:pPr>
        <w:ind w:right="32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Property</w:t>
      </w:r>
      <w:r>
        <w:rPr>
          <w:rFonts w:ascii="Times New Roman" w:cs="Times New Roman" w:eastAsia="Times New Roman" w:hAnsi="Times New Roman"/>
          <w:sz w:val="16"/>
          <w:szCs w:val="16"/>
          <w:color w:val="auto"/>
        </w:rPr>
        <w:t>” means any right or interest in or to property of any kind whatsoever, whether real, personal or mixed and whether tangible or intangible, including, without limitation, Capital Stock.</w:t>
      </w:r>
    </w:p>
    <w:p>
      <w:pPr>
        <w:spacing w:after="0" w:line="138" w:lineRule="exact"/>
        <w:rPr>
          <w:sz w:val="20"/>
          <w:szCs w:val="20"/>
          <w:color w:val="auto"/>
        </w:rPr>
      </w:pPr>
    </w:p>
    <w:p>
      <w:pPr>
        <w:ind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Qualified Receivables Transaction</w:t>
      </w:r>
      <w:r>
        <w:rPr>
          <w:rFonts w:ascii="Times New Roman" w:cs="Times New Roman" w:eastAsia="Times New Roman" w:hAnsi="Times New Roman"/>
          <w:sz w:val="16"/>
          <w:szCs w:val="16"/>
          <w:color w:val="auto"/>
        </w:rPr>
        <w:t>” means any transaction or series of transactions that may be entered into by the Company or any of its Subsidiaries pursuant to which the Company or any of its Subsidiaries may sell, convey or otherwise transfer to:</w:t>
      </w:r>
    </w:p>
    <w:p>
      <w:pPr>
        <w:spacing w:after="0" w:line="140" w:lineRule="exact"/>
        <w:rPr>
          <w:sz w:val="20"/>
          <w:szCs w:val="20"/>
          <w:color w:val="auto"/>
        </w:rPr>
      </w:pPr>
    </w:p>
    <w:p>
      <w:pPr>
        <w:ind w:left="1160" w:hanging="432"/>
        <w:spacing w:after="0"/>
        <w:tabs>
          <w:tab w:leader="none" w:pos="11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Receivables Entity (in the case of a transfer by the Company or any of its Subsidiaries) or</w:t>
      </w:r>
    </w:p>
    <w:p>
      <w:pPr>
        <w:spacing w:after="0" w:line="205" w:lineRule="exact"/>
        <w:rPr>
          <w:rFonts w:ascii="Times New Roman" w:cs="Times New Roman" w:eastAsia="Times New Roman" w:hAnsi="Times New Roman"/>
          <w:sz w:val="16"/>
          <w:szCs w:val="16"/>
          <w:color w:val="auto"/>
        </w:rPr>
      </w:pPr>
    </w:p>
    <w:p>
      <w:pPr>
        <w:ind w:left="1160" w:hanging="432"/>
        <w:spacing w:after="0"/>
        <w:tabs>
          <w:tab w:leader="none" w:pos="11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Person (in the case of a transfer by a Receivables Entity),</w:t>
      </w:r>
    </w:p>
    <w:p>
      <w:pPr>
        <w:spacing w:after="0" w:line="20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6"/>
          <w:szCs w:val="16"/>
          <w:color w:val="auto"/>
        </w:rPr>
        <w:t xml:space="preserve">or may grant a security interest in, any accounts receivable (whether now existing or arising in the future) of the Company or any of its Subsidiaries, and any assets related thereto, including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financing terms, covenants, termination events and other provisions thereof shall be market terms (as determined in good faith by the chief financial officer of the Company).</w:t>
      </w:r>
    </w:p>
    <w:p>
      <w:pPr>
        <w:spacing w:after="0" w:line="163" w:lineRule="exact"/>
        <w:rPr>
          <w:sz w:val="20"/>
          <w:szCs w:val="20"/>
          <w:color w:val="auto"/>
        </w:rPr>
      </w:pPr>
    </w:p>
    <w:p>
      <w:pPr>
        <w:ind w:right="36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Receivables Entity</w:t>
      </w:r>
      <w:r>
        <w:rPr>
          <w:rFonts w:ascii="Times New Roman" w:cs="Times New Roman" w:eastAsia="Times New Roman" w:hAnsi="Times New Roman"/>
          <w:sz w:val="16"/>
          <w:szCs w:val="16"/>
          <w:color w:val="auto"/>
        </w:rPr>
        <w:t>” means (a) a Wholly Owned Subsidiary of the Company that is designated pursuant to an Officer’s Certificate (as provided below) as a Receivables Entity or (b) another Person engaging in a Qualified Receivables Transaction with the Company, which Person engages in the business of the financing of accounts receivable, and in the case of either of clause (a) or (b):</w:t>
      </w:r>
    </w:p>
    <w:p>
      <w:pPr>
        <w:spacing w:after="0" w:line="156" w:lineRule="exact"/>
        <w:rPr>
          <w:sz w:val="20"/>
          <w:szCs w:val="20"/>
          <w:color w:val="auto"/>
        </w:rPr>
      </w:pPr>
    </w:p>
    <w:p>
      <w:pPr>
        <w:ind w:left="1760" w:hanging="594"/>
        <w:spacing w:after="0"/>
        <w:tabs>
          <w:tab w:leader="none" w:pos="17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portion of the Indebtedness or any other obligations (contingent or otherwise) of such entity:</w:t>
      </w:r>
    </w:p>
    <w:p>
      <w:pPr>
        <w:spacing w:after="0" w:line="205" w:lineRule="exact"/>
        <w:rPr>
          <w:rFonts w:ascii="Times New Roman" w:cs="Times New Roman" w:eastAsia="Times New Roman" w:hAnsi="Times New Roman"/>
          <w:sz w:val="16"/>
          <w:szCs w:val="16"/>
          <w:color w:val="auto"/>
        </w:rPr>
      </w:pPr>
    </w:p>
    <w:p>
      <w:pPr>
        <w:ind w:left="1160" w:right="300" w:firstLine="591"/>
        <w:spacing w:after="0" w:line="288" w:lineRule="auto"/>
        <w:tabs>
          <w:tab w:leader="none" w:pos="2051"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Guaranteed by the Company or any Subsidiary of the Company (excluding Guarantees of obligations (other than the principal of, and interest on, Indebtedness) pursuant to Standard Securitization Undertakings),</w:t>
      </w:r>
    </w:p>
    <w:p>
      <w:pPr>
        <w:spacing w:after="0" w:line="143" w:lineRule="exact"/>
        <w:rPr>
          <w:rFonts w:ascii="Times New Roman" w:cs="Times New Roman" w:eastAsia="Times New Roman" w:hAnsi="Times New Roman"/>
          <w:sz w:val="16"/>
          <w:szCs w:val="16"/>
          <w:color w:val="auto"/>
        </w:rPr>
      </w:pPr>
    </w:p>
    <w:p>
      <w:pPr>
        <w:ind w:left="1160" w:right="460" w:firstLine="591"/>
        <w:spacing w:after="0" w:line="288" w:lineRule="auto"/>
        <w:tabs>
          <w:tab w:leader="none" w:pos="2042"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recourse to or obligates the Company or any Subsidiary of the Company in any way (other than pursuant to Standard Securitization Undertakings), or</w:t>
      </w:r>
    </w:p>
    <w:p>
      <w:pPr>
        <w:spacing w:after="0" w:line="143" w:lineRule="exact"/>
        <w:rPr>
          <w:rFonts w:ascii="Times New Roman" w:cs="Times New Roman" w:eastAsia="Times New Roman" w:hAnsi="Times New Roman"/>
          <w:sz w:val="16"/>
          <w:szCs w:val="16"/>
          <w:color w:val="auto"/>
        </w:rPr>
      </w:pPr>
    </w:p>
    <w:p>
      <w:pPr>
        <w:ind w:left="1160" w:right="280" w:firstLine="591"/>
        <w:spacing w:after="0" w:line="288" w:lineRule="auto"/>
        <w:tabs>
          <w:tab w:leader="none" w:pos="2042"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subjects any property or asset of the Company or any Subsidiary of the Company, directly or indirectly, contingently or otherwise, to the satisfaction thereof (other than pursuant to Standard Securitization Undertakings);</w:t>
      </w:r>
    </w:p>
    <w:p>
      <w:pPr>
        <w:spacing w:after="0" w:line="143" w:lineRule="exact"/>
        <w:rPr>
          <w:rFonts w:ascii="Times New Roman" w:cs="Times New Roman" w:eastAsia="Times New Roman" w:hAnsi="Times New Roman"/>
          <w:sz w:val="16"/>
          <w:szCs w:val="16"/>
          <w:color w:val="auto"/>
        </w:rPr>
      </w:pPr>
    </w:p>
    <w:p>
      <w:pPr>
        <w:ind w:left="660" w:firstLine="506"/>
        <w:spacing w:after="0" w:line="271" w:lineRule="auto"/>
        <w:tabs>
          <w:tab w:leader="none" w:pos="177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entity is not an Affiliate of the Company or is an entity with which neither the Company nor any Subsidiary of the Company has any material contract, agreement, arrangement or understanding other than on terms that the Company reasonably believes to be no less favorable to the Company or such Subsidiary than those that might be obtained at the time from Persons that are not Affiliates of the Company; and</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8" w:name="page129"/>
    <w:bookmarkEnd w:id="128"/>
    <w:p>
      <w:pPr>
        <w:ind w:left="660" w:right="160" w:firstLine="506"/>
        <w:spacing w:after="0" w:line="288" w:lineRule="auto"/>
        <w:tabs>
          <w:tab w:leader="none" w:pos="177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an entity to which neither the Company nor any Subsidiary of the Company has any obligation to maintain or preserve such entity’s financial condition or cause such entity to achieve certain levels of operating results.</w:t>
      </w:r>
    </w:p>
    <w:p>
      <w:pPr>
        <w:spacing w:after="0" w:line="143" w:lineRule="exact"/>
        <w:rPr>
          <w:sz w:val="20"/>
          <w:szCs w:val="20"/>
          <w:color w:val="auto"/>
        </w:rPr>
      </w:pPr>
    </w:p>
    <w:p>
      <w:pPr>
        <w:ind w:right="560" w:firstLine="585"/>
        <w:spacing w:after="0" w:line="288" w:lineRule="auto"/>
        <w:rPr>
          <w:sz w:val="20"/>
          <w:szCs w:val="20"/>
          <w:color w:val="auto"/>
        </w:rPr>
      </w:pPr>
      <w:r>
        <w:rPr>
          <w:rFonts w:ascii="Times New Roman" w:cs="Times New Roman" w:eastAsia="Times New Roman" w:hAnsi="Times New Roman"/>
          <w:sz w:val="16"/>
          <w:szCs w:val="16"/>
          <w:color w:val="auto"/>
        </w:rPr>
        <w:t>Any such designation shall be evidenced to the Trustee by filing with the Trustee an Officer’s Certificate certifying that such designation complied with the foregoing conditions.</w:t>
      </w:r>
    </w:p>
    <w:p>
      <w:pPr>
        <w:spacing w:after="0" w:line="141" w:lineRule="exact"/>
        <w:rPr>
          <w:sz w:val="20"/>
          <w:szCs w:val="20"/>
          <w:color w:val="auto"/>
        </w:rPr>
      </w:pPr>
    </w:p>
    <w:p>
      <w:pPr>
        <w:ind w:right="38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Redemption Date</w:t>
      </w:r>
      <w:r>
        <w:rPr>
          <w:rFonts w:ascii="Times New Roman" w:cs="Times New Roman" w:eastAsia="Times New Roman" w:hAnsi="Times New Roman"/>
          <w:sz w:val="16"/>
          <w:szCs w:val="16"/>
          <w:color w:val="auto"/>
        </w:rPr>
        <w:t>,” when used with respect to any Security to be redeemed pursuant to Article III of this Indenture, means the date fixed for such redemption pursuant to the terms of such Article III.</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Redemption Price</w:t>
      </w:r>
      <w:r>
        <w:rPr>
          <w:rFonts w:ascii="Times New Roman" w:cs="Times New Roman" w:eastAsia="Times New Roman" w:hAnsi="Times New Roman"/>
          <w:sz w:val="16"/>
          <w:szCs w:val="16"/>
          <w:color w:val="auto"/>
        </w:rPr>
        <w:t>,” when used with respect to any Security to be redeemed, means the price at which it is to be redeemed pursuant to this Indenture.</w:t>
      </w:r>
    </w:p>
    <w:p>
      <w:pPr>
        <w:spacing w:after="0" w:line="206" w:lineRule="exact"/>
        <w:rPr>
          <w:sz w:val="20"/>
          <w:szCs w:val="20"/>
          <w:color w:val="auto"/>
        </w:rPr>
      </w:pPr>
    </w:p>
    <w:p>
      <w:pPr>
        <w:ind w:right="120" w:firstLine="585"/>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Responsible Officer</w:t>
      </w:r>
      <w:r>
        <w:rPr>
          <w:rFonts w:ascii="Times New Roman" w:cs="Times New Roman" w:eastAsia="Times New Roman" w:hAnsi="Times New Roman"/>
          <w:sz w:val="16"/>
          <w:szCs w:val="16"/>
          <w:color w:val="auto"/>
        </w:rPr>
        <w:t>” means, when used with respect to the Trustee, any officer within the corporate trust department of the Trustee, including any vice president, assistant vice president, assistant secretary, senior associate, associate,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59" w:lineRule="exact"/>
        <w:rPr>
          <w:sz w:val="20"/>
          <w:szCs w:val="20"/>
          <w:color w:val="auto"/>
        </w:rPr>
      </w:pPr>
    </w:p>
    <w:p>
      <w:pPr>
        <w:ind w:firstLine="585"/>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Sale Leaseback Transaction</w:t>
      </w:r>
      <w:r>
        <w:rPr>
          <w:rFonts w:ascii="Times New Roman" w:cs="Times New Roman" w:eastAsia="Times New Roman" w:hAnsi="Times New Roman"/>
          <w:sz w:val="16"/>
          <w:szCs w:val="16"/>
          <w:color w:val="auto"/>
        </w:rPr>
        <w:t>” means the leasing by the Company or any Domestic Subsidiary of the Company of any property, whether owned on the Issue Date or acquired after the Issue Date (except for temporary leases for a term, including any renewal term, of up to three years and except for leases between the Company and any Domestic Subsidiary of the Company or between Domestic Subsidiaries of the Company), which property has been or is to be sold or transferred by the Company or such Domestic Subsidiary to any party with the intention of taking back a lease of such property.</w:t>
      </w:r>
    </w:p>
    <w:p>
      <w:pPr>
        <w:spacing w:after="0" w:line="159" w:lineRule="exact"/>
        <w:rPr>
          <w:sz w:val="20"/>
          <w:szCs w:val="20"/>
          <w:color w:val="auto"/>
        </w:rPr>
      </w:pPr>
    </w:p>
    <w:p>
      <w:pPr>
        <w:ind w:right="18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Securities</w:t>
      </w:r>
      <w:r>
        <w:rPr>
          <w:rFonts w:ascii="Times New Roman" w:cs="Times New Roman" w:eastAsia="Times New Roman" w:hAnsi="Times New Roman"/>
          <w:sz w:val="16"/>
          <w:szCs w:val="16"/>
          <w:color w:val="auto"/>
        </w:rPr>
        <w:t>” means, collectively, each series of subordinated debentures, notes, bonds or other evidences of indebtedness issued from time to time hereunder. The Securities issued under this Indenture include, for each series of Securities, the Initial Securities of such series and Additional Securities of such series, if any, unless the context otherwise requires.</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Securities Act</w:t>
      </w:r>
      <w:r>
        <w:rPr>
          <w:rFonts w:ascii="Times New Roman" w:cs="Times New Roman" w:eastAsia="Times New Roman" w:hAnsi="Times New Roman"/>
          <w:sz w:val="16"/>
          <w:szCs w:val="16"/>
          <w:color w:val="auto"/>
        </w:rPr>
        <w:t>” means the Securities Act of 1933, as amended, or any successor statute, and the rules and regulations promulgated by the Commission thereunder.</w:t>
      </w:r>
    </w:p>
    <w:p>
      <w:pPr>
        <w:spacing w:after="0" w:line="206" w:lineRule="exact"/>
        <w:rPr>
          <w:sz w:val="20"/>
          <w:szCs w:val="20"/>
          <w:color w:val="auto"/>
        </w:rPr>
      </w:pPr>
    </w:p>
    <w:p>
      <w:pPr>
        <w:ind w:right="12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Security Custodian</w:t>
      </w:r>
      <w:r>
        <w:rPr>
          <w:rFonts w:ascii="Times New Roman" w:cs="Times New Roman" w:eastAsia="Times New Roman" w:hAnsi="Times New Roman"/>
          <w:sz w:val="16"/>
          <w:szCs w:val="16"/>
          <w:color w:val="auto"/>
        </w:rPr>
        <w:t>” means, with respect to any Global Security, the custodian appointed by the Depositary, or any successor Person thereto, and shall initially be the Paying Agent.</w:t>
      </w:r>
    </w:p>
    <w:p>
      <w:pPr>
        <w:spacing w:after="0" w:line="138" w:lineRule="exact"/>
        <w:rPr>
          <w:sz w:val="20"/>
          <w:szCs w:val="20"/>
          <w:color w:val="auto"/>
        </w:rPr>
      </w:pPr>
    </w:p>
    <w:p>
      <w:pPr>
        <w:jc w:val="both"/>
        <w:ind w:right="2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Senior Indebtedness</w:t>
      </w:r>
      <w:r>
        <w:rPr>
          <w:rFonts w:ascii="Times New Roman" w:cs="Times New Roman" w:eastAsia="Times New Roman" w:hAnsi="Times New Roman"/>
          <w:sz w:val="16"/>
          <w:szCs w:val="16"/>
          <w:color w:val="auto"/>
        </w:rPr>
        <w:t xml:space="preserve">” means the principal, premium, if any, and interest and any additional amounts on all Indebtedness of the Company, whether created, incurred or assumed prior to, on or after the date of this Indenture;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Senior Indebtedness shall not include any of Indebtedness of the Company that, by the terms of the instrument creating or evidencing such Indebtedness, is specifically designated as being subordinated to or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Securities.</w:t>
      </w:r>
    </w:p>
    <w:p>
      <w:pPr>
        <w:spacing w:after="0" w:line="154" w:lineRule="exact"/>
        <w:rPr>
          <w:sz w:val="20"/>
          <w:szCs w:val="20"/>
          <w:color w:val="auto"/>
        </w:rPr>
      </w:pPr>
    </w:p>
    <w:p>
      <w:pPr>
        <w:ind w:right="14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Senior Nonmonetary Default</w:t>
      </w:r>
      <w:r>
        <w:rPr>
          <w:rFonts w:ascii="Times New Roman" w:cs="Times New Roman" w:eastAsia="Times New Roman" w:hAnsi="Times New Roman"/>
          <w:sz w:val="16"/>
          <w:szCs w:val="16"/>
          <w:color w:val="auto"/>
        </w:rPr>
        <w:t>” means the occurrence or existence and continuance of any event of default with respect to any Senior Indebtedness, other than a Senior Payment Default, permitting the holders of such Senior Indebtedness (or a trustee or agent on behalf of the holders thereof) to declare such Senior Indebtedness due and payable prior to the date on which it would otherwise become due and payable.</w:t>
      </w:r>
    </w:p>
    <w:p>
      <w:pPr>
        <w:spacing w:after="0" w:line="154" w:lineRule="exact"/>
        <w:rPr>
          <w:sz w:val="20"/>
          <w:szCs w:val="20"/>
          <w:color w:val="auto"/>
        </w:rPr>
      </w:pPr>
    </w:p>
    <w:p>
      <w:pPr>
        <w:ind w:right="20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Senior Payment Default</w:t>
      </w:r>
      <w:r>
        <w:rPr>
          <w:rFonts w:ascii="Times New Roman" w:cs="Times New Roman" w:eastAsia="Times New Roman" w:hAnsi="Times New Roman"/>
          <w:sz w:val="16"/>
          <w:szCs w:val="16"/>
          <w:color w:val="auto"/>
        </w:rPr>
        <w:t>” means any default in the payment of principal, premium, if any, or interest or any additional amount on any Senior Indebtedness when due, whether at the stated maturity of any such payment or by declaration of acceleration, call for redemption or otherwise.</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series</w:t>
      </w:r>
      <w:r>
        <w:rPr>
          <w:rFonts w:ascii="Times New Roman" w:cs="Times New Roman" w:eastAsia="Times New Roman" w:hAnsi="Times New Roman"/>
          <w:sz w:val="16"/>
          <w:szCs w:val="16"/>
          <w:color w:val="auto"/>
        </w:rPr>
        <w:t>” refers to each separate series of Securities issued under this Indenture.</w:t>
      </w:r>
    </w:p>
    <w:p>
      <w:pPr>
        <w:spacing w:after="0" w:line="206" w:lineRule="exact"/>
        <w:rPr>
          <w:sz w:val="20"/>
          <w:szCs w:val="20"/>
          <w:color w:val="auto"/>
        </w:rPr>
      </w:pPr>
    </w:p>
    <w:p>
      <w:pPr>
        <w:ind w:right="26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Significant Subsidiary</w:t>
      </w:r>
      <w:r>
        <w:rPr>
          <w:rFonts w:ascii="Times New Roman" w:cs="Times New Roman" w:eastAsia="Times New Roman" w:hAnsi="Times New Roman"/>
          <w:sz w:val="16"/>
          <w:szCs w:val="16"/>
          <w:color w:val="auto"/>
        </w:rPr>
        <w:t>” means any Subsidiary of the Company that would be a “significant subsidiary” of the Company within the meaning of Rule 1-02 under Regulation S-X promulgated by the Commission, as such Regulation is in effect on the Issue Date.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9" w:name="page130"/>
    <w:bookmarkEnd w:id="129"/>
    <w:p>
      <w:pPr>
        <w:ind w:left="3" w:right="50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Standard Securitization Undertakings</w:t>
      </w:r>
      <w:r>
        <w:rPr>
          <w:rFonts w:ascii="Times New Roman" w:cs="Times New Roman" w:eastAsia="Times New Roman" w:hAnsi="Times New Roman"/>
          <w:sz w:val="16"/>
          <w:szCs w:val="16"/>
          <w:color w:val="auto"/>
        </w:rPr>
        <w:t>” means representations, warranties, covenants and indemnities entered into by the Company or any Subsidiary of the Company that, taken as a whole, are customary in an accounts receivable transaction.</w:t>
      </w:r>
    </w:p>
    <w:p>
      <w:pPr>
        <w:spacing w:after="0" w:line="138" w:lineRule="exact"/>
        <w:rPr>
          <w:sz w:val="20"/>
          <w:szCs w:val="20"/>
          <w:color w:val="auto"/>
        </w:rPr>
      </w:pPr>
    </w:p>
    <w:p>
      <w:pPr>
        <w:ind w:left="3" w:right="22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Stated Maturity</w:t>
      </w:r>
      <w:r>
        <w:rPr>
          <w:rFonts w:ascii="Times New Roman" w:cs="Times New Roman" w:eastAsia="Times New Roman" w:hAnsi="Times New Roman"/>
          <w:sz w:val="16"/>
          <w:szCs w:val="16"/>
          <w:color w:val="auto"/>
        </w:rPr>
        <w:t>” means, when used with respect to any Indebtedness or any installment of interest thereon, the dates specified in such Indebtedness as the fixed date on which the principal of such Indebtedness or such installment of interest, as the case may be, is due and payable.</w:t>
      </w:r>
    </w:p>
    <w:p>
      <w:pPr>
        <w:spacing w:after="0" w:line="138"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Subsidiary</w:t>
      </w:r>
      <w:r>
        <w:rPr>
          <w:rFonts w:ascii="Times New Roman" w:cs="Times New Roman" w:eastAsia="Times New Roman" w:hAnsi="Times New Roman"/>
          <w:sz w:val="16"/>
          <w:szCs w:val="16"/>
          <w:color w:val="auto"/>
        </w:rPr>
        <w:t>” means, with respect to any specified Person:</w:t>
      </w:r>
    </w:p>
    <w:p>
      <w:pPr>
        <w:spacing w:after="0" w:line="208" w:lineRule="exact"/>
        <w:rPr>
          <w:sz w:val="20"/>
          <w:szCs w:val="20"/>
          <w:color w:val="auto"/>
        </w:rPr>
      </w:pPr>
    </w:p>
    <w:p>
      <w:pPr>
        <w:ind w:left="663" w:right="260" w:firstLine="506"/>
        <w:spacing w:after="0" w:line="265" w:lineRule="auto"/>
        <w:tabs>
          <w:tab w:leader="none" w:pos="1772"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corporation, limited liability company,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61" w:lineRule="exact"/>
        <w:rPr>
          <w:rFonts w:ascii="Times New Roman" w:cs="Times New Roman" w:eastAsia="Times New Roman" w:hAnsi="Times New Roman"/>
          <w:sz w:val="16"/>
          <w:szCs w:val="16"/>
          <w:color w:val="auto"/>
        </w:rPr>
      </w:pPr>
    </w:p>
    <w:p>
      <w:pPr>
        <w:ind w:left="663" w:firstLine="506"/>
        <w:spacing w:after="0" w:line="288" w:lineRule="auto"/>
        <w:tabs>
          <w:tab w:leader="none" w:pos="1772"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41"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TIA</w:t>
      </w:r>
      <w:r>
        <w:rPr>
          <w:rFonts w:ascii="Times New Roman" w:cs="Times New Roman" w:eastAsia="Times New Roman" w:hAnsi="Times New Roman"/>
          <w:sz w:val="16"/>
          <w:szCs w:val="16"/>
          <w:color w:val="auto"/>
        </w:rPr>
        <w:t>” means the Trust Indenture Act of 1939 as amended (15 U.S. Code §§ 77aaa-77bbbb).</w:t>
      </w:r>
    </w:p>
    <w:p>
      <w:pPr>
        <w:spacing w:after="0" w:line="206" w:lineRule="exact"/>
        <w:rPr>
          <w:sz w:val="20"/>
          <w:szCs w:val="20"/>
          <w:color w:val="auto"/>
        </w:rPr>
      </w:pPr>
    </w:p>
    <w:p>
      <w:pPr>
        <w:ind w:left="3"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Triggering Indebtedness</w:t>
      </w:r>
      <w:r>
        <w:rPr>
          <w:rFonts w:ascii="Times New Roman" w:cs="Times New Roman" w:eastAsia="Times New Roman" w:hAnsi="Times New Roman"/>
          <w:sz w:val="16"/>
          <w:szCs w:val="16"/>
          <w:color w:val="auto"/>
        </w:rPr>
        <w:t>” means Indebtedness of the Company owed to a Person, other than the Company or any Subsidiary of the Company, that has an aggregate principal amount or committed amount in excess of $500.0 million.</w:t>
      </w:r>
    </w:p>
    <w:p>
      <w:pPr>
        <w:spacing w:after="0" w:line="138" w:lineRule="exact"/>
        <w:rPr>
          <w:sz w:val="20"/>
          <w:szCs w:val="20"/>
          <w:color w:val="auto"/>
        </w:rPr>
      </w:pPr>
    </w:p>
    <w:p>
      <w:pPr>
        <w:ind w:left="3" w:right="6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Trustee</w:t>
      </w:r>
      <w:r>
        <w:rPr>
          <w:rFonts w:ascii="Times New Roman" w:cs="Times New Roman" w:eastAsia="Times New Roman" w:hAnsi="Times New Roman"/>
          <w:sz w:val="16"/>
          <w:szCs w:val="16"/>
          <w:color w:val="auto"/>
        </w:rPr>
        <w:t>” means The Bank of New York Mellon, a New York banking corporation, until a successor replaces it in accordance with the applicable provisions of this Indenture and thereafter means the successor serving hereunder.</w:t>
      </w:r>
    </w:p>
    <w:p>
      <w:pPr>
        <w:spacing w:after="0" w:line="138"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U.S. Government Obligations</w:t>
      </w:r>
      <w:r>
        <w:rPr>
          <w:rFonts w:ascii="Times New Roman" w:cs="Times New Roman" w:eastAsia="Times New Roman" w:hAnsi="Times New Roman"/>
          <w:sz w:val="16"/>
          <w:szCs w:val="16"/>
          <w:color w:val="auto"/>
        </w:rPr>
        <w:t>” means securities that are (i) direct obligations of the United States for the payment of which its full faith and credit is pledged or</w:t>
      </w:r>
    </w:p>
    <w:p>
      <w:pPr>
        <w:spacing w:after="0" w:line="29" w:lineRule="exact"/>
        <w:rPr>
          <w:sz w:val="20"/>
          <w:szCs w:val="20"/>
          <w:color w:val="auto"/>
        </w:rPr>
      </w:pPr>
    </w:p>
    <w:p>
      <w:pPr>
        <w:ind w:left="3" w:right="300" w:hanging="3"/>
        <w:spacing w:after="0" w:line="257" w:lineRule="auto"/>
        <w:tabs>
          <w:tab w:leader="none" w:pos="241"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obligations of a person controlled or supervised by and acting as an agency or an instrumentality of the United States the timely payment of which is unconditionally guaranteed as a full faith and credit obligation by the United States, that, in either case, are not callable or redeemable at the action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pacing w:after="0" w:line="164" w:lineRule="exact"/>
        <w:rPr>
          <w:sz w:val="20"/>
          <w:szCs w:val="20"/>
          <w:color w:val="auto"/>
        </w:rPr>
      </w:pPr>
    </w:p>
    <w:p>
      <w:pPr>
        <w:ind w:left="3" w:right="18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Wholly Owned Subsidiary</w:t>
      </w:r>
      <w:r>
        <w:rPr>
          <w:rFonts w:ascii="Times New Roman" w:cs="Times New Roman" w:eastAsia="Times New Roman" w:hAnsi="Times New Roman"/>
          <w:sz w:val="16"/>
          <w:szCs w:val="16"/>
          <w:color w:val="auto"/>
        </w:rPr>
        <w:t>” means a Subsidiary of the Company of which the Company owns all of the Capital Stock, directly or indirectly, other than directors’ qualifying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3"/>
          </w:cols>
          <w:pgMar w:left="317" w:top="121"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13"/>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Section 1.02. Other Definitions.</w:t>
            </w:r>
          </w:p>
        </w:tc>
        <w:tc>
          <w:tcPr>
            <w:tcW w:w="1140" w:type="dxa"/>
            <w:vAlign w:val="bottom"/>
          </w:tcPr>
          <w:p>
            <w:pPr>
              <w:spacing w:after="0"/>
              <w:rPr>
                <w:sz w:val="18"/>
                <w:szCs w:val="18"/>
                <w:color w:val="auto"/>
              </w:rPr>
            </w:pPr>
          </w:p>
        </w:tc>
      </w:tr>
      <w:tr>
        <w:trPr>
          <w:trHeight w:val="372"/>
        </w:trPr>
        <w:tc>
          <w:tcPr>
            <w:tcW w:w="8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Defined</w:t>
            </w:r>
          </w:p>
        </w:tc>
      </w:tr>
      <w:tr>
        <w:trPr>
          <w:trHeight w:val="195"/>
        </w:trPr>
        <w:tc>
          <w:tcPr>
            <w:tcW w:w="8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9"/>
              </w:rPr>
              <w:t>in</w:t>
            </w:r>
          </w:p>
        </w:tc>
      </w:tr>
      <w:tr>
        <w:trPr>
          <w:trHeight w:val="218"/>
        </w:trPr>
        <w:tc>
          <w:tcPr>
            <w:tcW w:w="9000" w:type="dxa"/>
            <w:vAlign w:val="bottom"/>
            <w:gridSpan w:val="2"/>
          </w:tcPr>
          <w:p>
            <w:pPr>
              <w:ind w:left="4260"/>
              <w:spacing w:after="0"/>
              <w:rPr>
                <w:sz w:val="20"/>
                <w:szCs w:val="20"/>
                <w:color w:val="auto"/>
              </w:rPr>
            </w:pPr>
            <w:r>
              <w:rPr>
                <w:rFonts w:ascii="Times New Roman" w:cs="Times New Roman" w:eastAsia="Times New Roman" w:hAnsi="Times New Roman"/>
                <w:sz w:val="16"/>
                <w:szCs w:val="16"/>
                <w:b w:val="1"/>
                <w:bCs w:val="1"/>
                <w:color w:val="auto"/>
              </w:rPr>
              <w:t>Term</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195"/>
        </w:trPr>
        <w:tc>
          <w:tcPr>
            <w:tcW w:w="8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“Agent Members”</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195"/>
        </w:trPr>
        <w:tc>
          <w:tcPr>
            <w:tcW w:w="9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“Authenticating Agent”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r>
      <w:tr>
        <w:trPr>
          <w:trHeight w:val="195"/>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“Authorized Officers”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r>
      <w:tr>
        <w:trPr>
          <w:trHeight w:val="195"/>
        </w:trPr>
        <w:tc>
          <w:tcPr>
            <w:tcW w:w="9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“Covenant Defeasance”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w:t>
            </w:r>
          </w:p>
        </w:tc>
      </w:tr>
      <w:tr>
        <w:trPr>
          <w:trHeight w:val="195"/>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“Designated Currency”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195"/>
        </w:trPr>
        <w:tc>
          <w:tcPr>
            <w:tcW w:w="9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“Event of Default”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r>
      <w:tr>
        <w:trPr>
          <w:trHeight w:val="195"/>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Rate”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r>
      <w:tr>
        <w:trPr>
          <w:trHeight w:val="195"/>
        </w:trPr>
        <w:tc>
          <w:tcPr>
            <w:tcW w:w="9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“Instructions”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w:t>
            </w:r>
          </w:p>
        </w:tc>
      </w:tr>
      <w:tr>
        <w:trPr>
          <w:trHeight w:val="195"/>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“Legal Defeasance”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r>
      <w:tr>
        <w:trPr>
          <w:trHeight w:val="195"/>
        </w:trPr>
        <w:tc>
          <w:tcPr>
            <w:tcW w:w="9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“Mandatory Sinking Fund Payment”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r>
      <w:tr>
        <w:trPr>
          <w:trHeight w:val="195"/>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“Optional Sinking Fund Payment”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w:t>
            </w:r>
          </w:p>
        </w:tc>
      </w:tr>
      <w:tr>
        <w:trPr>
          <w:trHeight w:val="195"/>
        </w:trPr>
        <w:tc>
          <w:tcPr>
            <w:tcW w:w="9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“Payment Blockage Period”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w:t>
            </w:r>
          </w:p>
        </w:tc>
      </w:tr>
      <w:tr>
        <w:trPr>
          <w:trHeight w:val="195"/>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“Paying Agent”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195"/>
        </w:trPr>
        <w:tc>
          <w:tcPr>
            <w:tcW w:w="9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“Proceeding”</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w:t>
            </w:r>
          </w:p>
        </w:tc>
      </w:tr>
      <w:tr>
        <w:trPr>
          <w:trHeight w:val="195"/>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“Registrar”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195"/>
        </w:trPr>
        <w:tc>
          <w:tcPr>
            <w:tcW w:w="9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“Representative”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w:t>
            </w:r>
          </w:p>
        </w:tc>
      </w:tr>
      <w:tr>
        <w:trPr>
          <w:trHeight w:val="195"/>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Payment”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r>
      <w:tr>
        <w:trPr>
          <w:trHeight w:val="211"/>
        </w:trPr>
        <w:tc>
          <w:tcPr>
            <w:tcW w:w="9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“Successor Company”</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r>
    </w:tbl>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Section 1.03. Rules of Construction.</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Unless the context otherwise requires:</w:t>
      </w:r>
    </w:p>
    <w:p>
      <w:pPr>
        <w:spacing w:after="0" w:line="206" w:lineRule="exact"/>
        <w:rPr>
          <w:sz w:val="20"/>
          <w:szCs w:val="20"/>
          <w:color w:val="auto"/>
        </w:rPr>
      </w:pPr>
    </w:p>
    <w:p>
      <w:pPr>
        <w:ind w:left="880" w:hanging="273"/>
        <w:spacing w:after="0"/>
        <w:tabs>
          <w:tab w:leader="none" w:pos="88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term has the meaning assigned to it herein, whether defined expressly or by reference;</w:t>
      </w:r>
    </w:p>
    <w:p>
      <w:pPr>
        <w:spacing w:after="0" w:line="205" w:lineRule="exact"/>
        <w:rPr>
          <w:rFonts w:ascii="Times New Roman" w:cs="Times New Roman" w:eastAsia="Times New Roman" w:hAnsi="Times New Roman"/>
          <w:sz w:val="16"/>
          <w:szCs w:val="16"/>
          <w:color w:val="auto"/>
        </w:rPr>
      </w:pPr>
    </w:p>
    <w:p>
      <w:pPr>
        <w:ind w:left="20" w:firstLine="587"/>
        <w:spacing w:after="0" w:line="288" w:lineRule="auto"/>
        <w:tabs>
          <w:tab w:leader="none" w:pos="875"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specified herein, all accounting terms used herein shall be interpreted, all accounting determinations hereunder shall be made, and all financial statements required to be delivered hereunder shall be prepared in accordance with GAAP;</w:t>
      </w:r>
    </w:p>
    <w:p>
      <w:pPr>
        <w:spacing w:after="0" w:line="143" w:lineRule="exact"/>
        <w:rPr>
          <w:rFonts w:ascii="Times New Roman" w:cs="Times New Roman" w:eastAsia="Times New Roman" w:hAnsi="Times New Roman"/>
          <w:sz w:val="16"/>
          <w:szCs w:val="16"/>
          <w:color w:val="auto"/>
        </w:rPr>
      </w:pPr>
    </w:p>
    <w:p>
      <w:pPr>
        <w:ind w:left="880" w:hanging="273"/>
        <w:spacing w:after="0"/>
        <w:tabs>
          <w:tab w:leader="none" w:pos="88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 is not exclusive;</w:t>
      </w:r>
    </w:p>
    <w:p>
      <w:pPr>
        <w:spacing w:after="0" w:line="205" w:lineRule="exact"/>
        <w:rPr>
          <w:rFonts w:ascii="Times New Roman" w:cs="Times New Roman" w:eastAsia="Times New Roman" w:hAnsi="Times New Roman"/>
          <w:sz w:val="16"/>
          <w:szCs w:val="16"/>
          <w:color w:val="auto"/>
        </w:rPr>
      </w:pPr>
    </w:p>
    <w:p>
      <w:pPr>
        <w:ind w:left="880" w:hanging="273"/>
        <w:spacing w:after="0"/>
        <w:tabs>
          <w:tab w:leader="none" w:pos="88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words in the singular include the plural, and in the plural include the singular;</w:t>
      </w:r>
    </w:p>
    <w:p>
      <w:pPr>
        <w:spacing w:after="0" w:line="205" w:lineRule="exact"/>
        <w:rPr>
          <w:rFonts w:ascii="Times New Roman" w:cs="Times New Roman" w:eastAsia="Times New Roman" w:hAnsi="Times New Roman"/>
          <w:sz w:val="16"/>
          <w:szCs w:val="16"/>
          <w:color w:val="auto"/>
        </w:rPr>
      </w:pPr>
    </w:p>
    <w:p>
      <w:pPr>
        <w:ind w:left="880" w:hanging="273"/>
        <w:spacing w:after="0"/>
        <w:tabs>
          <w:tab w:leader="none" w:pos="88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shall be interpreted to express a command;</w:t>
      </w:r>
    </w:p>
    <w:p>
      <w:pPr>
        <w:spacing w:after="0" w:line="205" w:lineRule="exact"/>
        <w:rPr>
          <w:rFonts w:ascii="Times New Roman" w:cs="Times New Roman" w:eastAsia="Times New Roman" w:hAnsi="Times New Roman"/>
          <w:sz w:val="16"/>
          <w:szCs w:val="16"/>
          <w:color w:val="auto"/>
        </w:rPr>
      </w:pPr>
    </w:p>
    <w:p>
      <w:pPr>
        <w:ind w:left="880" w:hanging="273"/>
        <w:spacing w:after="0"/>
        <w:tabs>
          <w:tab w:leader="none" w:pos="88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words used herein implying any gender shall apply to both genders;</w:t>
      </w:r>
    </w:p>
    <w:p>
      <w:pPr>
        <w:spacing w:after="0" w:line="205" w:lineRule="exact"/>
        <w:rPr>
          <w:rFonts w:ascii="Times New Roman" w:cs="Times New Roman" w:eastAsia="Times New Roman" w:hAnsi="Times New Roman"/>
          <w:sz w:val="16"/>
          <w:szCs w:val="16"/>
          <w:color w:val="auto"/>
        </w:rPr>
      </w:pPr>
    </w:p>
    <w:p>
      <w:pPr>
        <w:ind w:left="880" w:hanging="273"/>
        <w:spacing w:after="0"/>
        <w:tabs>
          <w:tab w:leader="none" w:pos="88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“herein,” “hereof,” “hereunder” and other words of similar import refer to this Indenture as a whole and not to any particular Article, Section or other</w:t>
      </w:r>
    </w:p>
    <w:p>
      <w:pPr>
        <w:spacing w:after="0" w:line="26" w:lineRule="exact"/>
        <w:rPr>
          <w:rFonts w:ascii="Times New Roman" w:cs="Times New Roman" w:eastAsia="Times New Roman" w:hAnsi="Times New Roman"/>
          <w:sz w:val="16"/>
          <w:szCs w:val="16"/>
          <w:color w:val="auto"/>
        </w:rPr>
      </w:pPr>
    </w:p>
    <w:p>
      <w:pPr>
        <w:ind w:left="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subsection;</w:t>
      </w:r>
    </w:p>
    <w:p>
      <w:pPr>
        <w:spacing w:after="0" w:line="189" w:lineRule="exact"/>
        <w:rPr>
          <w:rFonts w:ascii="Times New Roman" w:cs="Times New Roman" w:eastAsia="Times New Roman" w:hAnsi="Times New Roman"/>
          <w:sz w:val="16"/>
          <w:szCs w:val="16"/>
          <w:color w:val="auto"/>
        </w:rPr>
      </w:pPr>
    </w:p>
    <w:p>
      <w:pPr>
        <w:ind w:left="20" w:right="500" w:firstLine="587"/>
        <w:spacing w:after="0" w:line="288" w:lineRule="auto"/>
        <w:tabs>
          <w:tab w:leader="none" w:pos="875"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“U.S. Dollars” and “United States Dollars” each refer to United States dollars, or such other money of the United States that at the time of payment is legal tender for payment of public and private debts;</w:t>
      </w:r>
    </w:p>
    <w:p>
      <w:pPr>
        <w:spacing w:after="0" w:line="143" w:lineRule="exact"/>
        <w:rPr>
          <w:rFonts w:ascii="Times New Roman" w:cs="Times New Roman" w:eastAsia="Times New Roman" w:hAnsi="Times New Roman"/>
          <w:sz w:val="16"/>
          <w:szCs w:val="16"/>
          <w:color w:val="auto"/>
        </w:rPr>
      </w:pPr>
    </w:p>
    <w:p>
      <w:pPr>
        <w:ind w:left="20" w:right="100" w:firstLine="587"/>
        <w:spacing w:after="0" w:line="288" w:lineRule="auto"/>
        <w:tabs>
          <w:tab w:leader="none" w:pos="875"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sections of or rules under the Securities Act will be deemed to include substitute, replacement of successor sections or rules adopted by the Commission from time to time;</w:t>
      </w:r>
    </w:p>
    <w:p>
      <w:pPr>
        <w:spacing w:after="0" w:line="143" w:lineRule="exact"/>
        <w:rPr>
          <w:rFonts w:ascii="Times New Roman" w:cs="Times New Roman" w:eastAsia="Times New Roman" w:hAnsi="Times New Roman"/>
          <w:sz w:val="16"/>
          <w:szCs w:val="16"/>
          <w:color w:val="auto"/>
        </w:rPr>
      </w:pPr>
    </w:p>
    <w:p>
      <w:pPr>
        <w:ind w:left="960" w:hanging="353"/>
        <w:spacing w:after="0"/>
        <w:tabs>
          <w:tab w:leader="none" w:pos="96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Sections, Articles or Exhibits are references to Sections, Articles or Exhibits of or to this Indenture unless context otherwise requires;</w:t>
      </w:r>
    </w:p>
    <w:p>
      <w:pPr>
        <w:spacing w:after="0" w:line="26" w:lineRule="exact"/>
        <w:rPr>
          <w:rFonts w:ascii="Times New Roman" w:cs="Times New Roman" w:eastAsia="Times New Roman" w:hAnsi="Times New Roman"/>
          <w:sz w:val="16"/>
          <w:szCs w:val="16"/>
          <w:color w:val="auto"/>
        </w:rPr>
      </w:pPr>
    </w:p>
    <w:p>
      <w:pPr>
        <w:ind w:left="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w:t>
      </w:r>
    </w:p>
    <w:p>
      <w:pPr>
        <w:spacing w:after="0" w:line="189" w:lineRule="exact"/>
        <w:rPr>
          <w:rFonts w:ascii="Times New Roman" w:cs="Times New Roman" w:eastAsia="Times New Roman" w:hAnsi="Times New Roman"/>
          <w:sz w:val="16"/>
          <w:szCs w:val="16"/>
          <w:color w:val="auto"/>
        </w:rPr>
      </w:pPr>
    </w:p>
    <w:p>
      <w:pPr>
        <w:ind w:left="20" w:right="440" w:firstLine="587"/>
        <w:spacing w:after="0" w:line="288" w:lineRule="auto"/>
        <w:tabs>
          <w:tab w:leader="none" w:pos="95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the payment of principal amount of Securities shall, in the case of Original Issue Discount Securities, be read as payment of such portion of principal amount as may be specified in the terms of such series.</w:t>
      </w:r>
    </w:p>
    <w:p>
      <w:pPr>
        <w:spacing w:after="0" w:line="29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33655</wp:posOffset>
            </wp:positionV>
            <wp:extent cx="714565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40"/>
          </w:cols>
          <w:pgMar w:left="880" w:top="121" w:right="379" w:bottom="1440" w:gutter="0" w:footer="0" w:header="0"/>
        </w:sectPr>
      </w:pPr>
    </w:p>
    <w:bookmarkStart w:id="131" w:name="page132"/>
    <w:bookmarkEnd w:id="131"/>
    <w:p>
      <w:pPr>
        <w:ind w:left="580"/>
        <w:spacing w:after="0"/>
        <w:rPr>
          <w:sz w:val="20"/>
          <w:szCs w:val="20"/>
          <w:color w:val="auto"/>
        </w:rPr>
      </w:pPr>
      <w:r>
        <w:rPr>
          <w:rFonts w:ascii="Times New Roman" w:cs="Times New Roman" w:eastAsia="Times New Roman" w:hAnsi="Times New Roman"/>
          <w:sz w:val="16"/>
          <w:szCs w:val="16"/>
          <w:i w:val="1"/>
          <w:iCs w:val="1"/>
          <w:color w:val="auto"/>
        </w:rPr>
        <w:t>Section 1.04. Incorporation by Reference of Trust Indenture Act.</w:t>
      </w:r>
    </w:p>
    <w:p>
      <w:pPr>
        <w:spacing w:after="0" w:line="208" w:lineRule="exact"/>
        <w:rPr>
          <w:sz w:val="20"/>
          <w:szCs w:val="20"/>
          <w:color w:val="auto"/>
        </w:rPr>
      </w:pPr>
    </w:p>
    <w:p>
      <w:pPr>
        <w:ind w:right="80" w:firstLine="585"/>
        <w:spacing w:after="0" w:line="288" w:lineRule="auto"/>
        <w:rPr>
          <w:sz w:val="20"/>
          <w:szCs w:val="20"/>
          <w:color w:val="auto"/>
        </w:rPr>
      </w:pPr>
      <w:r>
        <w:rPr>
          <w:rFonts w:ascii="Times New Roman" w:cs="Times New Roman" w:eastAsia="Times New Roman" w:hAnsi="Times New Roman"/>
          <w:sz w:val="16"/>
          <w:szCs w:val="16"/>
          <w:color w:val="auto"/>
        </w:rPr>
        <w:t>Whenever this Indenture refers to a provision of the TIA, the portion of such provision required to be incorporated herein in order for this Indenture to be qualified under the TIA is incorporated by reference in and made a part of this Indenture. The following TIA terms used in this Indenture have the following meanings:</w:t>
      </w:r>
    </w:p>
    <w:p>
      <w:pPr>
        <w:spacing w:after="0" w:line="1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“indenture securities” means the Securities.</w:t>
      </w: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“indenture securityholder” means a Holder.</w:t>
      </w: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“indenture to be qualified” means this Indenture.</w:t>
      </w: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“indenture trustee” or “institutional trustee” means the Trustee.</w:t>
      </w: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“obligor on this indenture securities” means the Company or any other obligor on the Securities.</w:t>
      </w:r>
    </w:p>
    <w:p>
      <w:pPr>
        <w:spacing w:after="0" w:line="206" w:lineRule="exact"/>
        <w:rPr>
          <w:sz w:val="20"/>
          <w:szCs w:val="20"/>
          <w:color w:val="auto"/>
        </w:rPr>
      </w:pPr>
    </w:p>
    <w:p>
      <w:pPr>
        <w:ind w:right="80" w:firstLine="585"/>
        <w:spacing w:after="0" w:line="288" w:lineRule="auto"/>
        <w:rPr>
          <w:sz w:val="20"/>
          <w:szCs w:val="20"/>
          <w:color w:val="auto"/>
        </w:rPr>
      </w:pPr>
      <w:r>
        <w:rPr>
          <w:rFonts w:ascii="Times New Roman" w:cs="Times New Roman" w:eastAsia="Times New Roman" w:hAnsi="Times New Roman"/>
          <w:sz w:val="16"/>
          <w:szCs w:val="16"/>
          <w:color w:val="auto"/>
        </w:rPr>
        <w:t>All other terms used in this Indenture (other than those defined herein) that are defined by the TIA, defined in the TIA by reference to another statute or defined by Commission rule have the meanings therein assigned to them.</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SECURITIES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2.01. Terms of the Securities.</w:t>
      </w:r>
    </w:p>
    <w:p>
      <w:pPr>
        <w:spacing w:after="0" w:line="208" w:lineRule="exact"/>
        <w:rPr>
          <w:sz w:val="20"/>
          <w:szCs w:val="20"/>
          <w:color w:val="auto"/>
        </w:rPr>
      </w:pPr>
    </w:p>
    <w:p>
      <w:pPr>
        <w:ind w:firstLine="582"/>
        <w:spacing w:after="0" w:line="261" w:lineRule="auto"/>
        <w:tabs>
          <w:tab w:leader="none" w:pos="846"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Securities of each series shall be substantially in the form set forth in a Company Order or in one or more indentures supplemental hereto, and shall have such appropriate insertions, omissions, substitutions and other variations as are required or permitted by this Indenture,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securities exchange on which any series of the Securities may be listed or of any automated quotation system on which any such series may be quoted, or to conform to usage, all as determined by the officers executing such Securities as conclusively evidenced by their execution of such Securities.</w:t>
      </w:r>
    </w:p>
    <w:p>
      <w:pPr>
        <w:spacing w:after="0" w:line="163" w:lineRule="exact"/>
        <w:rPr>
          <w:rFonts w:ascii="Times New Roman" w:cs="Times New Roman" w:eastAsia="Times New Roman" w:hAnsi="Times New Roman"/>
          <w:sz w:val="16"/>
          <w:szCs w:val="16"/>
          <w:color w:val="auto"/>
        </w:rPr>
      </w:pPr>
    </w:p>
    <w:p>
      <w:pPr>
        <w:ind w:right="300" w:firstLine="582"/>
        <w:spacing w:after="0" w:line="288" w:lineRule="auto"/>
        <w:tabs>
          <w:tab w:leader="none" w:pos="855"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and provisions of the Securities shall constitute, and are expressly made, a part of this Indenture, and, to the extent applicable, the Company, any Guarantors and the Trustee, by their execution and delivery of this Indenture, expressly agree to such terms and provisions and agree to be bound thereby.</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2.02. Amount Unlimited; Issuable in Series.</w:t>
      </w:r>
    </w:p>
    <w:p>
      <w:pPr>
        <w:spacing w:after="0" w:line="208" w:lineRule="exact"/>
        <w:rPr>
          <w:sz w:val="20"/>
          <w:szCs w:val="20"/>
          <w:color w:val="auto"/>
        </w:rPr>
      </w:pPr>
    </w:p>
    <w:p>
      <w:pPr>
        <w:ind w:right="360" w:firstLine="585"/>
        <w:spacing w:after="0" w:line="288" w:lineRule="auto"/>
        <w:rPr>
          <w:sz w:val="20"/>
          <w:szCs w:val="20"/>
          <w:color w:val="auto"/>
        </w:rPr>
      </w:pPr>
      <w:r>
        <w:rPr>
          <w:rFonts w:ascii="Times New Roman" w:cs="Times New Roman" w:eastAsia="Times New Roman" w:hAnsi="Times New Roman"/>
          <w:sz w:val="16"/>
          <w:szCs w:val="16"/>
          <w:color w:val="auto"/>
        </w:rPr>
        <w:t>The aggregate principal amount of Securities that may be authenticated and delivered under this Indenture is unlimited. The Securities may be issued in one or more series. There shall be set forth in a Company Order or in one or more indentures supplemental hereto, at or prior to the issuance of Securities of any series:</w:t>
      </w:r>
    </w:p>
    <w:p>
      <w:pPr>
        <w:spacing w:after="0" w:line="143" w:lineRule="exact"/>
        <w:rPr>
          <w:sz w:val="20"/>
          <w:szCs w:val="20"/>
          <w:color w:val="auto"/>
        </w:rPr>
      </w:pPr>
    </w:p>
    <w:p>
      <w:pPr>
        <w:ind w:right="480" w:firstLine="582"/>
        <w:spacing w:after="0" w:line="288" w:lineRule="auto"/>
        <w:tabs>
          <w:tab w:leader="none" w:pos="846"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of the Securities of the series (which shall distinguish the Securities of such series from the Securities of all other series, except to the extent that Additional Securities of an existing series are being issued);</w:t>
      </w:r>
    </w:p>
    <w:p>
      <w:pPr>
        <w:spacing w:after="0" w:line="143" w:lineRule="exact"/>
        <w:rPr>
          <w:rFonts w:ascii="Times New Roman" w:cs="Times New Roman" w:eastAsia="Times New Roman" w:hAnsi="Times New Roman"/>
          <w:sz w:val="16"/>
          <w:szCs w:val="16"/>
          <w:color w:val="auto"/>
        </w:rPr>
      </w:pPr>
    </w:p>
    <w:p>
      <w:pPr>
        <w:ind w:right="60" w:firstLine="582"/>
        <w:spacing w:after="0" w:line="288" w:lineRule="auto"/>
        <w:tabs>
          <w:tab w:leader="none" w:pos="855"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limit upon the aggregate principal amount of the Securities of the series that may be authenticated and delivered under this Indenture (except for Securities authenticated and delivered upon transfer of, or in exchange for, or in lieu of, other Securities of such series pursuant to Section 2.08, 2.09, 2.12, 2.17, 3.07 or 8.04);</w:t>
      </w:r>
    </w:p>
    <w:p>
      <w:pPr>
        <w:spacing w:after="0" w:line="143" w:lineRule="exact"/>
        <w:rPr>
          <w:rFonts w:ascii="Times New Roman" w:cs="Times New Roman" w:eastAsia="Times New Roman" w:hAnsi="Times New Roman"/>
          <w:sz w:val="16"/>
          <w:szCs w:val="16"/>
          <w:color w:val="auto"/>
        </w:rPr>
      </w:pPr>
    </w:p>
    <w:p>
      <w:pPr>
        <w:ind w:right="100" w:firstLine="582"/>
        <w:spacing w:after="0" w:line="288" w:lineRule="auto"/>
        <w:tabs>
          <w:tab w:leader="none" w:pos="846"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dates on which or periods during which the Securities of the series may be issued, and the dates on, or the range of dates within, which the principal of and premium, if any, on the Securities of such series are or may be payable or the method by which such date or dates shall be determined or extended;</w:t>
      </w:r>
    </w:p>
    <w:p>
      <w:pPr>
        <w:spacing w:after="0" w:line="143" w:lineRule="exact"/>
        <w:rPr>
          <w:rFonts w:ascii="Times New Roman" w:cs="Times New Roman" w:eastAsia="Times New Roman" w:hAnsi="Times New Roman"/>
          <w:sz w:val="16"/>
          <w:szCs w:val="16"/>
          <w:color w:val="auto"/>
        </w:rPr>
      </w:pPr>
    </w:p>
    <w:p>
      <w:pPr>
        <w:ind w:right="80" w:firstLine="582"/>
        <w:spacing w:after="0" w:line="261" w:lineRule="auto"/>
        <w:tabs>
          <w:tab w:leader="none" w:pos="855"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rate or rates at which the Securities of the series shall bear interest, if any, or the method by which such rate or rates shall be determined, whether such interest shall be payable in cash or Additional Securities of the same series or shall accrue and increase the aggregate principal amount outstanding of such series (including if such Securities were originally issued at a discount), the date or dates from which such interest shall accrue, or the method by which such date or dates shall be determined, the Interest Payment Dates on which any such interest shall be payable, and the record dates for the determination of Holders to whom interest is payable on such Interest Payment Dates or the method by which such date or dates shall be determined, the right, if any, to extend or defer interest payments and the duration of such extension or deferral;</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ind w:left="-20" w:firstLine="582"/>
        <w:spacing w:after="0" w:line="288" w:lineRule="auto"/>
        <w:tabs>
          <w:tab w:leader="none" w:pos="826"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other than U.S. Dollars, the Foreign Currency in which Securities of the series shall be denominated or in which payment of the principal of, premium, if any, or interest on the Securities of the series shall be payable and any other terms concerning such payment;</w:t>
      </w:r>
    </w:p>
    <w:p>
      <w:pPr>
        <w:spacing w:after="0" w:line="143" w:lineRule="exact"/>
        <w:rPr>
          <w:rFonts w:ascii="Times New Roman" w:cs="Times New Roman" w:eastAsia="Times New Roman" w:hAnsi="Times New Roman"/>
          <w:sz w:val="16"/>
          <w:szCs w:val="16"/>
          <w:color w:val="auto"/>
        </w:rPr>
      </w:pPr>
    </w:p>
    <w:p>
      <w:pPr>
        <w:ind w:left="-20" w:right="60" w:firstLine="582"/>
        <w:spacing w:after="0" w:line="271" w:lineRule="auto"/>
        <w:tabs>
          <w:tab w:leader="none" w:pos="808"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amount of payment of principal of, premium, if any, or interest on the Securities of the series may be determined with reference to an index, formula or other method, including, but not limited to, an index based on a Currency or Currencies other than that in which the Securities are stated to be payable, the manner in which such amounts shall be determined;</w:t>
      </w:r>
    </w:p>
    <w:p>
      <w:pPr>
        <w:spacing w:after="0" w:line="156" w:lineRule="exact"/>
        <w:rPr>
          <w:rFonts w:ascii="Times New Roman" w:cs="Times New Roman" w:eastAsia="Times New Roman" w:hAnsi="Times New Roman"/>
          <w:sz w:val="16"/>
          <w:szCs w:val="16"/>
          <w:color w:val="auto"/>
        </w:rPr>
      </w:pPr>
    </w:p>
    <w:p>
      <w:pPr>
        <w:ind w:left="-20" w:right="80" w:firstLine="582"/>
        <w:spacing w:after="0" w:line="265" w:lineRule="auto"/>
        <w:tabs>
          <w:tab w:leader="none" w:pos="835"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principal of, premium, if any, or interest on Securities of the series is to be payable, at the election of the Company or a Holder thereof, in a Currency other than that in which the Securities are denominated or stated to be payable without such election, the period or periods within which, and the terms and conditions upon which, such election may be made and the time and the manner of determining the exchange rate between the Currency in which the Securities are denominated or payable without such election and the Currency in which the Securities are to be paid if such election is made;</w:t>
      </w:r>
    </w:p>
    <w:p>
      <w:pPr>
        <w:spacing w:after="0" w:line="161" w:lineRule="exact"/>
        <w:rPr>
          <w:rFonts w:ascii="Times New Roman" w:cs="Times New Roman" w:eastAsia="Times New Roman" w:hAnsi="Times New Roman"/>
          <w:sz w:val="16"/>
          <w:szCs w:val="16"/>
          <w:color w:val="auto"/>
        </w:rPr>
      </w:pPr>
    </w:p>
    <w:p>
      <w:pPr>
        <w:ind w:left="-20" w:right="240" w:firstLine="582"/>
        <w:spacing w:after="0" w:line="271" w:lineRule="auto"/>
        <w:tabs>
          <w:tab w:leader="none" w:pos="835"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place or places, if any, in addition to or instead of the Corporate Trust Office of the Trustee where the principal of, premium, if any, and interest on Securities of the series shall be payable, and where Securities of such series may be presented for registration of transfer, exchange or conversion, and the place or places where notices and demands to or upon the Company in respect of the Securities of such series may be made;</w:t>
      </w:r>
    </w:p>
    <w:p>
      <w:pPr>
        <w:spacing w:after="0" w:line="156" w:lineRule="exact"/>
        <w:rPr>
          <w:rFonts w:ascii="Times New Roman" w:cs="Times New Roman" w:eastAsia="Times New Roman" w:hAnsi="Times New Roman"/>
          <w:sz w:val="16"/>
          <w:szCs w:val="16"/>
          <w:color w:val="auto"/>
        </w:rPr>
      </w:pPr>
    </w:p>
    <w:p>
      <w:pPr>
        <w:ind w:left="-20" w:right="100" w:firstLine="582"/>
        <w:spacing w:after="0" w:line="288" w:lineRule="auto"/>
        <w:tabs>
          <w:tab w:leader="none" w:pos="799"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or prices at which, the period or periods within which or the date or dates on which, and the terms and conditions upon which, Securities of the series may be redeemed, in whole or in part, at the option of the Company, if the Company is to have that option;</w:t>
      </w:r>
    </w:p>
    <w:p>
      <w:pPr>
        <w:spacing w:after="0" w:line="143" w:lineRule="exact"/>
        <w:rPr>
          <w:rFonts w:ascii="Times New Roman" w:cs="Times New Roman" w:eastAsia="Times New Roman" w:hAnsi="Times New Roman"/>
          <w:sz w:val="16"/>
          <w:szCs w:val="16"/>
          <w:color w:val="auto"/>
        </w:rPr>
      </w:pPr>
    </w:p>
    <w:p>
      <w:pPr>
        <w:ind w:left="-20" w:right="80" w:firstLine="582"/>
        <w:spacing w:after="0" w:line="271" w:lineRule="auto"/>
        <w:tabs>
          <w:tab w:leader="none" w:pos="799"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or right, if any, of the Company to redeem, purchase or repay Securities of the series pursuant to any sinking fund, amortization or analogous provisions or at the option of a Holder thereof and the price or prices at which, the period or periods within which or the date or dates on which, the Currency or Currencies in which and the terms and conditions upon which Securities of the series shall be redeemed, purchased or repaid, in whole or in part, pursuant to such obligation;</w:t>
      </w:r>
    </w:p>
    <w:p>
      <w:pPr>
        <w:spacing w:after="0" w:line="156" w:lineRule="exact"/>
        <w:rPr>
          <w:rFonts w:ascii="Times New Roman" w:cs="Times New Roman" w:eastAsia="Times New Roman" w:hAnsi="Times New Roman"/>
          <w:sz w:val="16"/>
          <w:szCs w:val="16"/>
          <w:color w:val="auto"/>
        </w:rPr>
      </w:pPr>
    </w:p>
    <w:p>
      <w:pPr>
        <w:ind w:left="840" w:hanging="278"/>
        <w:spacing w:after="0"/>
        <w:tabs>
          <w:tab w:leader="none" w:pos="84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other than denominations of $2,000 or any integral multiple of $1,000 in excess thereof, the denominations in which Securities of the series shall be issuable;</w:t>
      </w:r>
    </w:p>
    <w:p>
      <w:pPr>
        <w:spacing w:after="0" w:line="205" w:lineRule="exact"/>
        <w:rPr>
          <w:rFonts w:ascii="Times New Roman" w:cs="Times New Roman" w:eastAsia="Times New Roman" w:hAnsi="Times New Roman"/>
          <w:sz w:val="16"/>
          <w:szCs w:val="16"/>
          <w:color w:val="auto"/>
        </w:rPr>
      </w:pPr>
    </w:p>
    <w:p>
      <w:pPr>
        <w:ind w:left="-20" w:right="640" w:firstLine="582"/>
        <w:spacing w:after="0" w:line="288" w:lineRule="auto"/>
        <w:tabs>
          <w:tab w:leader="none" w:pos="799"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other than the principal amount thereof, the portion of the principal amount of the Securities of the series which shall be payable upon declaration of acceleration of the maturity thereof pursuant to Section 6.02;</w:t>
      </w:r>
    </w:p>
    <w:p>
      <w:pPr>
        <w:spacing w:after="0" w:line="143" w:lineRule="exact"/>
        <w:rPr>
          <w:rFonts w:ascii="Times New Roman" w:cs="Times New Roman" w:eastAsia="Times New Roman" w:hAnsi="Times New Roman"/>
          <w:sz w:val="16"/>
          <w:szCs w:val="16"/>
          <w:color w:val="auto"/>
        </w:rPr>
      </w:pPr>
    </w:p>
    <w:p>
      <w:pPr>
        <w:ind w:left="-20" w:right="400" w:firstLine="582"/>
        <w:spacing w:after="0" w:line="288" w:lineRule="auto"/>
        <w:tabs>
          <w:tab w:leader="none" w:pos="8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guarantors, if any, of the Securities of the series (and any change to the subordination provisions that apply to the Guarantees of such guarantors with respect to the series from those contained in Section 10.09) and any additions or changes to permit or facilitate guarantees of such Securities;</w:t>
      </w:r>
    </w:p>
    <w:p>
      <w:pPr>
        <w:spacing w:after="0" w:line="143" w:lineRule="exact"/>
        <w:rPr>
          <w:rFonts w:ascii="Times New Roman" w:cs="Times New Roman" w:eastAsia="Times New Roman" w:hAnsi="Times New Roman"/>
          <w:sz w:val="16"/>
          <w:szCs w:val="16"/>
          <w:color w:val="auto"/>
        </w:rPr>
      </w:pPr>
    </w:p>
    <w:p>
      <w:pPr>
        <w:ind w:left="840" w:hanging="278"/>
        <w:spacing w:after="0"/>
        <w:tabs>
          <w:tab w:leader="none" w:pos="84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Securities of the series are to be issued as Original Issue Discount Securities and the amount of discount with which such Securities may be issued;</w:t>
      </w:r>
    </w:p>
    <w:p>
      <w:pPr>
        <w:spacing w:after="0" w:line="205" w:lineRule="exact"/>
        <w:rPr>
          <w:rFonts w:ascii="Times New Roman" w:cs="Times New Roman" w:eastAsia="Times New Roman" w:hAnsi="Times New Roman"/>
          <w:sz w:val="16"/>
          <w:szCs w:val="16"/>
          <w:color w:val="auto"/>
        </w:rPr>
      </w:pPr>
    </w:p>
    <w:p>
      <w:pPr>
        <w:ind w:left="840" w:hanging="278"/>
        <w:spacing w:after="0"/>
        <w:tabs>
          <w:tab w:leader="none" w:pos="84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addition to or change in the provisions related to satisfaction and discharge or defeasance of Securities of the series in whole or in part;</w:t>
      </w:r>
    </w:p>
    <w:p>
      <w:pPr>
        <w:spacing w:after="0" w:line="205" w:lineRule="exact"/>
        <w:rPr>
          <w:rFonts w:ascii="Times New Roman" w:cs="Times New Roman" w:eastAsia="Times New Roman" w:hAnsi="Times New Roman"/>
          <w:sz w:val="16"/>
          <w:szCs w:val="16"/>
          <w:color w:val="auto"/>
        </w:rPr>
      </w:pPr>
    </w:p>
    <w:p>
      <w:pPr>
        <w:ind w:left="-20" w:right="140" w:firstLine="582"/>
        <w:spacing w:after="0" w:line="271" w:lineRule="auto"/>
        <w:tabs>
          <w:tab w:leader="none" w:pos="835"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Securities of the series are to be issued in whole or in part in the form of one or more Global Securities and, in such case, the Depositary for such Global Security or Global Securities, and any addition to or change in the terms and conditions upon which interests in such Global Security or Global Securities may be exchanged in whole or in part for Individual Securities;</w:t>
      </w:r>
    </w:p>
    <w:p>
      <w:pPr>
        <w:spacing w:after="0" w:line="156" w:lineRule="exact"/>
        <w:rPr>
          <w:rFonts w:ascii="Times New Roman" w:cs="Times New Roman" w:eastAsia="Times New Roman" w:hAnsi="Times New Roman"/>
          <w:sz w:val="16"/>
          <w:szCs w:val="16"/>
          <w:color w:val="auto"/>
        </w:rPr>
      </w:pPr>
    </w:p>
    <w:p>
      <w:pPr>
        <w:ind w:left="840" w:hanging="278"/>
        <w:spacing w:after="0"/>
        <w:tabs>
          <w:tab w:leader="none" w:pos="84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as of which any Global Security of the series shall be dated if other than the original issuance of the first Security of the series to be issued;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33655</wp:posOffset>
            </wp:positionV>
            <wp:extent cx="7145655"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00"/>
          </w:cols>
          <w:pgMar w:left="340" w:top="123" w:right="359" w:bottom="1440" w:gutter="0" w:footer="0" w:header="0"/>
        </w:sectPr>
      </w:pPr>
    </w:p>
    <w:bookmarkStart w:id="133" w:name="page134"/>
    <w:bookmarkEnd w:id="133"/>
    <w:p>
      <w:pPr>
        <w:ind w:left="820" w:hanging="238"/>
        <w:spacing w:after="0"/>
        <w:tabs>
          <w:tab w:leader="none" w:pos="82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form of the Securities of the series;</w:t>
      </w:r>
    </w:p>
    <w:p>
      <w:pPr>
        <w:spacing w:after="0" w:line="205" w:lineRule="exact"/>
        <w:rPr>
          <w:rFonts w:ascii="Times New Roman" w:cs="Times New Roman" w:eastAsia="Times New Roman" w:hAnsi="Times New Roman"/>
          <w:sz w:val="16"/>
          <w:szCs w:val="16"/>
          <w:color w:val="auto"/>
        </w:rPr>
      </w:pPr>
    </w:p>
    <w:p>
      <w:pPr>
        <w:ind w:right="280" w:firstLine="582"/>
        <w:spacing w:after="0" w:line="288" w:lineRule="auto"/>
        <w:tabs>
          <w:tab w:leader="none" w:pos="837"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Securities of the series are to be convertible into or exchangeable for any securities or Property of any Person (including the Company), the terms and conditions upon which such Securities will be so convertible or exchangeable, and any additions or changes, if any, to permit or facilitate such conversion or exchange;</w:t>
      </w:r>
    </w:p>
    <w:p>
      <w:pPr>
        <w:spacing w:after="0" w:line="143" w:lineRule="exact"/>
        <w:rPr>
          <w:rFonts w:ascii="Times New Roman" w:cs="Times New Roman" w:eastAsia="Times New Roman" w:hAnsi="Times New Roman"/>
          <w:sz w:val="16"/>
          <w:szCs w:val="16"/>
          <w:color w:val="auto"/>
        </w:rPr>
      </w:pPr>
    </w:p>
    <w:p>
      <w:pPr>
        <w:ind w:left="820" w:hanging="238"/>
        <w:spacing w:after="0"/>
        <w:tabs>
          <w:tab w:leader="none" w:pos="82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[Reserved];</w:t>
      </w:r>
    </w:p>
    <w:p>
      <w:pPr>
        <w:spacing w:after="0" w:line="205"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restriction or condition on the transferability of the Securities of such series;</w:t>
      </w:r>
    </w:p>
    <w:p>
      <w:pPr>
        <w:spacing w:after="0" w:line="205"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addition to or change in the provisions related to compensation and reimbursement of the Trustee which applies to Securities of such series;</w:t>
      </w:r>
    </w:p>
    <w:p>
      <w:pPr>
        <w:spacing w:after="0" w:line="205" w:lineRule="exact"/>
        <w:rPr>
          <w:rFonts w:ascii="Times New Roman" w:cs="Times New Roman" w:eastAsia="Times New Roman" w:hAnsi="Times New Roman"/>
          <w:sz w:val="16"/>
          <w:szCs w:val="16"/>
          <w:color w:val="auto"/>
        </w:rPr>
      </w:pPr>
    </w:p>
    <w:p>
      <w:pPr>
        <w:ind w:left="880" w:hanging="298"/>
        <w:spacing w:after="0"/>
        <w:tabs>
          <w:tab w:leader="none" w:pos="8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addition to or change in the provisions related to supplemental indentures set forth in Sections 8.02 and 8.07 which applies to Securities of such series;</w:t>
      </w:r>
    </w:p>
    <w:p>
      <w:pPr>
        <w:spacing w:after="0" w:line="205"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if any, granting special rights to Holders upon the occurrence of specified events;</w:t>
      </w:r>
    </w:p>
    <w:p>
      <w:pPr>
        <w:spacing w:after="0" w:line="205" w:lineRule="exact"/>
        <w:rPr>
          <w:rFonts w:ascii="Times New Roman" w:cs="Times New Roman" w:eastAsia="Times New Roman" w:hAnsi="Times New Roman"/>
          <w:sz w:val="16"/>
          <w:szCs w:val="16"/>
          <w:color w:val="auto"/>
        </w:rPr>
      </w:pPr>
    </w:p>
    <w:p>
      <w:pPr>
        <w:jc w:val="both"/>
        <w:ind w:firstLine="582"/>
        <w:spacing w:after="0" w:line="271" w:lineRule="auto"/>
        <w:tabs>
          <w:tab w:leader="none" w:pos="855"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addition to or change in the Events of Default which applies to Securities of the series and any change in the right of the Trustee or the requisite Holders of such Securities to declare the principal amount thereof due and payable pursuant to Section 6.02 and any addition to or change in the provisions set forth in Article VI which applies to Securities of the series;</w:t>
      </w:r>
    </w:p>
    <w:p>
      <w:pPr>
        <w:spacing w:after="0" w:line="156" w:lineRule="exact"/>
        <w:rPr>
          <w:rFonts w:ascii="Times New Roman" w:cs="Times New Roman" w:eastAsia="Times New Roman" w:hAnsi="Times New Roman"/>
          <w:sz w:val="16"/>
          <w:szCs w:val="16"/>
          <w:color w:val="auto"/>
        </w:rPr>
      </w:pPr>
    </w:p>
    <w:p>
      <w:pPr>
        <w:ind w:right="40" w:firstLine="582"/>
        <w:spacing w:after="0" w:line="271" w:lineRule="auto"/>
        <w:tabs>
          <w:tab w:leader="none" w:pos="846"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Securities of such series will be secured by any collateral and, if so, the terms and conditions upon which such Securities shall be secured and, if applicable, upon which such liens may be subordinated to other liens securing other Indebtedness of the Company or any Guarantor (subject to the subordination provisions applicable to the Securities of such series and the Guarantees thereof, as applicable);</w:t>
      </w:r>
    </w:p>
    <w:p>
      <w:pPr>
        <w:spacing w:after="0" w:line="156" w:lineRule="exact"/>
        <w:rPr>
          <w:sz w:val="20"/>
          <w:szCs w:val="20"/>
          <w:color w:val="auto"/>
        </w:rPr>
      </w:pPr>
    </w:p>
    <w:p>
      <w:pPr>
        <w:ind w:left="920" w:hanging="338"/>
        <w:spacing w:after="0"/>
        <w:tabs>
          <w:tab w:leader="none" w:pos="92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addition to or change in the covenants set forth in Article IV or Article V which applies to Securities of the series;</w:t>
      </w:r>
    </w:p>
    <w:p>
      <w:pPr>
        <w:spacing w:after="0" w:line="205" w:lineRule="exact"/>
        <w:rPr>
          <w:rFonts w:ascii="Times New Roman" w:cs="Times New Roman" w:eastAsia="Times New Roman" w:hAnsi="Times New Roman"/>
          <w:sz w:val="16"/>
          <w:szCs w:val="16"/>
          <w:color w:val="auto"/>
        </w:rPr>
      </w:pPr>
    </w:p>
    <w:p>
      <w:pPr>
        <w:jc w:val="both"/>
        <w:ind w:right="360" w:firstLine="582"/>
        <w:spacing w:after="0" w:line="271" w:lineRule="auto"/>
        <w:tabs>
          <w:tab w:leader="none" w:pos="936"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change to any subordination provision that applies to the Securities of the series and the Guarantees thereof from those contained in Article XIII and Section 10.9, respectively, with respect to the Securities, and any change to the definition of Senior Indebtedness that shall apply to the Securities of the series from the definition contained herein; and</w:t>
      </w:r>
    </w:p>
    <w:p>
      <w:pPr>
        <w:spacing w:after="0" w:line="156" w:lineRule="exact"/>
        <w:rPr>
          <w:rFonts w:ascii="Times New Roman" w:cs="Times New Roman" w:eastAsia="Times New Roman" w:hAnsi="Times New Roman"/>
          <w:sz w:val="16"/>
          <w:szCs w:val="16"/>
          <w:color w:val="auto"/>
        </w:rPr>
      </w:pPr>
    </w:p>
    <w:p>
      <w:pPr>
        <w:ind w:right="140" w:firstLine="582"/>
        <w:spacing w:after="0" w:line="288" w:lineRule="auto"/>
        <w:tabs>
          <w:tab w:leader="none" w:pos="918"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terms of the Securities of such series (which terms shall not be inconsistent with the provisions of the TIA, but may modify, amend, supplement or delete any of the terms of this Indenture with respect to such series).</w:t>
      </w:r>
    </w:p>
    <w:p>
      <w:pPr>
        <w:spacing w:after="0" w:line="143" w:lineRule="exact"/>
        <w:rPr>
          <w:sz w:val="20"/>
          <w:szCs w:val="20"/>
          <w:color w:val="auto"/>
        </w:rPr>
      </w:pPr>
    </w:p>
    <w:p>
      <w:pPr>
        <w:ind w:right="640" w:firstLine="585"/>
        <w:spacing w:after="0" w:line="288" w:lineRule="auto"/>
        <w:rPr>
          <w:sz w:val="20"/>
          <w:szCs w:val="20"/>
          <w:color w:val="auto"/>
        </w:rPr>
      </w:pPr>
      <w:r>
        <w:rPr>
          <w:rFonts w:ascii="Times New Roman" w:cs="Times New Roman" w:eastAsia="Times New Roman" w:hAnsi="Times New Roman"/>
          <w:sz w:val="16"/>
          <w:szCs w:val="16"/>
          <w:color w:val="auto"/>
        </w:rPr>
        <w:t>All Securities of any one series shall be substantially identical, except as to denomination and except as may otherwise be provided herein or set forth in a Company Order or in one or more indentures supplemental hereto.</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2.03. Execution and Authentication.</w:t>
      </w:r>
    </w:p>
    <w:p>
      <w:pPr>
        <w:spacing w:after="0" w:line="208" w:lineRule="exact"/>
        <w:rPr>
          <w:sz w:val="20"/>
          <w:szCs w:val="20"/>
          <w:color w:val="auto"/>
        </w:rPr>
      </w:pPr>
    </w:p>
    <w:p>
      <w:pPr>
        <w:ind w:right="120" w:firstLine="582"/>
        <w:spacing w:after="0" w:line="265" w:lineRule="auto"/>
        <w:tabs>
          <w:tab w:leader="none" w:pos="846"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Securities shall be executed on behalf of the Company by its chairman of the Board of Directors, chief executive officer, chief financial officer, controller or assistant controller, president or any vice president, any treasurer or any assistant treasurer, secretary or any assistant secretary or any other officer designated in an Officer’s Certificate. The signature of any of these officers on the Securities may be manual or electronic. Typographic and other minor defects in any electronic signature shall not affect the validity or enforceability of any Security which has been authenticated and delivered to the Trustee.</w:t>
      </w:r>
    </w:p>
    <w:p>
      <w:pPr>
        <w:spacing w:after="0" w:line="161" w:lineRule="exact"/>
        <w:rPr>
          <w:rFonts w:ascii="Times New Roman" w:cs="Times New Roman" w:eastAsia="Times New Roman" w:hAnsi="Times New Roman"/>
          <w:sz w:val="16"/>
          <w:szCs w:val="16"/>
          <w:color w:val="auto"/>
        </w:rPr>
      </w:pPr>
    </w:p>
    <w:p>
      <w:pPr>
        <w:ind w:right="140" w:firstLine="582"/>
        <w:spacing w:after="0" w:line="288" w:lineRule="auto"/>
        <w:tabs>
          <w:tab w:leader="none" w:pos="855"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 Officer whose signature is on a Security was an Officer at the time of such execution but no longer holds that office at the time the Trustee authenticates the Security, the Security shall be valid nevertheless.</w:t>
      </w:r>
    </w:p>
    <w:p>
      <w:pPr>
        <w:spacing w:after="0" w:line="143" w:lineRule="exact"/>
        <w:rPr>
          <w:rFonts w:ascii="Times New Roman" w:cs="Times New Roman" w:eastAsia="Times New Roman" w:hAnsi="Times New Roman"/>
          <w:sz w:val="16"/>
          <w:szCs w:val="16"/>
          <w:color w:val="auto"/>
        </w:rPr>
      </w:pPr>
    </w:p>
    <w:p>
      <w:pPr>
        <w:ind w:firstLine="582"/>
        <w:spacing w:after="0" w:line="261" w:lineRule="auto"/>
        <w:tabs>
          <w:tab w:leader="none" w:pos="846"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Security shall be entitled to any benefit under this Indenture or be valid or obligatory for any purpose unless there appears on such Security a certificate of authentication substantially in the form set forth in Section 2.04(a) executed by the Trustee by manual or electronic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2.13, for all purposes of this Indenture such Security shall be deemed never to have been authenticated and delivered hereunder and shall never be entitled to the benefits of this Indenture.</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34" w:name="page135"/>
    <w:bookmarkEnd w:id="134"/>
    <w:p>
      <w:pPr>
        <w:ind w:right="20" w:firstLine="582"/>
        <w:spacing w:after="0" w:line="288" w:lineRule="auto"/>
        <w:tabs>
          <w:tab w:leader="none" w:pos="855"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Securities shall be issuable only in fully registered form without coupons in denominations of $2,000 and any integral multiple of $1,000 in excess thereof, unless otherwise specified pursuant to Section 2.02 with respect to Securities of any series.</w:t>
      </w:r>
    </w:p>
    <w:p>
      <w:pPr>
        <w:spacing w:after="0" w:line="143" w:lineRule="exact"/>
        <w:rPr>
          <w:rFonts w:ascii="Times New Roman" w:cs="Times New Roman" w:eastAsia="Times New Roman" w:hAnsi="Times New Roman"/>
          <w:sz w:val="16"/>
          <w:szCs w:val="16"/>
          <w:color w:val="auto"/>
        </w:rPr>
      </w:pPr>
    </w:p>
    <w:p>
      <w:pPr>
        <w:jc w:val="both"/>
        <w:ind w:right="60" w:firstLine="582"/>
        <w:spacing w:after="0" w:line="262" w:lineRule="auto"/>
        <w:tabs>
          <w:tab w:leader="none" w:pos="846"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if not previously delivered, a supplemental indenture or Company Order as contemplated by Section 2.02 setting forth the terms of the Securities of a series. The Trustee shall thereupon authenticate and deliver such Securities without any further action by the Company. The Company Order shall specify the amount of Securities to be authenticated and the date on which the original issue of Securities is to be authenticated.</w:t>
      </w:r>
    </w:p>
    <w:p>
      <w:pPr>
        <w:spacing w:after="0" w:line="164" w:lineRule="exact"/>
        <w:rPr>
          <w:rFonts w:ascii="Times New Roman" w:cs="Times New Roman" w:eastAsia="Times New Roman" w:hAnsi="Times New Roman"/>
          <w:sz w:val="16"/>
          <w:szCs w:val="16"/>
          <w:color w:val="auto"/>
        </w:rPr>
      </w:pPr>
    </w:p>
    <w:p>
      <w:pPr>
        <w:ind w:firstLine="582"/>
        <w:spacing w:after="0" w:line="265" w:lineRule="auto"/>
        <w:tabs>
          <w:tab w:leader="none" w:pos="828"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authenticating the Securities of any series for original issuance and accepting the additional responsibilities under this Indenture in relation to such Securities, the Trustee shall receive and (subject to Section 7.01) shall be fully protected in relying upon an Officer’s Certificate and an Opinion of Counsel, each prepared in accordance with Section 12.03, stating that the conditions precedent, if any, provided for in this Indenture relating to the authentication and delivery of such Securities have been complied with.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Such Opinion of Counsel shall further state:</w:t>
      </w:r>
    </w:p>
    <w:p>
      <w:pPr>
        <w:spacing w:after="0" w:line="206" w:lineRule="exact"/>
        <w:rPr>
          <w:sz w:val="20"/>
          <w:szCs w:val="20"/>
          <w:color w:val="auto"/>
        </w:rPr>
      </w:pPr>
    </w:p>
    <w:p>
      <w:pPr>
        <w:ind w:left="1160" w:right="100" w:hanging="578"/>
        <w:spacing w:after="0" w:line="288" w:lineRule="auto"/>
        <w:tabs>
          <w:tab w:leader="none" w:pos="116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form of such Securities has been established by a supplemental indenture or by or pursuant to a Company Order in accordance with Sections 2.01 and 2.02 and in conformity with the provisions of this Indenture;</w:t>
      </w:r>
    </w:p>
    <w:p>
      <w:pPr>
        <w:spacing w:after="0" w:line="143" w:lineRule="exact"/>
        <w:rPr>
          <w:rFonts w:ascii="Times New Roman" w:cs="Times New Roman" w:eastAsia="Times New Roman" w:hAnsi="Times New Roman"/>
          <w:sz w:val="16"/>
          <w:szCs w:val="16"/>
          <w:color w:val="auto"/>
        </w:rPr>
      </w:pPr>
    </w:p>
    <w:p>
      <w:pPr>
        <w:ind w:left="1160" w:right="440" w:hanging="578"/>
        <w:spacing w:after="0" w:line="288" w:lineRule="auto"/>
        <w:tabs>
          <w:tab w:leader="none" w:pos="116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terms of such Securities have been established in accordance with Sections 2.01 and 2.02 and in conformity with the other provisions of this Indenture; and</w:t>
      </w:r>
    </w:p>
    <w:p>
      <w:pPr>
        <w:spacing w:after="0" w:line="143" w:lineRule="exact"/>
        <w:rPr>
          <w:rFonts w:ascii="Times New Roman" w:cs="Times New Roman" w:eastAsia="Times New Roman" w:hAnsi="Times New Roman"/>
          <w:sz w:val="16"/>
          <w:szCs w:val="16"/>
          <w:color w:val="auto"/>
        </w:rPr>
      </w:pPr>
    </w:p>
    <w:p>
      <w:pPr>
        <w:ind w:left="1160" w:right="100" w:hanging="578"/>
        <w:spacing w:after="0" w:line="262" w:lineRule="auto"/>
        <w:tabs>
          <w:tab w:leader="none" w:pos="116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reorganization, moratorium, fraudulent transfer and other laws of general applicability relating to or affecting the enforcement of creditors’ rights from time to time in effect and to general equity principles, including, without limitation, concepts of materiality, reasonableness, good faith and fair dealing, regardless of whether considered in a proceeding in equity or at law.</w:t>
      </w:r>
    </w:p>
    <w:p>
      <w:pPr>
        <w:spacing w:after="0" w:line="165" w:lineRule="exact"/>
        <w:rPr>
          <w:sz w:val="20"/>
          <w:szCs w:val="20"/>
          <w:color w:val="auto"/>
        </w:rPr>
      </w:pPr>
    </w:p>
    <w:p>
      <w:pPr>
        <w:ind w:right="100" w:firstLine="582"/>
        <w:spacing w:after="0" w:line="271" w:lineRule="auto"/>
        <w:tabs>
          <w:tab w:leader="none" w:pos="855"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have the right to decline to authenticate and deliver the Securities under this Section 2.03 if the issue of the Securities pursuant to this Indenture will affect the Trustee’s own rights, duties or immunities under the Securities or this Indenture or otherwise in a manner which is not reasonably acceptable to the Trustee.</w:t>
      </w:r>
    </w:p>
    <w:p>
      <w:pPr>
        <w:spacing w:after="0" w:line="156"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Security shall be dated the date of its authentication, except as otherwise provided pursuant to Section 2.02 with respect to the Securities of such series.</w:t>
      </w:r>
    </w:p>
    <w:p>
      <w:pPr>
        <w:spacing w:after="0" w:line="205" w:lineRule="exact"/>
        <w:rPr>
          <w:rFonts w:ascii="Times New Roman" w:cs="Times New Roman" w:eastAsia="Times New Roman" w:hAnsi="Times New Roman"/>
          <w:sz w:val="16"/>
          <w:szCs w:val="16"/>
          <w:color w:val="auto"/>
        </w:rPr>
      </w:pPr>
    </w:p>
    <w:p>
      <w:pPr>
        <w:ind w:right="20" w:firstLine="582"/>
        <w:spacing w:after="0" w:line="288" w:lineRule="auto"/>
        <w:tabs>
          <w:tab w:leader="none" w:pos="819"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provisions of Section 2.01 and of this Section 2.03, if all of the Securities of any series are not to be originally issued at the same time, then the documents required to be delivered pursuant to this Section 2.03 must be delivered only once prior to the authentication and delivery of the first Security of such series.</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2.04. Forms of Certificate of Authentication.</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 The Trustee’s certificates of authentication shall be in substantially the following form:</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6"/>
          <w:szCs w:val="16"/>
          <w:color w:val="auto"/>
        </w:rPr>
        <w:t>TRUSTEE’S CERTIFICATE OF AUTHENTICATION</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This is one of the Securities of the series designated therein referred to in the within-mentioned Subordinated Indenture.</w:t>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THE BANK OF NEW YORK MELLON,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as Trustee</w:t>
      </w:r>
    </w:p>
    <w:p>
      <w:pPr>
        <w:spacing w:after="0" w:line="19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25400</wp:posOffset>
            </wp:positionV>
            <wp:extent cx="3209290"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2">
                      <a:extLst>
                        <a:ext uri="{28A0092B-C50C-407E-A947-70E740481C1C}"/>
                      </a:extLst>
                    </a:blip>
                    <a:srcRect/>
                    <a:stretch>
                      <a:fillRect/>
                    </a:stretch>
                  </pic:blipFill>
                  <pic:spPr bwMode="auto">
                    <a:xfrm>
                      <a:off x="0" y="0"/>
                      <a:ext cx="3209290" cy="15240"/>
                    </a:xfrm>
                    <a:prstGeom prst="rect">
                      <a:avLst/>
                    </a:prstGeom>
                    <a:noFill/>
                  </pic:spPr>
                </pic:pic>
              </a:graphicData>
            </a:graphic>
          </wp:anchor>
        </w:drawing>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Authorized Signatory</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Dated:</w:t>
      </w:r>
    </w:p>
    <w:p>
      <w:pPr>
        <w:spacing w:after="0" w:line="190" w:lineRule="exact"/>
        <w:rPr>
          <w:sz w:val="20"/>
          <w:szCs w:val="20"/>
          <w:color w:val="auto"/>
        </w:rPr>
      </w:pPr>
    </w:p>
    <w:p>
      <w:pPr>
        <w:ind w:right="100" w:firstLine="582"/>
        <w:spacing w:after="0" w:line="288" w:lineRule="auto"/>
        <w:tabs>
          <w:tab w:leader="none" w:pos="855"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any time there shall be an Authenticating Agent appointed with respect to any series of Securities, then the Trustee’s Certificate of Authentication by such Authenticating Agent to be borne by Securities of each such series shall be substantially as follows: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TRUSTEE’S CERTIFICATE OF AUTHENTICATION</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This is one of the Securities of the series designated therein referred to in the within-mentioned Subordinated Indenture.</w:t>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THE BANK OF NEW YORK MELLON,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as Trustee</w:t>
      </w:r>
    </w:p>
    <w:p>
      <w:pPr>
        <w:spacing w:after="0" w:line="181" w:lineRule="exact"/>
        <w:rPr>
          <w:sz w:val="20"/>
          <w:szCs w:val="20"/>
          <w:color w:val="auto"/>
        </w:rPr>
      </w:pPr>
    </w:p>
    <w:tbl>
      <w:tblPr>
        <w:tblLayout w:type="fixed"/>
        <w:tblInd w:w="5640" w:type="dxa"/>
        <w:tblCellMar>
          <w:top w:w="0" w:type="dxa"/>
          <w:left w:w="0" w:type="dxa"/>
          <w:bottom w:w="0" w:type="dxa"/>
          <w:right w:w="0" w:type="dxa"/>
        </w:tblCellMar>
      </w:tblPr>
      <w:tr>
        <w:trPr>
          <w:trHeight w:val="184"/>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[NAME OF AUTHENTICATING AGENT]</w:t>
            </w:r>
          </w:p>
        </w:tc>
        <w:tc>
          <w:tcPr>
            <w:tcW w:w="2180" w:type="dxa"/>
            <w:vAlign w:val="bottom"/>
          </w:tcPr>
          <w:p>
            <w:pPr>
              <w:spacing w:after="0"/>
              <w:rPr>
                <w:sz w:val="16"/>
                <w:szCs w:val="16"/>
                <w:color w:val="auto"/>
              </w:rPr>
            </w:pPr>
          </w:p>
        </w:tc>
      </w:tr>
      <w:tr>
        <w:trPr>
          <w:trHeight w:val="211"/>
        </w:trPr>
        <w:tc>
          <w:tcPr>
            <w:tcW w:w="56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 Authenticating Agent</w:t>
            </w:r>
          </w:p>
        </w:tc>
      </w:tr>
      <w:tr>
        <w:trPr>
          <w:trHeight w:val="407"/>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28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r>
        <w:trPr>
          <w:trHeight w:val="196"/>
        </w:trPr>
        <w:tc>
          <w:tcPr>
            <w:tcW w:w="56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Authorized Signatory</w:t>
            </w:r>
          </w:p>
        </w:tc>
      </w:tr>
    </w:tbl>
    <w:p>
      <w:pPr>
        <w:ind w:left="560"/>
        <w:spacing w:after="0"/>
        <w:rPr>
          <w:sz w:val="20"/>
          <w:szCs w:val="20"/>
          <w:color w:val="auto"/>
        </w:rPr>
      </w:pPr>
      <w:r>
        <w:rPr>
          <w:rFonts w:ascii="Times New Roman" w:cs="Times New Roman" w:eastAsia="Times New Roman" w:hAnsi="Times New Roman"/>
          <w:sz w:val="16"/>
          <w:szCs w:val="16"/>
          <w:color w:val="auto"/>
        </w:rPr>
        <w:t>Dated:</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2.05. Registrar and Paying Agent.</w:t>
      </w:r>
    </w:p>
    <w:p>
      <w:pPr>
        <w:spacing w:after="0" w:line="206" w:lineRule="exact"/>
        <w:rPr>
          <w:sz w:val="20"/>
          <w:szCs w:val="20"/>
          <w:color w:val="auto"/>
        </w:rPr>
      </w:pPr>
    </w:p>
    <w:p>
      <w:pPr>
        <w:ind w:right="120" w:firstLine="585"/>
        <w:spacing w:after="0" w:line="266" w:lineRule="auto"/>
        <w:rPr>
          <w:sz w:val="20"/>
          <w:szCs w:val="20"/>
          <w:color w:val="auto"/>
        </w:rPr>
      </w:pPr>
      <w:r>
        <w:rPr>
          <w:rFonts w:ascii="Times New Roman" w:cs="Times New Roman" w:eastAsia="Times New Roman" w:hAnsi="Times New Roman"/>
          <w:sz w:val="16"/>
          <w:szCs w:val="16"/>
          <w:color w:val="auto"/>
        </w:rPr>
        <w:t>The Company shall maintain an office or agency where Securities may be presented for registration of transfer or for exchange (the “</w:t>
      </w:r>
      <w:r>
        <w:rPr>
          <w:rFonts w:ascii="Times New Roman" w:cs="Times New Roman" w:eastAsia="Times New Roman" w:hAnsi="Times New Roman"/>
          <w:sz w:val="16"/>
          <w:szCs w:val="16"/>
          <w:i w:val="1"/>
          <w:iCs w:val="1"/>
          <w:color w:val="auto"/>
        </w:rPr>
        <w:t>Registrar</w:t>
      </w:r>
      <w:r>
        <w:rPr>
          <w:rFonts w:ascii="Times New Roman" w:cs="Times New Roman" w:eastAsia="Times New Roman" w:hAnsi="Times New Roman"/>
          <w:sz w:val="16"/>
          <w:szCs w:val="16"/>
          <w:color w:val="auto"/>
        </w:rPr>
        <w:t>”), an office or agency where Securities may be presented for payment (the “</w:t>
      </w:r>
      <w:r>
        <w:rPr>
          <w:rFonts w:ascii="Times New Roman" w:cs="Times New Roman" w:eastAsia="Times New Roman" w:hAnsi="Times New Roman"/>
          <w:sz w:val="16"/>
          <w:szCs w:val="16"/>
          <w:i w:val="1"/>
          <w:iCs w:val="1"/>
          <w:color w:val="auto"/>
        </w:rPr>
        <w:t>Paying Agent</w:t>
      </w:r>
      <w:r>
        <w:rPr>
          <w:rFonts w:ascii="Times New Roman" w:cs="Times New Roman" w:eastAsia="Times New Roman" w:hAnsi="Times New Roman"/>
          <w:sz w:val="16"/>
          <w:szCs w:val="16"/>
          <w:color w:val="auto"/>
        </w:rPr>
        <w:t>”) and an office or agency where notices and demands to or upon the Company, if any, in respect of the Securities and this Indenture may be served. The Registrar shall keep a register of the Securities and of their transfer and exchange. The Company may have one or more additional Paying Agents. The term “Paying Agent” includes any additional Paying Agent.</w:t>
      </w:r>
    </w:p>
    <w:p>
      <w:pPr>
        <w:spacing w:after="0" w:line="161" w:lineRule="exact"/>
        <w:rPr>
          <w:sz w:val="20"/>
          <w:szCs w:val="20"/>
          <w:color w:val="auto"/>
        </w:rPr>
      </w:pPr>
    </w:p>
    <w:p>
      <w:pPr>
        <w:ind w:right="220" w:firstLine="585"/>
        <w:spacing w:after="0" w:line="265" w:lineRule="auto"/>
        <w:rPr>
          <w:sz w:val="20"/>
          <w:szCs w:val="20"/>
          <w:color w:val="auto"/>
        </w:rPr>
      </w:pPr>
      <w:r>
        <w:rPr>
          <w:rFonts w:ascii="Times New Roman" w:cs="Times New Roman" w:eastAsia="Times New Roman" w:hAnsi="Times New Roman"/>
          <w:sz w:val="16"/>
          <w:szCs w:val="16"/>
          <w:color w:val="auto"/>
        </w:rPr>
        <w:t>The Company shall enter into an appropriate agency agreement, which shall incorporate the provisions of the TIA, with any Agent that is not a party to this Indenture. The agreement shall implement the provisions of this Indenture that relate to such Agent. The Company shall notify the Trustee of the name and address of any such Agent. If the Company fails to maintain a Registrar or Paying Agent, or fails to give the foregoing notice, the Trustee shall act as such and shall be entitled to appropriate compensation in accordance with Section 7.06.</w:t>
      </w:r>
    </w:p>
    <w:p>
      <w:pPr>
        <w:spacing w:after="0" w:line="162" w:lineRule="exact"/>
        <w:rPr>
          <w:sz w:val="20"/>
          <w:szCs w:val="20"/>
          <w:color w:val="auto"/>
        </w:rPr>
      </w:pPr>
    </w:p>
    <w:p>
      <w:pPr>
        <w:ind w:right="100" w:firstLine="585"/>
        <w:spacing w:after="0" w:line="271" w:lineRule="auto"/>
        <w:rPr>
          <w:sz w:val="20"/>
          <w:szCs w:val="20"/>
          <w:color w:val="auto"/>
        </w:rPr>
      </w:pPr>
      <w:r>
        <w:rPr>
          <w:rFonts w:ascii="Times New Roman" w:cs="Times New Roman" w:eastAsia="Times New Roman" w:hAnsi="Times New Roman"/>
          <w:sz w:val="16"/>
          <w:szCs w:val="16"/>
          <w:color w:val="auto"/>
        </w:rPr>
        <w:t>The Company initially appoints the Trustee as Registrar, Paying Agent and Agent for service of notices and demands in connection with the Securities and this Indenture, and the Corporate Trust Office of the Trustee as the office or agency of the Company for such purposes, and the Company may change the Paying Agent without prior notice to the Holders. The Company or any of its Subsidiaries may act as Paying Agent.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36" w:name="page137"/>
    <w:bookmarkEnd w:id="136"/>
    <w:p>
      <w:pPr>
        <w:ind w:left="580"/>
        <w:spacing w:after="0"/>
        <w:rPr>
          <w:sz w:val="20"/>
          <w:szCs w:val="20"/>
          <w:color w:val="auto"/>
        </w:rPr>
      </w:pPr>
      <w:r>
        <w:rPr>
          <w:rFonts w:ascii="Times New Roman" w:cs="Times New Roman" w:eastAsia="Times New Roman" w:hAnsi="Times New Roman"/>
          <w:sz w:val="16"/>
          <w:szCs w:val="16"/>
          <w:i w:val="1"/>
          <w:iCs w:val="1"/>
          <w:color w:val="auto"/>
        </w:rPr>
        <w:t>Section 2.06. Paying Agent To Hold Money in Trust.</w:t>
      </w:r>
    </w:p>
    <w:p>
      <w:pPr>
        <w:spacing w:after="0" w:line="208" w:lineRule="exact"/>
        <w:rPr>
          <w:sz w:val="20"/>
          <w:szCs w:val="20"/>
          <w:color w:val="auto"/>
        </w:rPr>
      </w:pPr>
    </w:p>
    <w:p>
      <w:pPr>
        <w:ind w:firstLine="585"/>
        <w:spacing w:after="0" w:line="258" w:lineRule="auto"/>
        <w:rPr>
          <w:sz w:val="20"/>
          <w:szCs w:val="20"/>
          <w:color w:val="auto"/>
        </w:rPr>
      </w:pPr>
      <w:r>
        <w:rPr>
          <w:rFonts w:ascii="Times New Roman" w:cs="Times New Roman" w:eastAsia="Times New Roman" w:hAnsi="Times New Roman"/>
          <w:sz w:val="16"/>
          <w:szCs w:val="16"/>
          <w:color w:val="auto"/>
        </w:rPr>
        <w:t xml:space="preserve">Each Paying Agent shall hold in trust for the benefit of the Holders or the Trustee all money held by the Paying Agent for the payment of principal of, premium, if any, or interest on the Securities (whether such money has been paid to it by the Company or any other obligor on the Securities), and the Company and the Paying Agent shall notify the Trustee of any default by the Company (or any other obligor on the Securities) in making any such payment. Money held in trust by the Paying Agent need not be segregated except as required by law and in no event shall the Paying Agent be liable for any interest on any money received by it hereunder;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Company or an Affiliate thereof acts as Paying Agent, it shall segregate the money held by it as Paying Agent and hold such money in a separate trust fund. The Company at any time may require the Paying Agent to pay all money held by it to the Trustee and account for any funds disbursed, and the Trustee may at any time during the continuance of any Event of Default specified in Section 6.01(1) or (2), upon written request to the Paying Agent, require the Paying Agent to pay forthwith all money so held by it to the Trustee and to account for any funds disbursed. Upon making such payment, the Paying Agent shall have no further liability for the money delivered to the Trustee. Any money deposited with the Trustee or any Paying Agent, or then held by the Company in trust for the payment of the principal of, or premium, if any, or interest on any Security shall not be subject to claims of the holders of Senior Indebtedness under Section 10.9 or Article XIII.</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2.07. Holder Lists.</w:t>
      </w:r>
    </w:p>
    <w:p>
      <w:pPr>
        <w:spacing w:after="0" w:line="208" w:lineRule="exact"/>
        <w:rPr>
          <w:sz w:val="20"/>
          <w:szCs w:val="20"/>
          <w:color w:val="auto"/>
        </w:rPr>
      </w:pPr>
    </w:p>
    <w:p>
      <w:pPr>
        <w:ind w:right="200" w:firstLine="585"/>
        <w:spacing w:after="0" w:line="265" w:lineRule="auto"/>
        <w:rPr>
          <w:sz w:val="20"/>
          <w:szCs w:val="20"/>
          <w:color w:val="auto"/>
        </w:rPr>
      </w:pPr>
      <w:r>
        <w:rPr>
          <w:rFonts w:ascii="Times New Roman" w:cs="Times New Roman" w:eastAsia="Times New Roman" w:hAnsi="Times New Roman"/>
          <w:sz w:val="16"/>
          <w:szCs w:val="16"/>
          <w:color w:val="auto"/>
        </w:rPr>
        <w:t xml:space="preserve">The Trustee shall preserve in as current a form as is reasonably practicable the most recent list available to it of the names and addresses of the Holders of each series of Securities. If the Trustee is not the Registrar, the Company shall furnish to the Trustee at least five Business Days before each Interest Payment Date, and at such other times as the Trustee may request in writing, a list in such form and as of such date as the Trustee may reasonably require of the names and addresses of the Holders;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as long as the Trustee is the Registrar, no such list need be furnished.</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2.08. Transfer and Exchange.</w:t>
      </w:r>
    </w:p>
    <w:p>
      <w:pPr>
        <w:spacing w:after="0" w:line="208" w:lineRule="exact"/>
        <w:rPr>
          <w:sz w:val="20"/>
          <w:szCs w:val="20"/>
          <w:color w:val="auto"/>
        </w:rPr>
      </w:pPr>
    </w:p>
    <w:p>
      <w:pPr>
        <w:ind w:right="20" w:firstLine="582"/>
        <w:spacing w:after="0" w:line="258" w:lineRule="auto"/>
        <w:tabs>
          <w:tab w:leader="none" w:pos="846"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Securities are presented to the Registrar with a request from the Holder of such Securities to register a transfer or to exchange them for an equal principal amount of Securities of other authorized denominations of the same series, the Registrar shall register the transfer as requested. Every Security presented or surrendered for registration of transfer or exchange shall be duly endorsed or be accompanied by a written instrument of transfer in form satisfactory to the Company and the Registrar, duly executed by the Holder thereof or its attorney duly authorized in writing. To permit registrations of transfers and exchanges, the Company shall issue and execute, and the Trustee shall authenticate, new Securities evidencing such transfer or exchange at the Registrar’s request. No service charge shall be made to the Holder for any registration of transfer or exchange. The Company may require from the Holder payment of a sum sufficient to cover any transfer taxes or other governmental charge that may be imposed in relation to a transfer or exchange, but this provision shall not apply to any exchange pursuant to Section 2.12, 3.07 or 8.04 (in which events the Company shall be responsible for the payment of such taxes). The Registrar shall not be required to exchange or register a transfer of any Security of any series for a period of 15 days immediately preceding the redemption of Securities of such series, except the unredeemed portion of any Security being redeemed in part.</w:t>
      </w:r>
    </w:p>
    <w:p>
      <w:pPr>
        <w:spacing w:after="0" w:line="168" w:lineRule="exact"/>
        <w:rPr>
          <w:rFonts w:ascii="Times New Roman" w:cs="Times New Roman" w:eastAsia="Times New Roman" w:hAnsi="Times New Roman"/>
          <w:sz w:val="16"/>
          <w:szCs w:val="16"/>
          <w:color w:val="auto"/>
        </w:rPr>
      </w:pPr>
    </w:p>
    <w:p>
      <w:pPr>
        <w:ind w:right="160" w:firstLine="582"/>
        <w:spacing w:after="0" w:line="265" w:lineRule="auto"/>
        <w:tabs>
          <w:tab w:leader="none" w:pos="855"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due presentation for registration of transfer or exchange of any Security, the Company, the Trustee, the Paying Agent, the Registrar, any co-Registrar or any of their agents may deem and treat the Person in whose name a Security is registered as the absolute owner of such Security (whether or not such Security shall be overdue and notwithstanding any notation of ownership or other writing thereon) for all purposes whatsoever, and none of the Company, the Trustee, the Paying Agent, the Registrar, any co-Registrar or any of their agents shall be affected by any notice to the contrary.</w:t>
      </w:r>
    </w:p>
    <w:p>
      <w:pPr>
        <w:spacing w:after="0" w:line="161" w:lineRule="exact"/>
        <w:rPr>
          <w:rFonts w:ascii="Times New Roman" w:cs="Times New Roman" w:eastAsia="Times New Roman" w:hAnsi="Times New Roman"/>
          <w:sz w:val="16"/>
          <w:szCs w:val="16"/>
          <w:color w:val="auto"/>
        </w:rPr>
      </w:pPr>
    </w:p>
    <w:p>
      <w:pPr>
        <w:ind w:right="60" w:firstLine="582"/>
        <w:spacing w:after="0" w:line="259" w:lineRule="auto"/>
        <w:tabs>
          <w:tab w:leader="none" w:pos="846"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a Successor Company has executed an indenture supplemental hereto with the Trustee, any of the Securities authenticated or delivered pursuant to such transaction may, from time to time, at the request of the Successor Company, be exchanged for other Securities executed in the name of the Successor Company with such changes in phraseology and form as may be appropriate, but otherwise identical to the Securities surrendered for such exchange and of like principal amount; and the Trustee, upon Company Order of the Successor Company, shall authenticate and deliver Securities as specified in such order for the purpose of such exchange. If Securities shall at any time be authenticated and delivered in any new name of a Successor Company pursuant to this Section 2.08 in exchange or substitution for or upon registration of transfer of any Securities, such Successor Company, at the option of the Holders but without expense to them, shall provide for the exchange of all Securities at the time outstanding for Securities authenticated and delivered in such new name.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ind w:right="80" w:firstLine="582"/>
        <w:spacing w:after="0" w:line="288" w:lineRule="auto"/>
        <w:tabs>
          <w:tab w:leader="none" w:pos="855"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Holder of a Security agrees to indemnify the Company, the Guarantors and the Trustee against any liability that may result from the transfer, exchange or assignment of such Holder’s Security in violation of any provision of this Indenture and/or applicable United States federal or state securities laws.</w:t>
      </w:r>
    </w:p>
    <w:p>
      <w:pPr>
        <w:spacing w:after="0" w:line="143" w:lineRule="exact"/>
        <w:rPr>
          <w:rFonts w:ascii="Times New Roman" w:cs="Times New Roman" w:eastAsia="Times New Roman" w:hAnsi="Times New Roman"/>
          <w:sz w:val="16"/>
          <w:szCs w:val="16"/>
          <w:color w:val="auto"/>
        </w:rPr>
      </w:pPr>
    </w:p>
    <w:p>
      <w:pPr>
        <w:jc w:val="both"/>
        <w:ind w:right="40" w:firstLine="582"/>
        <w:spacing w:after="0" w:line="265" w:lineRule="auto"/>
        <w:tabs>
          <w:tab w:leader="none" w:pos="846"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Trustee, the Paying Agent or the Registrar shall have any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2.09. Replacement Securities.</w:t>
      </w:r>
    </w:p>
    <w:p>
      <w:pPr>
        <w:spacing w:after="0" w:line="208" w:lineRule="exact"/>
        <w:rPr>
          <w:sz w:val="20"/>
          <w:szCs w:val="20"/>
          <w:color w:val="auto"/>
        </w:rPr>
      </w:pPr>
    </w:p>
    <w:p>
      <w:pPr>
        <w:ind w:right="60" w:firstLine="585"/>
        <w:spacing w:after="0" w:line="259" w:lineRule="auto"/>
        <w:rPr>
          <w:sz w:val="20"/>
          <w:szCs w:val="20"/>
          <w:color w:val="auto"/>
        </w:rPr>
      </w:pPr>
      <w:r>
        <w:rPr>
          <w:rFonts w:ascii="Times New Roman" w:cs="Times New Roman" w:eastAsia="Times New Roman" w:hAnsi="Times New Roman"/>
          <w:sz w:val="16"/>
          <w:szCs w:val="16"/>
          <w:color w:val="auto"/>
        </w:rPr>
        <w:t>If a mutilated Security of any series is surrendered to the Registrar or the Trustee, or if the Holder of a Security of any series claims that the Security has been lost, destroyed or wrongfully taken, the Company shall issue and the Trustee shall authenticate a replacement Security of such series if the Holder of such Security furnishes to the Company and the Trustee evidence reasonably acceptable to them of the ownership and the destruction, loss or theft of such Security and if the requirements of Section 8-405 of the New York Uniform Commercial Code as in effect on the date of this Indenture are met. If required by the Trustee or the Company, an indemnity bond shall be posted, sufficient in the judgment of all to protect the Company, the Trustee or any Paying Agent from any loss that any of them may suffer if such Security is replaced. The Company may charge such Holder for the Company’s reasonable out-of-pocket expenses in replacing such Security and the Trustee may charge the Company for the Trustee’s expenses (including, without limitation, attorneys’ fees and disbursements) in replacing such Security. Every replacement Security shall constitute a contractual obligation of the Company.</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2.10. Outstanding Securities.</w:t>
      </w:r>
    </w:p>
    <w:p>
      <w:pPr>
        <w:spacing w:after="0" w:line="208" w:lineRule="exact"/>
        <w:rPr>
          <w:sz w:val="20"/>
          <w:szCs w:val="20"/>
          <w:color w:val="auto"/>
        </w:rPr>
      </w:pPr>
    </w:p>
    <w:p>
      <w:pPr>
        <w:ind w:firstLine="585"/>
        <w:spacing w:after="0" w:line="265" w:lineRule="auto"/>
        <w:rPr>
          <w:sz w:val="20"/>
          <w:szCs w:val="20"/>
          <w:color w:val="auto"/>
        </w:rPr>
      </w:pPr>
      <w:r>
        <w:rPr>
          <w:rFonts w:ascii="Times New Roman" w:cs="Times New Roman" w:eastAsia="Times New Roman" w:hAnsi="Times New Roman"/>
          <w:sz w:val="16"/>
          <w:szCs w:val="16"/>
          <w:color w:val="auto"/>
        </w:rPr>
        <w:t>The Securities outstanding at any time are all Securities that have been authenticated by the Trustee except for (a) those canceled by it, (b) those delivered to it for cancellation, (c) to the extent set forth in Sections 9.02 and 9.03, on or after the date on which the conditions set forth in Section 9.02 or 9.03 have been satisfied, those Securities theretofore authenticated and delivered by the Trustee hereunder and (d) those described in this Section 2.10 as not outstanding. Subject to Section 2.11, a Security does not cease to be outstanding because the Company or one of its Affiliates holds the Security.</w:t>
      </w:r>
    </w:p>
    <w:p>
      <w:pPr>
        <w:spacing w:after="0" w:line="162" w:lineRule="exact"/>
        <w:rPr>
          <w:sz w:val="20"/>
          <w:szCs w:val="20"/>
          <w:color w:val="auto"/>
        </w:rPr>
      </w:pPr>
    </w:p>
    <w:p>
      <w:pPr>
        <w:ind w:right="80" w:firstLine="585"/>
        <w:spacing w:after="0" w:line="288" w:lineRule="auto"/>
        <w:rPr>
          <w:sz w:val="20"/>
          <w:szCs w:val="20"/>
          <w:color w:val="auto"/>
        </w:rPr>
      </w:pPr>
      <w:r>
        <w:rPr>
          <w:rFonts w:ascii="Times New Roman" w:cs="Times New Roman" w:eastAsia="Times New Roman" w:hAnsi="Times New Roman"/>
          <w:sz w:val="16"/>
          <w:szCs w:val="16"/>
          <w:color w:val="auto"/>
        </w:rPr>
        <w:t>If a Security is replaced pursuant to Section 2.09, it ceases to be outstanding unless the Trustee receives proof satisfactory to it that the replaced Security is held by a bona fide purchaser in whose hands such Security is a legal, valid and binding obligation of the Company.</w:t>
      </w:r>
    </w:p>
    <w:p>
      <w:pPr>
        <w:spacing w:after="0" w:line="143" w:lineRule="exact"/>
        <w:rPr>
          <w:sz w:val="20"/>
          <w:szCs w:val="20"/>
          <w:color w:val="auto"/>
        </w:rPr>
      </w:pPr>
    </w:p>
    <w:p>
      <w:pPr>
        <w:ind w:right="140" w:firstLine="585"/>
        <w:spacing w:after="0" w:line="271" w:lineRule="auto"/>
        <w:rPr>
          <w:sz w:val="20"/>
          <w:szCs w:val="20"/>
          <w:color w:val="auto"/>
        </w:rPr>
      </w:pPr>
      <w:r>
        <w:rPr>
          <w:rFonts w:ascii="Times New Roman" w:cs="Times New Roman" w:eastAsia="Times New Roman" w:hAnsi="Times New Roman"/>
          <w:sz w:val="16"/>
          <w:szCs w:val="16"/>
          <w:color w:val="auto"/>
        </w:rPr>
        <w:t>If the Paying Agent holds, in its capacity as such, on any Maturity Date, money sufficient to pay all accrued interest and principal with respect to the Securities payable on that date and is not prohibited from paying such money to the Holders thereof pursuant to the terms of this Indenture, then on and after that date such Securities cease to be outstanding and interest on them ceases to accrue.</w:t>
      </w:r>
    </w:p>
    <w:p>
      <w:pPr>
        <w:spacing w:after="0" w:line="156" w:lineRule="exact"/>
        <w:rPr>
          <w:sz w:val="20"/>
          <w:szCs w:val="20"/>
          <w:color w:val="auto"/>
        </w:rPr>
      </w:pPr>
    </w:p>
    <w:p>
      <w:pPr>
        <w:ind w:right="60" w:firstLine="585"/>
        <w:spacing w:after="0" w:line="265" w:lineRule="auto"/>
        <w:rPr>
          <w:sz w:val="20"/>
          <w:szCs w:val="20"/>
          <w:color w:val="auto"/>
        </w:rPr>
      </w:pPr>
      <w:r>
        <w:rPr>
          <w:rFonts w:ascii="Times New Roman" w:cs="Times New Roman" w:eastAsia="Times New Roman" w:hAnsi="Times New Roman"/>
          <w:sz w:val="16"/>
          <w:szCs w:val="16"/>
          <w:color w:val="auto"/>
        </w:rPr>
        <w:t>For each series of Original Issue Discount Securities, the principal amount of such Securities that shall be deemed to be outstanding and used to determine whether the necessary Holders have given any request, demand, authorization, direction, notice, consent or waiver shall be the amount of the principal thereof that would be due and payable as of the date of such determination upon a declaration of acceleration of the maturity thereof pursuant to Section 6.02. The principal amount of a Security denominated in a Foreign Currency that shall be deemed to be outstanding for such purposes shall be the amount calculated pursuant to Section 2.20(b).</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8" w:name="page139"/>
    <w:bookmarkEnd w:id="138"/>
    <w:p>
      <w:pPr>
        <w:ind w:left="580"/>
        <w:spacing w:after="0"/>
        <w:rPr>
          <w:sz w:val="20"/>
          <w:szCs w:val="20"/>
          <w:color w:val="auto"/>
        </w:rPr>
      </w:pPr>
      <w:r>
        <w:rPr>
          <w:rFonts w:ascii="Times New Roman" w:cs="Times New Roman" w:eastAsia="Times New Roman" w:hAnsi="Times New Roman"/>
          <w:sz w:val="16"/>
          <w:szCs w:val="16"/>
          <w:i w:val="1"/>
          <w:iCs w:val="1"/>
          <w:color w:val="auto"/>
        </w:rPr>
        <w:t>Section 2.11. Treasury Securities.</w:t>
      </w:r>
    </w:p>
    <w:p>
      <w:pPr>
        <w:spacing w:after="0" w:line="208" w:lineRule="exact"/>
        <w:rPr>
          <w:sz w:val="20"/>
          <w:szCs w:val="20"/>
          <w:color w:val="auto"/>
        </w:rPr>
      </w:pPr>
    </w:p>
    <w:p>
      <w:pPr>
        <w:ind w:firstLine="585"/>
        <w:spacing w:after="0" w:line="259" w:lineRule="auto"/>
        <w:rPr>
          <w:sz w:val="20"/>
          <w:szCs w:val="20"/>
          <w:color w:val="auto"/>
        </w:rPr>
      </w:pPr>
      <w:r>
        <w:rPr>
          <w:rFonts w:ascii="Times New Roman" w:cs="Times New Roman" w:eastAsia="Times New Roman" w:hAnsi="Times New Roman"/>
          <w:sz w:val="16"/>
          <w:szCs w:val="16"/>
          <w:color w:val="auto"/>
        </w:rPr>
        <w:t>In determining whether the Holders of the required principal amount of Securities of a series have concurred in any declaration of acceleration or notice of default or direction, waiver or consent or any amendment, modification or other change to this Indenture, Securities owned by the Company or any other Affiliate of the Company shall be disregarded as though they were not outstanding, except that for the purposes of determining whether the Trustee shall be protected in relying on any such direction, waiver or consent or any amendment, modification or other change to this Indenture, only Securities as to which a Responsible Officer of the Trustee has actually received an Officer’s Certificate stating that such Securities are so owned shall be so disregarded. Securities so owned which have been pledged in good faith shall not be disregarded if the pledgee established to the satisfaction of the Trustee the pledgee’s right so to act with respect to the Securities and that the pledgee is not the Company, any other obligor on the Securities or any of their respective Affiliates.</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2.12. Temporary Securities.</w:t>
      </w:r>
    </w:p>
    <w:p>
      <w:pPr>
        <w:spacing w:after="0" w:line="208" w:lineRule="exact"/>
        <w:rPr>
          <w:sz w:val="20"/>
          <w:szCs w:val="20"/>
          <w:color w:val="auto"/>
        </w:rPr>
      </w:pPr>
    </w:p>
    <w:p>
      <w:pPr>
        <w:ind w:right="360" w:firstLine="585"/>
        <w:spacing w:after="0" w:line="262" w:lineRule="auto"/>
        <w:rPr>
          <w:sz w:val="20"/>
          <w:szCs w:val="20"/>
          <w:color w:val="auto"/>
        </w:rPr>
      </w:pPr>
      <w:r>
        <w:rPr>
          <w:rFonts w:ascii="Times New Roman" w:cs="Times New Roman" w:eastAsia="Times New Roman" w:hAnsi="Times New Roman"/>
          <w:sz w:val="16"/>
          <w:szCs w:val="16"/>
          <w:color w:val="auto"/>
        </w:rPr>
        <w:t>Until definitive Securities are prepared and ready for delivery, the Company may prepare and the Trustee shall authenticate temporary Securities. Temporary Securities shall be substantially in the form of definitive Securities but may have variations that the Company considers appropriate for temporary Securities. Any such temporary Security may be in the form of one or more Global Securities, representing all or a portion of the Securities of such series. Without unreasonable delay, the Company shall prepare and the Trustee shall authenticate definitive Securities in exchange for temporary Securities. Until such exchange, temporary Securities shall be entitled to the same rights, benefits and privileges as definitive Securities.</w:t>
      </w:r>
    </w:p>
    <w:p>
      <w:pPr>
        <w:spacing w:after="0" w:line="165" w:lineRule="exact"/>
        <w:rPr>
          <w:sz w:val="20"/>
          <w:szCs w:val="20"/>
          <w:color w:val="auto"/>
        </w:rPr>
      </w:pPr>
    </w:p>
    <w:p>
      <w:pPr>
        <w:jc w:val="both"/>
        <w:ind w:right="40" w:firstLine="585"/>
        <w:spacing w:after="0" w:line="271" w:lineRule="auto"/>
        <w:rPr>
          <w:sz w:val="20"/>
          <w:szCs w:val="20"/>
          <w:color w:val="auto"/>
        </w:rPr>
      </w:pPr>
      <w:r>
        <w:rPr>
          <w:rFonts w:ascii="Times New Roman" w:cs="Times New Roman" w:eastAsia="Times New Roman" w:hAnsi="Times New Roman"/>
          <w:sz w:val="16"/>
          <w:szCs w:val="16"/>
          <w:color w:val="auto"/>
        </w:rPr>
        <w:t>Upon any exchange of a portion of a temporary Global Security for a definitive Global Security or for the Individual Securities represented thereby pursuant to this Section 2.12 or Section 2.08, the temporary Global Security shall be endorsed by the Trustee to reflect the reduction of the principal amount evidenced thereby, whereupon the principal amount of such temporary Global Security shall be reduced for all purposes by the amount so exchanged and endorsed.</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2.13. Cancellation.</w:t>
      </w:r>
    </w:p>
    <w:p>
      <w:pPr>
        <w:spacing w:after="0" w:line="208" w:lineRule="exact"/>
        <w:rPr>
          <w:sz w:val="20"/>
          <w:szCs w:val="20"/>
          <w:color w:val="auto"/>
        </w:rPr>
      </w:pPr>
    </w:p>
    <w:p>
      <w:pPr>
        <w:ind w:right="120" w:firstLine="585"/>
        <w:spacing w:after="0" w:line="262" w:lineRule="auto"/>
        <w:rPr>
          <w:sz w:val="20"/>
          <w:szCs w:val="20"/>
          <w:color w:val="auto"/>
        </w:rPr>
      </w:pPr>
      <w:r>
        <w:rPr>
          <w:rFonts w:ascii="Times New Roman" w:cs="Times New Roman" w:eastAsia="Times New Roman" w:hAnsi="Times New Roman"/>
          <w:sz w:val="16"/>
          <w:szCs w:val="16"/>
          <w:color w:val="auto"/>
        </w:rPr>
        <w:t>The Company at any time may deliver Securities to the Trustee for cancellation along with a Company Order directing the cancellation thereof. The Registrar and the Paying Agent shall forward to the Trustee any Securities surrendered to them for registration of transfer, exchange, payment or credit against any sinking fund. The Trustee shall cancel all Securities surrendered for registration of transfer, exchange, payment, replacement or cancellation and shall deliver such canceled Securities to the Company. The Company may not reissue or resell, or issue new Securities to replace Securities that the Company has redeemed or paid, or that have been delivered to the Trustee for cancellation (other than in accordance with this Indenture).</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2.14. Defaulted Interest.</w:t>
      </w:r>
    </w:p>
    <w:p>
      <w:pPr>
        <w:spacing w:after="0" w:line="206" w:lineRule="exact"/>
        <w:rPr>
          <w:sz w:val="20"/>
          <w:szCs w:val="20"/>
          <w:color w:val="auto"/>
        </w:rPr>
      </w:pPr>
    </w:p>
    <w:p>
      <w:pPr>
        <w:ind w:right="160" w:firstLine="585"/>
        <w:spacing w:after="0" w:line="260" w:lineRule="auto"/>
        <w:rPr>
          <w:sz w:val="20"/>
          <w:szCs w:val="20"/>
          <w:color w:val="auto"/>
        </w:rPr>
      </w:pPr>
      <w:r>
        <w:rPr>
          <w:rFonts w:ascii="Times New Roman" w:cs="Times New Roman" w:eastAsia="Times New Roman" w:hAnsi="Times New Roman"/>
          <w:sz w:val="16"/>
          <w:szCs w:val="16"/>
          <w:color w:val="auto"/>
        </w:rPr>
        <w:t xml:space="preserve">If the Company defaults on a payment of interest on the Securities, it shall pay the defaulted interest,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(to the extent permitted by law) any interest payable on the defaulted interest, in accordance with the terms hereof, to the Persons who are Holders on a subsequent special record date, which date shall be at least five Business Days prior to the payment date. The Company shall fix such special record date and payment date in a manner satisfactory to the Trustee. At least 10 days before such special record date, the Company shall deliver in accordance with the procedures of the Depositary to each Holder a notice that states the special record date, the payment date and the amount of defaulted interest to be paid. The Company may make payment of any defaulted interest in any other lawful manner not inconsistent with the requirements (if applicable) of any securities exchange on which the Securities may be listed and, upon such notice as may be required by such exchange, if, after written notice given by the Company to the Trustee of the proposed payment pursuant to this sentence, such manner of payment shall be deemed practicable by the Trustee.</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9" w:name="page140"/>
    <w:bookmarkEnd w:id="139"/>
    <w:p>
      <w:pPr>
        <w:ind w:left="580"/>
        <w:spacing w:after="0"/>
        <w:rPr>
          <w:sz w:val="20"/>
          <w:szCs w:val="20"/>
          <w:color w:val="auto"/>
        </w:rPr>
      </w:pPr>
      <w:r>
        <w:rPr>
          <w:rFonts w:ascii="Times New Roman" w:cs="Times New Roman" w:eastAsia="Times New Roman" w:hAnsi="Times New Roman"/>
          <w:sz w:val="16"/>
          <w:szCs w:val="16"/>
          <w:i w:val="1"/>
          <w:iCs w:val="1"/>
          <w:color w:val="auto"/>
        </w:rPr>
        <w:t>Section 2.15. Identifying Number.</w:t>
      </w:r>
    </w:p>
    <w:p>
      <w:pPr>
        <w:spacing w:after="0" w:line="208" w:lineRule="exact"/>
        <w:rPr>
          <w:sz w:val="20"/>
          <w:szCs w:val="20"/>
          <w:color w:val="auto"/>
        </w:rPr>
      </w:pPr>
    </w:p>
    <w:p>
      <w:pPr>
        <w:ind w:firstLine="585"/>
        <w:spacing w:after="0" w:line="262" w:lineRule="auto"/>
        <w:rPr>
          <w:sz w:val="20"/>
          <w:szCs w:val="20"/>
          <w:color w:val="auto"/>
        </w:rPr>
      </w:pPr>
      <w:r>
        <w:rPr>
          <w:rFonts w:ascii="Times New Roman" w:cs="Times New Roman" w:eastAsia="Times New Roman" w:hAnsi="Times New Roman"/>
          <w:sz w:val="16"/>
          <w:szCs w:val="16"/>
          <w:color w:val="auto"/>
        </w:rPr>
        <w:t xml:space="preserve">The Company in issuing the Securities of a series may use a “CUSIP,” “ISIN” or other similar number, and if so, such CUSIP, ISIN or other similar number shall be included in notices of redemption or exchange as a convenience to Holders;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such notice may state that no representation is made as to the correctness or accuracy of the CUSIP, ISIN or other similar number printed in the notice or on the Securities of such series, and that reliance may be placed only on the other identification numbers printed on the Securities of such series. The Company shall promptly notify the Trustee of any such CUSIP, ISIN or other similar number used by the Company in connection with the issuance of Securities of a series and of any change in the CUSIP, ISIN or other similar number.</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2.16. Deposit of Moneys.</w:t>
      </w:r>
    </w:p>
    <w:p>
      <w:pPr>
        <w:spacing w:after="0" w:line="208" w:lineRule="exact"/>
        <w:rPr>
          <w:sz w:val="20"/>
          <w:szCs w:val="20"/>
          <w:color w:val="auto"/>
        </w:rPr>
      </w:pPr>
    </w:p>
    <w:p>
      <w:pPr>
        <w:ind w:right="20" w:firstLine="585"/>
        <w:spacing w:after="0" w:line="261" w:lineRule="auto"/>
        <w:rPr>
          <w:sz w:val="20"/>
          <w:szCs w:val="20"/>
          <w:color w:val="auto"/>
        </w:rPr>
      </w:pPr>
      <w:r>
        <w:rPr>
          <w:rFonts w:ascii="Times New Roman" w:cs="Times New Roman" w:eastAsia="Times New Roman" w:hAnsi="Times New Roman"/>
          <w:sz w:val="16"/>
          <w:szCs w:val="16"/>
          <w:color w:val="auto"/>
        </w:rPr>
        <w:t>Prior to 11:00 a.m., New York City time, on each Interest Payment Date and Maturity Date, the Company shall have deposited with the Paying Agent in immediately available funds money in the Currency in which such Securities are denominated sufficient to make cash payments, if any, due on such Interest Payment Date or Maturity Date, as the case may be, in a timely manner which permits the Trustee to remit payment to the Holders on such Interest Payment Date or Maturity Date, as the case may be. The principal and interest on a Global Security shall be payable to the Depositary of such Global Security or its nominee, as the case may be, as the sole registered owner and the sole Holder of the Securities represented thereby. The principal and interest on Individual Securities shall be payable, either in person or by mail, at the office of the Paying Agent.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2.17. Global Securities.</w:t>
      </w:r>
    </w:p>
    <w:p>
      <w:pPr>
        <w:spacing w:after="0" w:line="208" w:lineRule="exact"/>
        <w:rPr>
          <w:sz w:val="20"/>
          <w:szCs w:val="20"/>
          <w:color w:val="auto"/>
        </w:rPr>
      </w:pPr>
    </w:p>
    <w:p>
      <w:pPr>
        <w:ind w:right="80" w:firstLine="582"/>
        <w:spacing w:after="0" w:line="262" w:lineRule="auto"/>
        <w:tabs>
          <w:tab w:leader="none" w:pos="846"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shall establish pursuant to Section 2.02 that the Securities of a series are to be issued in whole or in part in the form of one or more Global Securities, then the Company shall execute and the Trustee shall authenticate and deliver one or more Global Securities that (i) shall represent an aggregate amount equal to the aggregate principal amount of the outstanding Securities of such series to be represented by such Global Securities, (ii) shall be registered in the name of the Depositary for such Global Security or Global Securities or the nominee of such Depositary, (iii) shall be delivered by the Trustee to such Depositary or pursuant to such Depositary’s instruction and (iv) shall bear a legend substantially to the following effect, or such other legend(s) as the Company and the Depositary may agree:</w:t>
      </w:r>
    </w:p>
    <w:p>
      <w:pPr>
        <w:spacing w:after="0" w:line="165" w:lineRule="exact"/>
        <w:rPr>
          <w:sz w:val="20"/>
          <w:szCs w:val="20"/>
          <w:color w:val="auto"/>
        </w:rPr>
      </w:pPr>
    </w:p>
    <w:p>
      <w:pPr>
        <w:ind w:left="580" w:right="600"/>
        <w:spacing w:after="0" w:line="271" w:lineRule="auto"/>
        <w:rPr>
          <w:sz w:val="20"/>
          <w:szCs w:val="20"/>
          <w:color w:val="auto"/>
        </w:rPr>
      </w:pPr>
      <w:r>
        <w:rPr>
          <w:rFonts w:ascii="Times New Roman" w:cs="Times New Roman" w:eastAsia="Times New Roman" w:hAnsi="Times New Roman"/>
          <w:sz w:val="16"/>
          <w:szCs w:val="16"/>
          <w:color w:val="auto"/>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spacing w:after="0" w:line="156" w:lineRule="exact"/>
        <w:rPr>
          <w:sz w:val="20"/>
          <w:szCs w:val="20"/>
          <w:color w:val="auto"/>
        </w:rPr>
      </w:pPr>
    </w:p>
    <w:p>
      <w:pPr>
        <w:ind w:left="580" w:right="580"/>
        <w:spacing w:after="0" w:line="259" w:lineRule="auto"/>
        <w:rPr>
          <w:sz w:val="20"/>
          <w:szCs w:val="20"/>
          <w:color w:val="auto"/>
        </w:rPr>
      </w:pPr>
      <w:r>
        <w:rPr>
          <w:rFonts w:ascii="Times New Roman" w:cs="Times New Roman" w:eastAsia="Times New Roman" w:hAnsi="Times New Roman"/>
          <w:sz w:val="16"/>
          <w:szCs w:val="16"/>
          <w:color w:val="auto"/>
        </w:rPr>
        <w:t>UNLESS THIS CERTIFICATE IS PRESENTED BY AN AUTHORIZED REPRESENTATIVE OF [THE DEPOSITARY] TO THE COMPANY OR ITS AGENT FOR REGISTRATION OF TRANSFER, EXCHANGE OR PAYMENT, AND ANY CERTIFICATE ISSUED IS REGISTERED IN THE NAME OF [THE NOMINEE OF THE DEPOSITARY] OR IN SUCH OTHER NAME AS IS REQUESTED BY AN AUTHORIZED REPRESENTATIVE OF [THE DEPOSITARY] (AND ANY PAYMENT HEREON IS MADE TO [THE NOMINEE OF THE DEPOSITARY] OR TO SUCH OTHER ENTITY AS IS REQUESTED BY AN AUTHORIZED REPRESENTATIVE OF [THE DEPOSITARY]), ANY TRANSFER, PLEDGE OR OTHER USE HEREOF FOR VALUE OR OTHERWISE BY OR TO ANY PERSON IS WRONGFUL SINCE THE REGISTERED OWNER HEREOF, [THE NOMINEE OF THE DEPOSITARY], HAS AN INTEREST HEREIN.</w:t>
      </w:r>
    </w:p>
    <w:p>
      <w:pPr>
        <w:spacing w:after="0" w:line="169" w:lineRule="exact"/>
        <w:rPr>
          <w:sz w:val="20"/>
          <w:szCs w:val="20"/>
          <w:color w:val="auto"/>
        </w:rPr>
      </w:pPr>
    </w:p>
    <w:p>
      <w:pPr>
        <w:ind w:left="580" w:right="620"/>
        <w:spacing w:after="0" w:line="265" w:lineRule="auto"/>
        <w:rPr>
          <w:sz w:val="20"/>
          <w:szCs w:val="20"/>
          <w:color w:val="auto"/>
        </w:rPr>
      </w:pPr>
      <w:r>
        <w:rPr>
          <w:rFonts w:ascii="Times New Roman" w:cs="Times New Roman" w:eastAsia="Times New Roman" w:hAnsi="Times New Roman"/>
          <w:sz w:val="16"/>
          <w:szCs w:val="16"/>
          <w:color w:val="auto"/>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62" w:lineRule="exact"/>
        <w:rPr>
          <w:sz w:val="20"/>
          <w:szCs w:val="20"/>
          <w:color w:val="auto"/>
        </w:rPr>
      </w:pPr>
    </w:p>
    <w:p>
      <w:pPr>
        <w:ind w:right="80" w:firstLine="585"/>
        <w:spacing w:after="0" w:line="265" w:lineRule="auto"/>
        <w:rPr>
          <w:sz w:val="20"/>
          <w:szCs w:val="20"/>
          <w:color w:val="auto"/>
        </w:rPr>
      </w:pPr>
      <w:r>
        <w:rPr>
          <w:rFonts w:ascii="Times New Roman" w:cs="Times New Roman" w:eastAsia="Times New Roman" w:hAnsi="Times New Roman"/>
          <w:sz w:val="16"/>
          <w:szCs w:val="16"/>
          <w:color w:val="auto"/>
        </w:rPr>
        <w:t>The aggregate principal amount of each Global Security may from time to time be increased or decreased by adjustments made on the records of the Security Custodian, as provided in this Indenture. Any endorsements of a Global Security to reflect the amount of increase or decrease in the amount of outstanding Securities of the series represented thereby shall be made by the Security Custodian in accordance with the standing instructions and procedures existing between the Depositary and the Security Custodian.</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ind w:left="-20" w:right="60" w:firstLine="582"/>
        <w:spacing w:after="0" w:line="288" w:lineRule="auto"/>
        <w:tabs>
          <w:tab w:leader="none" w:pos="835"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Depositary designated pursuant to Section 2.02 for a Global Security in registered form must, at the time of its designation and at all times while it serves as such Depositary, be a clearing agency registered under the Exchange Act and any other applicable statute or regulation.</w:t>
      </w:r>
    </w:p>
    <w:p>
      <w:pPr>
        <w:spacing w:after="0" w:line="141" w:lineRule="exact"/>
        <w:rPr>
          <w:rFonts w:ascii="Times New Roman" w:cs="Times New Roman" w:eastAsia="Times New Roman" w:hAnsi="Times New Roman"/>
          <w:sz w:val="16"/>
          <w:szCs w:val="16"/>
          <w:color w:val="auto"/>
        </w:rPr>
      </w:pPr>
    </w:p>
    <w:p>
      <w:pPr>
        <w:ind w:left="-20" w:right="20" w:firstLine="582"/>
        <w:spacing w:after="0" w:line="259" w:lineRule="auto"/>
        <w:tabs>
          <w:tab w:leader="none" w:pos="826"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Members of, or direct or indirect participants in, the Depositary (“</w:t>
      </w:r>
      <w:r>
        <w:rPr>
          <w:rFonts w:ascii="Times New Roman" w:cs="Times New Roman" w:eastAsia="Times New Roman" w:hAnsi="Times New Roman"/>
          <w:sz w:val="16"/>
          <w:szCs w:val="16"/>
          <w:i w:val="1"/>
          <w:iCs w:val="1"/>
          <w:color w:val="auto"/>
        </w:rPr>
        <w:t>Agent Members</w:t>
      </w:r>
      <w:r>
        <w:rPr>
          <w:rFonts w:ascii="Times New Roman" w:cs="Times New Roman" w:eastAsia="Times New Roman" w:hAnsi="Times New Roman"/>
          <w:sz w:val="16"/>
          <w:szCs w:val="16"/>
          <w:color w:val="auto"/>
        </w:rPr>
        <w:t>”) shall have no rights under this Indenture with respect to any Global Security held on their behalf by the Depositary or by the Security Custodian under such Global Security, and the Depositary may be treated by the Company, the Trustee, the Paying Agent and the Registrar and any of their agents as the absolute owner of such Global Security for all purposes whatsoever. Notwithstanding the foregoing, nothing herein shall prevent the Company, the Trustee, the Paying Agent or the Registrar or any of their agents from giving effect to any written certification, proxy or other authorization (which may be in electronic form) furnished by the Depositary or impair, as between the Depositary and its Agent Members, the operation of customary practices of the Depositary governing the exercise of the rights of an owner of a beneficial interest in any Global Security. The Holder of a Global Security may grant proxies and otherwise authorize any Person, including Agent Members and Persons that may hold interests through Agent Members, to take any action that a Holder is entitled to take under this Indenture or the Securities.</w:t>
      </w:r>
    </w:p>
    <w:p>
      <w:pPr>
        <w:spacing w:after="0" w:line="167" w:lineRule="exact"/>
        <w:rPr>
          <w:rFonts w:ascii="Times New Roman" w:cs="Times New Roman" w:eastAsia="Times New Roman" w:hAnsi="Times New Roman"/>
          <w:sz w:val="16"/>
          <w:szCs w:val="16"/>
          <w:color w:val="auto"/>
        </w:rPr>
      </w:pPr>
    </w:p>
    <w:p>
      <w:pPr>
        <w:ind w:left="-20" w:right="40" w:firstLine="582"/>
        <w:spacing w:after="0" w:line="258" w:lineRule="auto"/>
        <w:tabs>
          <w:tab w:leader="none" w:pos="835"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Company, any Guarantor, the Trustee, the Registrar, any Paying Agent or any agent of any of them shall have any responsibility or liability for any aspect of the records relating to or payments made on account of beneficial ownership interests in the Securities, for maintaining, supervising or reviewing any records relating to such beneficial owner interests, or for any acts or omissions of a Depositary or for any transactions between a Depositary and any beneficial owner or between or among beneficial owners. No owner of a beneficial interest in the Securities shall have any rights under this Indenture, and the Depositary or its nominee, if any, shall be deemed and treated by the Company, any Guarantor, the Trustee, the Registrar, any Paying Agent or any agent of any of them as the absolute owner and holder of such Securities for all purposes whatsoever. Notwithstanding the foregoing, nothing herein shall prevent the Company, any Guarantor, the Trustee, the Registrar, any Paying Agent or any agent of any of them from giving effect to any written certification, proxy or other authorization furnished by a Depositary, or any of its members and any other Person on whose behalf such member may act, the operation of customary practices of such Persons governing the exercise of the rights of a beneficial owner of any Securities.</w:t>
      </w:r>
    </w:p>
    <w:p>
      <w:pPr>
        <w:spacing w:after="0" w:line="366" w:lineRule="exact"/>
        <w:rPr>
          <w:rFonts w:ascii="Times New Roman" w:cs="Times New Roman" w:eastAsia="Times New Roman" w:hAnsi="Times New Roman"/>
          <w:sz w:val="16"/>
          <w:szCs w:val="16"/>
          <w:color w:val="auto"/>
        </w:rPr>
      </w:pPr>
    </w:p>
    <w:p>
      <w:pPr>
        <w:ind w:left="820" w:hanging="258"/>
        <w:spacing w:after="0"/>
        <w:tabs>
          <w:tab w:leader="none" w:pos="82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provided below, owners of beneficial interests in Global Securities will not be entitled to receive Individual Securities.</w:t>
      </w:r>
    </w:p>
    <w:p>
      <w:pPr>
        <w:spacing w:after="0" w:line="205" w:lineRule="exact"/>
        <w:rPr>
          <w:rFonts w:ascii="Times New Roman" w:cs="Times New Roman" w:eastAsia="Times New Roman" w:hAnsi="Times New Roman"/>
          <w:sz w:val="16"/>
          <w:szCs w:val="16"/>
          <w:color w:val="auto"/>
        </w:rPr>
      </w:pPr>
    </w:p>
    <w:p>
      <w:pPr>
        <w:ind w:left="560" w:right="140" w:firstLine="587"/>
        <w:spacing w:after="0" w:line="262" w:lineRule="auto"/>
        <w:tabs>
          <w:tab w:leader="none" w:pos="1415"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Securities shall be issued to all owners of beneficial interests in a Global Security in exchange for such interests if: (A) at any time the Depositary for the Securities of a series notifies the Company that it is unwilling or unable to continue as Depositary for the Securities of such series or if at any time the Depositary for the Securities of such series shall no longer be eligible under Section 2.17(b) and, in each case, a successor Depositary is not appointed by the Company within 90 days of such notice, or (B) the Company executes and delivers to the Trustee and the Registrar an Officer’s Certificate stating that such Global Security shall be so exchangeable.</w:t>
      </w:r>
    </w:p>
    <w:p>
      <w:pPr>
        <w:spacing w:after="0" w:line="165" w:lineRule="exact"/>
        <w:rPr>
          <w:sz w:val="20"/>
          <w:szCs w:val="20"/>
          <w:color w:val="auto"/>
        </w:rPr>
      </w:pPr>
    </w:p>
    <w:p>
      <w:pPr>
        <w:ind w:left="560" w:right="120" w:firstLine="585"/>
        <w:spacing w:after="0" w:line="265" w:lineRule="auto"/>
        <w:rPr>
          <w:sz w:val="20"/>
          <w:szCs w:val="20"/>
          <w:color w:val="auto"/>
        </w:rPr>
      </w:pPr>
      <w:r>
        <w:rPr>
          <w:rFonts w:ascii="Times New Roman" w:cs="Times New Roman" w:eastAsia="Times New Roman" w:hAnsi="Times New Roman"/>
          <w:sz w:val="16"/>
          <w:szCs w:val="16"/>
          <w:color w:val="auto"/>
        </w:rPr>
        <w:t>In connection with the exchange of an entire Global Security for Individual Securities pursuant to this subsection (e), such Global Security shall be deemed to be surrendered to the Trustee for cancellation, and the Company shall execute, and the Trustee, upon receipt of a Company Order for the authentication and delivery of Individual Securities of such series, shall authenticate and deliver, to each beneficial owner identified by the Depositary in writing in exchange for its beneficial interest in such Global Security, an equal aggregate principal amount of Individual Securities of authorized denominations.</w:t>
      </w:r>
    </w:p>
    <w:p>
      <w:pPr>
        <w:spacing w:after="0" w:line="162" w:lineRule="exact"/>
        <w:rPr>
          <w:sz w:val="20"/>
          <w:szCs w:val="20"/>
          <w:color w:val="auto"/>
        </w:rPr>
      </w:pPr>
    </w:p>
    <w:p>
      <w:pPr>
        <w:ind w:left="560" w:firstLine="587"/>
        <w:spacing w:after="0" w:line="265" w:lineRule="auto"/>
        <w:tabs>
          <w:tab w:leader="none" w:pos="1415"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owner of a beneficial interest in a Global Security will be entitled to receive an Individual Security in exchange for such interest if an Event of Default has occurred and is continuing. Upon receipt by the Security Custodian and Registrar of instructions from the Holder of a Global Security directing the Security Custodian and Registrar to (x) issue one or more Individual Securities in the amounts specified to the owner of a beneficial interest in such Global Security and (y) debit or cause to be debited an equivalent amount of beneficial interest in such Global Security, subject to the rules and regulations of the Depositary:</w:t>
      </w:r>
    </w:p>
    <w:p>
      <w:pPr>
        <w:spacing w:after="0" w:line="161" w:lineRule="exact"/>
        <w:rPr>
          <w:rFonts w:ascii="Times New Roman" w:cs="Times New Roman" w:eastAsia="Times New Roman" w:hAnsi="Times New Roman"/>
          <w:sz w:val="16"/>
          <w:szCs w:val="16"/>
          <w:color w:val="auto"/>
        </w:rPr>
      </w:pPr>
    </w:p>
    <w:p>
      <w:pPr>
        <w:ind w:left="1140" w:right="300" w:firstLine="591"/>
        <w:spacing w:after="0" w:line="288" w:lineRule="auto"/>
        <w:tabs>
          <w:tab w:leader="none" w:pos="2031" w:val="left"/>
        </w:tabs>
        <w:numPr>
          <w:ilvl w:val="1"/>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Security Custodian and Registrar shall notify the Company and the Trustee of such instructions, identifying the owner and amount of such beneficial interest in such Global Security;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33655</wp:posOffset>
            </wp:positionV>
            <wp:extent cx="7145655"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40" w:top="123" w:right="339" w:bottom="1440" w:gutter="0" w:footer="0" w:header="0"/>
        </w:sectPr>
      </w:pPr>
    </w:p>
    <w:bookmarkStart w:id="141" w:name="page142"/>
    <w:bookmarkEnd w:id="141"/>
    <w:p>
      <w:pPr>
        <w:ind w:left="1160" w:right="40" w:firstLine="591"/>
        <w:spacing w:after="0" w:line="271" w:lineRule="auto"/>
        <w:tabs>
          <w:tab w:leader="none" w:pos="2042" w:val="left"/>
        </w:tabs>
        <w:numPr>
          <w:ilvl w:val="2"/>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promptly execute and the Trustee, upon receipt of a Company Order for the authentication and delivery of Individual Securities of such series, shall authenticate and deliver to such beneficial owner Individual Securities in an equivalent amount to such beneficial interest in such Global Security; and</w:t>
      </w:r>
    </w:p>
    <w:p>
      <w:pPr>
        <w:spacing w:after="0" w:line="156" w:lineRule="exact"/>
        <w:rPr>
          <w:rFonts w:ascii="Times New Roman" w:cs="Times New Roman" w:eastAsia="Times New Roman" w:hAnsi="Times New Roman"/>
          <w:sz w:val="16"/>
          <w:szCs w:val="16"/>
          <w:color w:val="auto"/>
        </w:rPr>
      </w:pPr>
    </w:p>
    <w:p>
      <w:pPr>
        <w:ind w:left="1160" w:right="80" w:firstLine="591"/>
        <w:spacing w:after="0" w:line="262" w:lineRule="auto"/>
        <w:tabs>
          <w:tab w:leader="none" w:pos="2042" w:val="left"/>
        </w:tabs>
        <w:numPr>
          <w:ilvl w:val="2"/>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Security Custodian and Registrar shall decrease such Global Security by such amount in accordance with the foregoing. In the event that the Individual Securities are not issued to each such beneficial owner promptly after the Registrar has received a request from the Holder of a Global Security to issue such Individual Securities, the Company expressly acknowledges, with respect to the right of any Holder to pursue a remedy pursuant to Section 6.07, the right of any beneficial Holder of Securities to pursue such remedy with respect to the portion of the Global Security that represents such beneficial Holder’s Securities as if such Individual Securities had been issued.</w:t>
      </w:r>
    </w:p>
    <w:p>
      <w:pPr>
        <w:spacing w:after="0" w:line="164" w:lineRule="exact"/>
        <w:rPr>
          <w:rFonts w:ascii="Times New Roman" w:cs="Times New Roman" w:eastAsia="Times New Roman" w:hAnsi="Times New Roman"/>
          <w:sz w:val="16"/>
          <w:szCs w:val="16"/>
          <w:color w:val="auto"/>
        </w:rPr>
      </w:pPr>
    </w:p>
    <w:p>
      <w:pPr>
        <w:jc w:val="both"/>
        <w:ind w:left="580" w:firstLine="587"/>
        <w:spacing w:after="0" w:line="271" w:lineRule="auto"/>
        <w:tabs>
          <w:tab w:leader="none" w:pos="1435" w:val="left"/>
        </w:tabs>
        <w:numPr>
          <w:ilvl w:val="1"/>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specified by the Company pursuant to Section 2.02 with respect to a series of Securities, the Depositary for such series of Securities may surrender a Global Security for such series of Securities in exchange in whole or in part for Individual Securities of such series on such terms as are acceptable to the Company and such Depositary. Thereupon, the Company shall execute, and the Trustee shall authenticate and deliver:</w:t>
      </w:r>
    </w:p>
    <w:p>
      <w:pPr>
        <w:spacing w:after="0" w:line="156" w:lineRule="exact"/>
        <w:rPr>
          <w:rFonts w:ascii="Times New Roman" w:cs="Times New Roman" w:eastAsia="Times New Roman" w:hAnsi="Times New Roman"/>
          <w:sz w:val="16"/>
          <w:szCs w:val="16"/>
          <w:color w:val="auto"/>
        </w:rPr>
      </w:pPr>
    </w:p>
    <w:p>
      <w:pPr>
        <w:ind w:left="1160" w:right="320" w:firstLine="591"/>
        <w:spacing w:after="0" w:line="271" w:lineRule="auto"/>
        <w:tabs>
          <w:tab w:leader="none" w:pos="2051" w:val="left"/>
        </w:tabs>
        <w:numPr>
          <w:ilvl w:val="2"/>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each Person specified by such Depositary a new Individual Security or new Individual Securities of the same series, of any authorized denomination as requested by such Person in aggregate principal amount equal to and in exchange for such Person’s beneficial interest in the Global Security; and</w:t>
      </w:r>
    </w:p>
    <w:p>
      <w:pPr>
        <w:spacing w:after="0" w:line="156" w:lineRule="exact"/>
        <w:rPr>
          <w:rFonts w:ascii="Times New Roman" w:cs="Times New Roman" w:eastAsia="Times New Roman" w:hAnsi="Times New Roman"/>
          <w:sz w:val="16"/>
          <w:szCs w:val="16"/>
          <w:color w:val="auto"/>
        </w:rPr>
      </w:pPr>
    </w:p>
    <w:p>
      <w:pPr>
        <w:ind w:left="1160" w:right="100" w:firstLine="591"/>
        <w:spacing w:after="0" w:line="288" w:lineRule="auto"/>
        <w:tabs>
          <w:tab w:leader="none" w:pos="2042" w:val="left"/>
        </w:tabs>
        <w:numPr>
          <w:ilvl w:val="2"/>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such Depositary a new Global Security in a denomination equal to the difference, if any, between the principal amount of the surrendered Global Security and the aggregate principal amount of Individual Securities delivered to Holders thereof.</w:t>
      </w:r>
    </w:p>
    <w:p>
      <w:pPr>
        <w:spacing w:after="0" w:line="143" w:lineRule="exact"/>
        <w:rPr>
          <w:rFonts w:ascii="Times New Roman" w:cs="Times New Roman" w:eastAsia="Times New Roman" w:hAnsi="Times New Roman"/>
          <w:sz w:val="16"/>
          <w:szCs w:val="16"/>
          <w:color w:val="auto"/>
        </w:rPr>
      </w:pPr>
    </w:p>
    <w:p>
      <w:pPr>
        <w:ind w:left="580" w:right="120" w:firstLine="587"/>
        <w:spacing w:after="0" w:line="288" w:lineRule="auto"/>
        <w:tabs>
          <w:tab w:leader="none" w:pos="1435" w:val="left"/>
        </w:tabs>
        <w:numPr>
          <w:ilvl w:val="1"/>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any exchange provided for in clauses (1) through (3), the Company will execute and the Trustee will authenticate and deliver Individual Securities in registered form in authorized denominations.</w:t>
      </w:r>
    </w:p>
    <w:p>
      <w:pPr>
        <w:spacing w:after="0" w:line="143" w:lineRule="exact"/>
        <w:rPr>
          <w:rFonts w:ascii="Times New Roman" w:cs="Times New Roman" w:eastAsia="Times New Roman" w:hAnsi="Times New Roman"/>
          <w:sz w:val="16"/>
          <w:szCs w:val="16"/>
          <w:color w:val="auto"/>
        </w:rPr>
      </w:pPr>
    </w:p>
    <w:p>
      <w:pPr>
        <w:ind w:left="580" w:firstLine="587"/>
        <w:spacing w:after="0" w:line="265" w:lineRule="auto"/>
        <w:tabs>
          <w:tab w:leader="none" w:pos="1435" w:val="left"/>
        </w:tabs>
        <w:numPr>
          <w:ilvl w:val="1"/>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exchange in full of a Global Security for Individual Securities, such Global Security shall be canceled by the Trustee. Individual Securities issued in exchange for a Global Security pursuant to this Section 2.17 shall be registered in such names and in such authorized denominations as the Depositary for such Global Security, pursuant to instructions from its direct or indirect participants or otherwise, shall instruct the Trustee. The Trustee shall deliver such Securities to the Persons in whose names such Securities are so registered.</w:t>
      </w:r>
    </w:p>
    <w:p>
      <w:pPr>
        <w:spacing w:after="0" w:line="161" w:lineRule="exact"/>
        <w:rPr>
          <w:rFonts w:ascii="Times New Roman" w:cs="Times New Roman" w:eastAsia="Times New Roman" w:hAnsi="Times New Roman"/>
          <w:sz w:val="16"/>
          <w:szCs w:val="16"/>
          <w:color w:val="auto"/>
        </w:rPr>
      </w:pPr>
    </w:p>
    <w:p>
      <w:pPr>
        <w:ind w:firstLine="582"/>
        <w:spacing w:after="0" w:line="259" w:lineRule="auto"/>
        <w:tabs>
          <w:tab w:leader="none" w:pos="828"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that Individual Securities of a series are issued in exchange for beneficial interests in Global Securities of such series in accordance with this Section 2.17, on or after such event when Individual Securities of such series are presented by a Holder to the Registrar with a request: (x) to register the transfer of such Individual Securities to a person who shall take delivery thereof in the form of Individual Securities only; or (y) to exchange such Individual Securities for an equal principal amount of Individual Securities of such series of other authorized denominations, the Registrar shall register the transfer or make the exchange as requested if the requirements for such transaction under this Indenture are satisfied;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Individual Securities presented or surrendered for register of transfer or exchange shall be duly endorsed or accompanied by an assignment form and, if applicable, a transfer certificate, each in the form included in the supplemental indenture or Company Order authorizing the applicable Securities, and in each case in a form satisfactory to the Registrar duly executed by the Holder thereof or its attorney duly authorized in writing.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2" w:name="page143"/>
    <w:bookmarkEnd w:id="142"/>
    <w:p>
      <w:pPr>
        <w:ind w:right="20" w:firstLine="582"/>
        <w:spacing w:after="0" w:line="257" w:lineRule="auto"/>
        <w:tabs>
          <w:tab w:leader="none" w:pos="855"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that Individual Securities of a series are issued in exchange for beneficial interests in Global Securities of such series and, thereafter, the events or conditions specified in Section 2.17(e)(1) or (2) which required such exchange shall cease to exist, the Company shall send notice to the Trustee and to the Holders of Securities of such series stating that such Holders may exchange Individual Securities of such series for interests in Global Securities of such series by complying with the procedures set forth in this Indenture and briefly describing such procedures and the events or circumstances requiring that such notice be given. Thereafter, if Individual Securities of such series are presented by a Holder to the Registrar with a request: (x) to register the transfer of such Individual Securities to a person who shall take delivery thereof in the form of a beneficial interest in a Global Security of such series; or (y) to exchange such Individual Securities for an equal principal amount of beneficial interests in a Global Security of such series, which beneficial interests shall be owned by the Holder transferring such Individual Securities, the Registrar shall register the transfer or make the exchange as requested by canceling such Individual Security and causing, or directing the Security Custodian to cause, the aggregate principal amount of the applicable Global Security to be increased accordingly and, if no such Global Security is then-outstanding, the Company shall issue and the Trustee shall authenticate and deliver a new Global Security of such series in accordance with Section 2.03;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Individual Securities presented or surrendered for registration of transfer or exchange shall be duly endorsed and accompanied by an assignment form and, if applicable, a transfer certificate, each in the form included in the supplemental indenture or Company Order authorizing the applicable Securities, and in each case in a form satisfactory to the Registrar duly executed by the Holder thereof or its attorney duly authorized in writing.</w:t>
      </w:r>
    </w:p>
    <w:p>
      <w:pPr>
        <w:spacing w:after="0" w:line="166" w:lineRule="exact"/>
        <w:rPr>
          <w:rFonts w:ascii="Times New Roman" w:cs="Times New Roman" w:eastAsia="Times New Roman" w:hAnsi="Times New Roman"/>
          <w:sz w:val="16"/>
          <w:szCs w:val="16"/>
          <w:color w:val="auto"/>
        </w:rPr>
      </w:pPr>
    </w:p>
    <w:p>
      <w:pPr>
        <w:ind w:right="80" w:firstLine="582"/>
        <w:spacing w:after="0" w:line="288" w:lineRule="auto"/>
        <w:tabs>
          <w:tab w:leader="none" w:pos="855"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in this Indenture or in the Securities shall prohibit the sale or other transfer of any Securities (including beneficial interests in Global Securities) to the Company or any of its Subsidiaries.</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2.18.  Issuance of Additional Securities.</w:t>
      </w:r>
    </w:p>
    <w:p>
      <w:pPr>
        <w:spacing w:after="0" w:line="208" w:lineRule="exact"/>
        <w:rPr>
          <w:sz w:val="20"/>
          <w:szCs w:val="20"/>
          <w:color w:val="auto"/>
        </w:rPr>
      </w:pPr>
    </w:p>
    <w:p>
      <w:pPr>
        <w:ind w:right="40" w:firstLine="582"/>
        <w:spacing w:after="0" w:line="265" w:lineRule="auto"/>
        <w:tabs>
          <w:tab w:leader="none" w:pos="846"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initial issue date of a series of Securities, the Company shall be entitled to issue Additional Securities of such series, which Additional Securities shall have identical terms as the Initial Securities of such series, other than with respect to the date of issuance and the amount of the issue price. All the Securities of a series issued under this Indenture shall be treated as a single class for all purposes of this Indenture, including waivers, amendments, redemptions and offers to purchase with respect to such series.</w:t>
      </w:r>
    </w:p>
    <w:p>
      <w:pPr>
        <w:spacing w:after="0" w:line="161" w:lineRule="exact"/>
        <w:rPr>
          <w:rFonts w:ascii="Times New Roman" w:cs="Times New Roman" w:eastAsia="Times New Roman" w:hAnsi="Times New Roman"/>
          <w:sz w:val="16"/>
          <w:szCs w:val="16"/>
          <w:color w:val="auto"/>
        </w:rPr>
      </w:pPr>
    </w:p>
    <w:p>
      <w:pPr>
        <w:ind w:left="900" w:hanging="318"/>
        <w:spacing w:after="0"/>
        <w:tabs>
          <w:tab w:leader="none" w:pos="90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Additional Securities of a series, the Company shall set forth in a Company Order, which shall be delivered to the Trustee, the following</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w:t>
      </w:r>
    </w:p>
    <w:p>
      <w:pPr>
        <w:spacing w:after="0" w:line="189"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principal amount of such Additional Securities to be authenticated and delivered pursuant to this Indenture; and</w:t>
      </w:r>
    </w:p>
    <w:p>
      <w:pPr>
        <w:spacing w:after="0" w:line="203" w:lineRule="exact"/>
        <w:rPr>
          <w:rFonts w:ascii="Times New Roman" w:cs="Times New Roman" w:eastAsia="Times New Roman" w:hAnsi="Times New Roman"/>
          <w:sz w:val="16"/>
          <w:szCs w:val="16"/>
          <w:color w:val="auto"/>
        </w:rPr>
      </w:pPr>
    </w:p>
    <w:p>
      <w:pPr>
        <w:jc w:val="both"/>
        <w:ind w:left="580" w:right="200" w:firstLine="587"/>
        <w:spacing w:after="0" w:line="272" w:lineRule="auto"/>
        <w:tabs>
          <w:tab w:leader="none" w:pos="1444"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issue price, the issue date and the CUSIP, ISIN or other identifying number of such Additional Securities;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Additional Securities of a series may be issued at a price that would cause such Additional Securities to not be fungible for U.S. federal income tax purposes with any other Securities of such series issued under this Indenture, unless such Securities bear a separate CUSIP, ISIN or other identifying number.</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2.19. Computation of Interest.</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Interest on the Securities shall be computed in accordance with the terms of the Securities of a series as specified pursuant to Section 2.02.</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2.20. Currency of Payments in Respect of Securities.</w:t>
      </w:r>
    </w:p>
    <w:p>
      <w:pPr>
        <w:spacing w:after="0" w:line="208" w:lineRule="exact"/>
        <w:rPr>
          <w:sz w:val="20"/>
          <w:szCs w:val="20"/>
          <w:color w:val="auto"/>
        </w:rPr>
      </w:pPr>
    </w:p>
    <w:p>
      <w:pPr>
        <w:ind w:right="120" w:firstLine="582"/>
        <w:spacing w:after="0" w:line="288" w:lineRule="auto"/>
        <w:tabs>
          <w:tab w:leader="none" w:pos="886"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specified pursuant to Section 2.02 for any series of Securities, payment of the principal of and premium, if any, and interest on Securities of such series will be made in U.S. Dollars.</w:t>
      </w:r>
    </w:p>
    <w:p>
      <w:pPr>
        <w:spacing w:after="0" w:line="143" w:lineRule="exact"/>
        <w:rPr>
          <w:rFonts w:ascii="Times New Roman" w:cs="Times New Roman" w:eastAsia="Times New Roman" w:hAnsi="Times New Roman"/>
          <w:sz w:val="16"/>
          <w:szCs w:val="16"/>
          <w:color w:val="auto"/>
        </w:rPr>
      </w:pPr>
    </w:p>
    <w:p>
      <w:pPr>
        <w:ind w:firstLine="582"/>
        <w:spacing w:after="0" w:line="261" w:lineRule="auto"/>
        <w:tabs>
          <w:tab w:leader="none" w:pos="896"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any provision of this Indenture where the Holders of outstanding Securities may perform an action that requires that a specified percentage of the Securities of all series perform such action and for purposes of any decision or determination by the Trustee of amounts due and unpaid for the principal of and premium, if any, and interest on the outstanding Securities of all series in respect of which moneys are to be disbursed ratably, the principal of and premium, if any, and interest on the outstanding Securities denominated in a Foreign Currency will be the amount in U.S. Dollars based upon exchange rates, determined as specified pursuant to Section 2.02 for Securities of such series, as of the date for determining whether the Holders entitled to perform such action have performed it or as of the date of such decision or determination by the Trustee, as the case may be.</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3" w:name="page144"/>
    <w:bookmarkEnd w:id="143"/>
    <w:p>
      <w:pPr>
        <w:ind w:firstLine="582"/>
        <w:spacing w:after="0" w:line="263" w:lineRule="auto"/>
        <w:tabs>
          <w:tab w:leader="none" w:pos="878"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decision or determination to be made regarding exchange rates shall be made by an agent appointed by the Company;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agent shall accept such appointment in writing and the terms of such appointment shall, in the opinion of the Company at the time of such appointment, require such agent to make such determination by a method consistent with the method provided pursuant to Section 2.02 for the making of such decision or determination. All decisions and determinations of such agent regarding exchange rates shall, in the absence of manifest error, be conclusive for all purposes and irrevocably binding upon the Company, the Trustee and all Holders of the Securities.</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2.21. Judgments.</w:t>
      </w:r>
    </w:p>
    <w:p>
      <w:pPr>
        <w:spacing w:after="0" w:line="208" w:lineRule="exact"/>
        <w:rPr>
          <w:sz w:val="20"/>
          <w:szCs w:val="20"/>
          <w:color w:val="auto"/>
        </w:rPr>
      </w:pPr>
    </w:p>
    <w:p>
      <w:pPr>
        <w:ind w:right="100" w:firstLine="585"/>
        <w:spacing w:after="0" w:line="258" w:lineRule="auto"/>
        <w:rPr>
          <w:sz w:val="20"/>
          <w:szCs w:val="20"/>
          <w:color w:val="auto"/>
        </w:rPr>
      </w:pPr>
      <w:r>
        <w:rPr>
          <w:rFonts w:ascii="Times New Roman" w:cs="Times New Roman" w:eastAsia="Times New Roman" w:hAnsi="Times New Roman"/>
          <w:sz w:val="16"/>
          <w:szCs w:val="16"/>
          <w:color w:val="auto"/>
        </w:rPr>
        <w:t>The Company may provide pursuant to Section 2.02 for Securities of any series that (a) the obligation, if any, of the Company to pay the principal of, premium, if any, and interest on the Securities of any series in a Foreign Currency or U.S. Dollars (the “</w:t>
      </w:r>
      <w:r>
        <w:rPr>
          <w:rFonts w:ascii="Times New Roman" w:cs="Times New Roman" w:eastAsia="Times New Roman" w:hAnsi="Times New Roman"/>
          <w:sz w:val="16"/>
          <w:szCs w:val="16"/>
          <w:i w:val="1"/>
          <w:iCs w:val="1"/>
          <w:color w:val="auto"/>
        </w:rPr>
        <w:t>Designated Currency</w:t>
      </w:r>
      <w:r>
        <w:rPr>
          <w:rFonts w:ascii="Times New Roman" w:cs="Times New Roman" w:eastAsia="Times New Roman" w:hAnsi="Times New Roman"/>
          <w:sz w:val="16"/>
          <w:szCs w:val="16"/>
          <w:color w:val="auto"/>
        </w:rPr>
        <w:t>”) as may be specified pursuant to Section 2.02 is of the essence and agrees that, to the fullest extent possible under applicable law, judgments in respect of such Securities shall be given in the Designated Currency; (b) the obligation of the Company to make payments in the Designated Currency of the principal of and premium, if any, and interest on such Securities shall, notwithstanding any payment in any other Currency (whether pursuant to a judgment or otherwise), be discharged only to the extent of the amount in the Designated Currency that the Holder receiving such payment may, in accordance with normal banking procedures, purchase with the sum paid in such other Currency (after any premium and cost of exchange) on the business day in the country of issue of the Designated Currency or in the international banking community (in the case of a composite currency) immediately following the day on which such Holder receives such payment; (c) if the amount in the Designated Currency that may be so purchased for any reason falls short of the amount originally due, the Company shall pay such additional amounts as may be necessary to compensate for such shortfall; and (d) any obligation of the Company not discharged by such payment shall be due as a separate and independent obligation and, until discharged as provided herein, shall continue in full force and effect.</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REDEMPTION AND PREPAYMENT</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3.01. Applicability of Right of Redemption.</w:t>
      </w:r>
    </w:p>
    <w:p>
      <w:pPr>
        <w:spacing w:after="0" w:line="208" w:lineRule="exact"/>
        <w:rPr>
          <w:sz w:val="20"/>
          <w:szCs w:val="20"/>
          <w:color w:val="auto"/>
        </w:rPr>
      </w:pPr>
    </w:p>
    <w:p>
      <w:pPr>
        <w:ind w:right="240" w:firstLine="585"/>
        <w:spacing w:after="0" w:line="288" w:lineRule="auto"/>
        <w:rPr>
          <w:sz w:val="20"/>
          <w:szCs w:val="20"/>
          <w:color w:val="auto"/>
        </w:rPr>
      </w:pPr>
      <w:r>
        <w:rPr>
          <w:rFonts w:ascii="Times New Roman" w:cs="Times New Roman" w:eastAsia="Times New Roman" w:hAnsi="Times New Roman"/>
          <w:sz w:val="16"/>
          <w:szCs w:val="16"/>
          <w:color w:val="auto"/>
        </w:rPr>
        <w:t>Except as otherwise provided as contemplated by Section 2.02 with respect to any series of Securities, redemption of Securities (other than pursuant to a sinking fund, amortization or analogous provision) permitted by the terms of any series of Securities shall be made in accordance with this Article III.</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3.02. Election To Redeem; Notices to Trustee.</w:t>
      </w:r>
    </w:p>
    <w:p>
      <w:pPr>
        <w:spacing w:after="0" w:line="208" w:lineRule="exact"/>
        <w:rPr>
          <w:sz w:val="20"/>
          <w:szCs w:val="20"/>
          <w:color w:val="auto"/>
        </w:rPr>
      </w:pPr>
    </w:p>
    <w:p>
      <w:pPr>
        <w:ind w:right="60" w:firstLine="585"/>
        <w:spacing w:after="0" w:line="259" w:lineRule="auto"/>
        <w:rPr>
          <w:sz w:val="20"/>
          <w:szCs w:val="20"/>
          <w:color w:val="auto"/>
        </w:rPr>
      </w:pPr>
      <w:r>
        <w:rPr>
          <w:rFonts w:ascii="Times New Roman" w:cs="Times New Roman" w:eastAsia="Times New Roman" w:hAnsi="Times New Roman"/>
          <w:sz w:val="16"/>
          <w:szCs w:val="16"/>
          <w:color w:val="auto"/>
        </w:rPr>
        <w:t>If the Company elects to redeem any Securities pursuant to this Article III, at least 10 days prior to the Redemption Date (unless a shorter notice shall be agreed to in writing by the Trustee) but not more than 60 days before the Redemption Date, the Company shall notify the Trustee in writing of the series of Securities to be redeemed, the Redemption Date and the principal amount of such Securities to be redeemed and the Redemption Price (or, if not then ascertainable, the manner of calculation thereof), and deliver to the Trustee, no later than two Business Days prior to the Redemption Date, an Officer’s Certificate stating that such redemption will comply with the conditions contained this Article III. Notice given to the Trustee pursuant to this Section 3.02 may, at the Company’s discretion, be subject to the satisfaction or waiver of one or more conditions precedent. Failure to give such notice, or any defect in such notice, shall not affect the sufficiency of any notice of redemption sent to the Holder of any Security of such series.</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3.03. Selection by Trustee of Securities To Be Redeemed.</w:t>
      </w:r>
    </w:p>
    <w:p>
      <w:pPr>
        <w:spacing w:after="0" w:line="208" w:lineRule="exact"/>
        <w:rPr>
          <w:sz w:val="20"/>
          <w:szCs w:val="20"/>
          <w:color w:val="auto"/>
        </w:rPr>
      </w:pPr>
    </w:p>
    <w:p>
      <w:pPr>
        <w:jc w:val="both"/>
        <w:ind w:right="260" w:firstLine="585"/>
        <w:spacing w:after="0" w:line="271" w:lineRule="auto"/>
        <w:rPr>
          <w:sz w:val="20"/>
          <w:szCs w:val="20"/>
          <w:color w:val="auto"/>
        </w:rPr>
      </w:pPr>
      <w:r>
        <w:rPr>
          <w:rFonts w:ascii="Times New Roman" w:cs="Times New Roman" w:eastAsia="Times New Roman" w:hAnsi="Times New Roman"/>
          <w:sz w:val="16"/>
          <w:szCs w:val="16"/>
          <w:color w:val="auto"/>
        </w:rPr>
        <w:t xml:space="preserve">If the Company elects to redeem less than all of the Securities of any series at any time, in the case of Securities issued in definitive form, the Trustee will select Securities of such series by lot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(or, in the case of Global Securities, the Securities will be selected in accordance with the applicable procedures of the relevant Depositary) unless an alternative method of selection is otherwise required by law or applicable stock exchange or Depositary requirements.</w:t>
      </w:r>
    </w:p>
    <w:p>
      <w:pPr>
        <w:spacing w:after="0" w:line="156" w:lineRule="exact"/>
        <w:rPr>
          <w:sz w:val="20"/>
          <w:szCs w:val="20"/>
          <w:color w:val="auto"/>
        </w:rPr>
      </w:pPr>
    </w:p>
    <w:p>
      <w:pPr>
        <w:ind w:right="80" w:firstLine="585"/>
        <w:spacing w:after="0" w:line="288" w:lineRule="auto"/>
        <w:rPr>
          <w:sz w:val="20"/>
          <w:szCs w:val="20"/>
          <w:color w:val="auto"/>
        </w:rPr>
      </w:pPr>
      <w:r>
        <w:rPr>
          <w:rFonts w:ascii="Times New Roman" w:cs="Times New Roman" w:eastAsia="Times New Roman" w:hAnsi="Times New Roman"/>
          <w:sz w:val="16"/>
          <w:szCs w:val="16"/>
          <w:color w:val="auto"/>
        </w:rPr>
        <w:t>The Trustee shall promptly notify the Company of the Securities selected for redemption and, in the case of any partial redemption, the principal amount thereof to be redeemed.</w:t>
      </w:r>
    </w:p>
    <w:p>
      <w:pPr>
        <w:spacing w:after="0" w:line="143" w:lineRule="exact"/>
        <w:rPr>
          <w:sz w:val="20"/>
          <w:szCs w:val="20"/>
          <w:color w:val="auto"/>
        </w:rPr>
      </w:pPr>
    </w:p>
    <w:p>
      <w:pPr>
        <w:ind w:right="60" w:firstLine="585"/>
        <w:spacing w:after="0" w:line="288" w:lineRule="auto"/>
        <w:rPr>
          <w:sz w:val="20"/>
          <w:szCs w:val="20"/>
          <w:color w:val="auto"/>
        </w:rPr>
      </w:pPr>
      <w:r>
        <w:rPr>
          <w:rFonts w:ascii="Times New Roman" w:cs="Times New Roman" w:eastAsia="Times New Roman" w:hAnsi="Times New Roman"/>
          <w:sz w:val="16"/>
          <w:szCs w:val="16"/>
          <w:color w:val="auto"/>
        </w:rPr>
        <w:t>The Company will redeem Securities of $2,000 or less in whole and not in part. For all purposes of this Indenture, unless the context otherwise requires, provisions of this Indenture that apply to Securities called for redemption also apply to portions of Securities called for redemption.</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ind w:left="580"/>
        <w:spacing w:after="0"/>
        <w:rPr>
          <w:sz w:val="20"/>
          <w:szCs w:val="20"/>
          <w:color w:val="auto"/>
        </w:rPr>
      </w:pPr>
      <w:r>
        <w:rPr>
          <w:rFonts w:ascii="Times New Roman" w:cs="Times New Roman" w:eastAsia="Times New Roman" w:hAnsi="Times New Roman"/>
          <w:sz w:val="16"/>
          <w:szCs w:val="16"/>
          <w:i w:val="1"/>
          <w:iCs w:val="1"/>
          <w:color w:val="auto"/>
        </w:rPr>
        <w:t>Section 3.04. Notice of Redemption.</w:t>
      </w:r>
    </w:p>
    <w:p>
      <w:pPr>
        <w:spacing w:after="0" w:line="208" w:lineRule="exact"/>
        <w:rPr>
          <w:sz w:val="20"/>
          <w:szCs w:val="20"/>
          <w:color w:val="auto"/>
        </w:rPr>
      </w:pPr>
    </w:p>
    <w:p>
      <w:pPr>
        <w:ind w:right="40" w:firstLine="585"/>
        <w:spacing w:after="0" w:line="265" w:lineRule="auto"/>
        <w:rPr>
          <w:sz w:val="20"/>
          <w:szCs w:val="20"/>
          <w:color w:val="auto"/>
        </w:rPr>
      </w:pPr>
      <w:r>
        <w:rPr>
          <w:rFonts w:ascii="Times New Roman" w:cs="Times New Roman" w:eastAsia="Times New Roman" w:hAnsi="Times New Roman"/>
          <w:sz w:val="16"/>
          <w:szCs w:val="16"/>
          <w:color w:val="auto"/>
        </w:rPr>
        <w:t>The Company will cause notices of redemption to be sent by electronic transmission or by first-class mail at least 10 but not more than 60 days before the Redemption Date to each Holder of Securities of the series to be redeemed at its registered address or otherwise in accordance with the applicable procedures of the Depositary. The Company may provide in the notice that payment of the Redemption Price and performance of the Company’s obligations with respect to the redemption or purchase may be performed by another Person. Any notice may, at the Company’s discretion, be subject to the satisfaction or waiver of one or more conditions precedent.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notice shall identify the Securities to be redeemed (including the series and the CUSIP, ISIN or other identifying numbers thereof) and shall state:</w:t>
      </w:r>
    </w:p>
    <w:p>
      <w:pPr>
        <w:spacing w:after="0" w:line="206" w:lineRule="exact"/>
        <w:rPr>
          <w:sz w:val="20"/>
          <w:szCs w:val="20"/>
          <w:color w:val="auto"/>
        </w:rPr>
      </w:pPr>
    </w:p>
    <w:p>
      <w:pPr>
        <w:ind w:left="1440" w:hanging="273"/>
        <w:spacing w:after="0"/>
        <w:tabs>
          <w:tab w:leader="none" w:pos="144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Date;</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Price (or, if not then ascertainable, the manner of calculation thereof);</w:t>
      </w:r>
    </w:p>
    <w:p>
      <w:pPr>
        <w:spacing w:after="0" w:line="205" w:lineRule="exact"/>
        <w:rPr>
          <w:rFonts w:ascii="Times New Roman" w:cs="Times New Roman" w:eastAsia="Times New Roman" w:hAnsi="Times New Roman"/>
          <w:sz w:val="16"/>
          <w:szCs w:val="16"/>
          <w:color w:val="auto"/>
        </w:rPr>
      </w:pPr>
    </w:p>
    <w:p>
      <w:pPr>
        <w:ind w:left="580" w:right="180" w:firstLine="587"/>
        <w:spacing w:after="0" w:line="271" w:lineRule="auto"/>
        <w:tabs>
          <w:tab w:leader="none" w:pos="1435"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fewer than all outstanding Securities of a series are to be redeemed, the portion of the principal amount of such Security to be redeemed and that, after the Redemption Date and upon surrender of such Security, a new Security or Securities of the applicable series in principal amount equal to the unredeemed portion will be issued;</w:t>
      </w:r>
    </w:p>
    <w:p>
      <w:pPr>
        <w:spacing w:after="0" w:line="156"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and address of the Paying Agent;</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Securities called for redemption must be surrendered to the Paying Agent to collect the Redemption Price;</w:t>
      </w:r>
    </w:p>
    <w:p>
      <w:pPr>
        <w:spacing w:after="0" w:line="205" w:lineRule="exact"/>
        <w:rPr>
          <w:rFonts w:ascii="Times New Roman" w:cs="Times New Roman" w:eastAsia="Times New Roman" w:hAnsi="Times New Roman"/>
          <w:sz w:val="16"/>
          <w:szCs w:val="16"/>
          <w:color w:val="auto"/>
        </w:rPr>
      </w:pPr>
    </w:p>
    <w:p>
      <w:pPr>
        <w:ind w:left="580" w:right="140" w:firstLine="587"/>
        <w:spacing w:after="0" w:line="288" w:lineRule="auto"/>
        <w:tabs>
          <w:tab w:leader="none" w:pos="1435"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unless the Company defaults in the payment of the applicable Redemption Price, interest on Securities called for redemption ceases to accrue on and after the Redemption Date;</w:t>
      </w:r>
    </w:p>
    <w:p>
      <w:pPr>
        <w:spacing w:after="0" w:line="14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such notice is conditioned upon the occurrence of one or more conditions precedent, the nature of such conditions precedent;</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principal amount of Securities of such series that are being redeemed;</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redemption is for a sinking fund, if such is the case;</w:t>
      </w:r>
    </w:p>
    <w:p>
      <w:pPr>
        <w:spacing w:after="0" w:line="205" w:lineRule="exact"/>
        <w:rPr>
          <w:rFonts w:ascii="Times New Roman" w:cs="Times New Roman" w:eastAsia="Times New Roman" w:hAnsi="Times New Roman"/>
          <w:sz w:val="16"/>
          <w:szCs w:val="16"/>
          <w:color w:val="auto"/>
        </w:rPr>
      </w:pPr>
    </w:p>
    <w:p>
      <w:pPr>
        <w:ind w:left="1520" w:hanging="353"/>
        <w:spacing w:after="0"/>
        <w:tabs>
          <w:tab w:leader="none" w:pos="152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paragraph of the Securities and/or Section of this Indenture pursuant to which the Securities called for redemption are being redeemed; and</w:t>
      </w:r>
    </w:p>
    <w:p>
      <w:pPr>
        <w:spacing w:after="0" w:line="205" w:lineRule="exact"/>
        <w:rPr>
          <w:rFonts w:ascii="Times New Roman" w:cs="Times New Roman" w:eastAsia="Times New Roman" w:hAnsi="Times New Roman"/>
          <w:sz w:val="16"/>
          <w:szCs w:val="16"/>
          <w:color w:val="auto"/>
        </w:rPr>
      </w:pPr>
    </w:p>
    <w:p>
      <w:pPr>
        <w:ind w:left="580" w:right="20" w:firstLine="587"/>
        <w:spacing w:after="0" w:line="288" w:lineRule="auto"/>
        <w:tabs>
          <w:tab w:leader="none" w:pos="151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no representation is made as to the correctness or accuracy of the CUSIP, ISIN or other identifying number, if any, listed in such notice or printed on the Securities.</w:t>
      </w:r>
    </w:p>
    <w:p>
      <w:pPr>
        <w:spacing w:after="0" w:line="143" w:lineRule="exact"/>
        <w:rPr>
          <w:sz w:val="20"/>
          <w:szCs w:val="20"/>
          <w:color w:val="auto"/>
        </w:rPr>
      </w:pPr>
    </w:p>
    <w:p>
      <w:pPr>
        <w:ind w:right="140" w:firstLine="585"/>
        <w:spacing w:after="0" w:line="288" w:lineRule="auto"/>
        <w:rPr>
          <w:sz w:val="20"/>
          <w:szCs w:val="20"/>
          <w:color w:val="auto"/>
        </w:rPr>
      </w:pPr>
      <w:r>
        <w:rPr>
          <w:rFonts w:ascii="Times New Roman" w:cs="Times New Roman" w:eastAsia="Times New Roman" w:hAnsi="Times New Roman"/>
          <w:sz w:val="16"/>
          <w:szCs w:val="16"/>
          <w:color w:val="auto"/>
        </w:rPr>
        <w:t>At the Company’s written request made at least five Business Days prior to the date on which notice is to be given, the Trustee shall give the notice of redemption in the Company’s name and at the Company’s sole expense.</w:t>
      </w:r>
    </w:p>
    <w:p>
      <w:pPr>
        <w:spacing w:after="0" w:line="143" w:lineRule="exact"/>
        <w:rPr>
          <w:sz w:val="20"/>
          <w:szCs w:val="20"/>
          <w:color w:val="auto"/>
        </w:rPr>
      </w:pPr>
    </w:p>
    <w:p>
      <w:pPr>
        <w:ind w:firstLine="585"/>
        <w:spacing w:after="0" w:line="288" w:lineRule="auto"/>
        <w:rPr>
          <w:sz w:val="20"/>
          <w:szCs w:val="20"/>
          <w:color w:val="auto"/>
        </w:rPr>
      </w:pPr>
      <w:r>
        <w:rPr>
          <w:rFonts w:ascii="Times New Roman" w:cs="Times New Roman" w:eastAsia="Times New Roman" w:hAnsi="Times New Roman"/>
          <w:sz w:val="16"/>
          <w:szCs w:val="16"/>
          <w:color w:val="auto"/>
        </w:rPr>
        <w:t>If the Redemption Price is not ascertainable on the date on which the notice of redemption is delivered, the Company shall send to the Trustee, at least one Business Day prior to the Redemption Date, the Redemption Price.</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3.05. Effect of Notice of Redemption.</w:t>
      </w:r>
    </w:p>
    <w:p>
      <w:pPr>
        <w:spacing w:after="0" w:line="208" w:lineRule="exact"/>
        <w:rPr>
          <w:sz w:val="20"/>
          <w:szCs w:val="20"/>
          <w:color w:val="auto"/>
        </w:rPr>
      </w:pPr>
    </w:p>
    <w:p>
      <w:pPr>
        <w:ind w:right="20" w:firstLine="585"/>
        <w:spacing w:after="0" w:line="258" w:lineRule="auto"/>
        <w:rPr>
          <w:sz w:val="20"/>
          <w:szCs w:val="20"/>
          <w:color w:val="auto"/>
        </w:rPr>
      </w:pPr>
      <w:r>
        <w:rPr>
          <w:rFonts w:ascii="Times New Roman" w:cs="Times New Roman" w:eastAsia="Times New Roman" w:hAnsi="Times New Roman"/>
          <w:sz w:val="16"/>
          <w:szCs w:val="16"/>
          <w:color w:val="auto"/>
        </w:rPr>
        <w:t xml:space="preserve">Once the notice of redemption described in Section 3.04 is delivered, except as provided in the last sentence of the first paragraph of Section 3.04, Securities called for redemption become irrevocably due and payable on the Redemption Date and at the Redemption Price, including any premium, plus accrued and unpaid interest thereon, if any, to, but excluding, the Redemption Date. Upon surrender to the Paying Agent, such Securities shall be paid at the Redemption Price, including any premium, plus accrued and unpaid interest thereon, if any, to, but excluding, the Redemption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if the Redemption Date is on or after a regular record date and on or before the related Interest Payment Date, the accrued and unpaid interest thereon, if any, shall be paid to the Holder in whose name the Security is registered at the close of business on such regular record date, and no additional interest will be payable to Holders whose Securities are subject to redemption by the Company; and (b) if a Redemption Date is not a Business Day, payment shall be made on the next succeeding Business Day and no interest shall accrue for the period from such Redemption Date to such succeeding Business Day. Such notice, if delivered in the manner provided in Section 3.04, shall be conclusively presumed to have been given whether or not the Holder receives such notice. Failure to give notice, or any defect in such notice to the Holder of any Security of a series designated for redemption, in whole or in part, shall not affect the sufficiency of any notice of redemption with respect to the Holder of any other Security of such series.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ind w:left="580"/>
        <w:spacing w:after="0"/>
        <w:rPr>
          <w:sz w:val="20"/>
          <w:szCs w:val="20"/>
          <w:color w:val="auto"/>
        </w:rPr>
      </w:pPr>
      <w:r>
        <w:rPr>
          <w:rFonts w:ascii="Times New Roman" w:cs="Times New Roman" w:eastAsia="Times New Roman" w:hAnsi="Times New Roman"/>
          <w:sz w:val="16"/>
          <w:szCs w:val="16"/>
          <w:i w:val="1"/>
          <w:iCs w:val="1"/>
          <w:color w:val="auto"/>
        </w:rPr>
        <w:t>Section 3.06. Deposit of Redemption Price.</w:t>
      </w:r>
    </w:p>
    <w:p>
      <w:pPr>
        <w:spacing w:after="0" w:line="208" w:lineRule="exact"/>
        <w:rPr>
          <w:sz w:val="20"/>
          <w:szCs w:val="20"/>
          <w:color w:val="auto"/>
        </w:rPr>
      </w:pPr>
    </w:p>
    <w:p>
      <w:pPr>
        <w:ind w:right="80" w:firstLine="585"/>
        <w:spacing w:after="0" w:line="265" w:lineRule="auto"/>
        <w:rPr>
          <w:sz w:val="20"/>
          <w:szCs w:val="20"/>
          <w:color w:val="auto"/>
        </w:rPr>
      </w:pPr>
      <w:r>
        <w:rPr>
          <w:rFonts w:ascii="Times New Roman" w:cs="Times New Roman" w:eastAsia="Times New Roman" w:hAnsi="Times New Roman"/>
          <w:sz w:val="16"/>
          <w:szCs w:val="16"/>
          <w:color w:val="auto"/>
        </w:rPr>
        <w:t>On or prior to 11:00 A.M., New York City time, on each Redemption Date, the Company shall deposit with the Paying Agent in immediately available funds money in the Currency in which such Securities are denominated (except as provided pursuant to Section 2.02) sufficient to pay the Redemption Price of, including premium, if any, and accrued and unpaid interest, if any, on all Securities to be redeemed on that date other than Securities or portions thereof called for redemption on that date which have been delivered by the Company to the Trustee for cancellation.</w:t>
      </w:r>
    </w:p>
    <w:p>
      <w:pPr>
        <w:spacing w:after="0" w:line="162" w:lineRule="exact"/>
        <w:rPr>
          <w:sz w:val="20"/>
          <w:szCs w:val="20"/>
          <w:color w:val="auto"/>
        </w:rPr>
      </w:pPr>
    </w:p>
    <w:p>
      <w:pPr>
        <w:ind w:right="60" w:firstLine="585"/>
        <w:spacing w:after="0" w:line="261" w:lineRule="auto"/>
        <w:rPr>
          <w:sz w:val="20"/>
          <w:szCs w:val="20"/>
          <w:color w:val="auto"/>
        </w:rPr>
      </w:pPr>
      <w:r>
        <w:rPr>
          <w:rFonts w:ascii="Times New Roman" w:cs="Times New Roman" w:eastAsia="Times New Roman" w:hAnsi="Times New Roman"/>
          <w:sz w:val="16"/>
          <w:szCs w:val="16"/>
          <w:color w:val="auto"/>
        </w:rPr>
        <w:t>On and after any Redemption Date, if money sufficient to pay the Redemption Price of, including premium, if any, and accrued and unpaid interest, if any, on Securities called for redemption shall have been made available in accordance with the immediately preceding paragraph, the Securities called for redemption will cease to accrue interest and the only right of the Holders of such Securities will be to receive payment of the Redemption Price of and, subject to Section 3.05, accrued and unpaid interest on such Securities to, but excluding, the Redemption Date. If any Security surrendered for redemption shall not be so paid because of the failure of the Company to comply with the preceding paragraph, interest will be paid, from the Redemption Date until such redemption payment is made, on the unpaid principal of the Security and any interest not paid on such unpaid principal, in each case at the rate and in the manner provided in the Securities.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3.07. Securities Redeemed in Part.</w:t>
      </w:r>
    </w:p>
    <w:p>
      <w:pPr>
        <w:spacing w:after="0" w:line="208" w:lineRule="exact"/>
        <w:rPr>
          <w:sz w:val="20"/>
          <w:szCs w:val="20"/>
          <w:color w:val="auto"/>
        </w:rPr>
      </w:pPr>
    </w:p>
    <w:p>
      <w:pPr>
        <w:ind w:firstLine="585"/>
        <w:spacing w:after="0" w:line="262" w:lineRule="auto"/>
        <w:rPr>
          <w:sz w:val="20"/>
          <w:szCs w:val="20"/>
          <w:color w:val="auto"/>
        </w:rPr>
      </w:pPr>
      <w:r>
        <w:rPr>
          <w:rFonts w:ascii="Times New Roman" w:cs="Times New Roman" w:eastAsia="Times New Roman" w:hAnsi="Times New Roman"/>
          <w:sz w:val="16"/>
          <w:szCs w:val="16"/>
          <w:color w:val="auto"/>
        </w:rPr>
        <w:t>If any Security is to be redeemed in part only, the notice of redemption that relates to that Security will state the portion of the principal amount thereof that is to be redeemed. The Company will issue a new Security of the applicable series in a principal amount equal to the unredeemed portion of the original Security in the name of the Holder upon cancellation of the original Security; except that if a Global Security is so redeemed, the balance of such Global Security shall be reduced in accordance with Section 2.17. Securities called for redemption become due on the date fixed for redemption. Unless the Company defaults in payment of the Redemption Price, interest will cease to accrue on the Securities or portions thereof called for such redemption on the Redemption Date.</w:t>
      </w:r>
    </w:p>
    <w:p>
      <w:pPr>
        <w:spacing w:after="0" w:line="16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ARTICLE IV</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COVENANTS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4.01. Payment of Principal, Premium and Interest.</w:t>
      </w:r>
    </w:p>
    <w:p>
      <w:pPr>
        <w:spacing w:after="0" w:line="208" w:lineRule="exact"/>
        <w:rPr>
          <w:sz w:val="20"/>
          <w:szCs w:val="20"/>
          <w:color w:val="auto"/>
        </w:rPr>
      </w:pPr>
    </w:p>
    <w:p>
      <w:pPr>
        <w:ind w:right="40" w:firstLine="585"/>
        <w:spacing w:after="0" w:line="288" w:lineRule="auto"/>
        <w:rPr>
          <w:sz w:val="20"/>
          <w:szCs w:val="20"/>
          <w:color w:val="auto"/>
        </w:rPr>
      </w:pPr>
      <w:r>
        <w:rPr>
          <w:rFonts w:ascii="Times New Roman" w:cs="Times New Roman" w:eastAsia="Times New Roman" w:hAnsi="Times New Roman"/>
          <w:sz w:val="16"/>
          <w:szCs w:val="16"/>
          <w:color w:val="auto"/>
        </w:rPr>
        <w:t>The Company covenants and agrees that it will duly and punctually pay the principal of (and premium, if any) and interest on the Securities in accordance with the terms of the Securities and this Indenture.</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4.02. Maintenance of Office or Agency.</w:t>
      </w:r>
    </w:p>
    <w:p>
      <w:pPr>
        <w:spacing w:after="0" w:line="208" w:lineRule="exact"/>
        <w:rPr>
          <w:sz w:val="20"/>
          <w:szCs w:val="20"/>
          <w:color w:val="auto"/>
        </w:rPr>
      </w:pPr>
    </w:p>
    <w:p>
      <w:pPr>
        <w:ind w:firstLine="585"/>
        <w:spacing w:after="0" w:line="261" w:lineRule="auto"/>
        <w:rPr>
          <w:sz w:val="20"/>
          <w:szCs w:val="20"/>
          <w:color w:val="auto"/>
        </w:rPr>
      </w:pPr>
      <w:r>
        <w:rPr>
          <w:rFonts w:ascii="Times New Roman" w:cs="Times New Roman" w:eastAsia="Times New Roman" w:hAnsi="Times New Roman"/>
          <w:sz w:val="16"/>
          <w:szCs w:val="16"/>
          <w:color w:val="auto"/>
        </w:rPr>
        <w:t>The Company will maintain in each Place of Payment for Securities an office or agency where Securities may be presented or surrendered for payment, where Securities may be surrendered for registration of transfer or exchange and where notices and demands to or upon the Company in respect of the Securities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64" w:lineRule="exact"/>
        <w:rPr>
          <w:sz w:val="20"/>
          <w:szCs w:val="20"/>
          <w:color w:val="auto"/>
        </w:rPr>
      </w:pPr>
    </w:p>
    <w:p>
      <w:pPr>
        <w:ind w:right="40" w:firstLine="585"/>
        <w:spacing w:after="0" w:line="265" w:lineRule="auto"/>
        <w:rPr>
          <w:sz w:val="20"/>
          <w:szCs w:val="20"/>
          <w:color w:val="auto"/>
        </w:rPr>
      </w:pPr>
      <w:r>
        <w:rPr>
          <w:rFonts w:ascii="Times New Roman" w:cs="Times New Roman" w:eastAsia="Times New Roman" w:hAnsi="Times New Roman"/>
          <w:sz w:val="16"/>
          <w:szCs w:val="16"/>
          <w:color w:val="auto"/>
        </w:rPr>
        <w:t xml:space="preserve">The Company may also from time to time designate one or more other offices or agencies where the Securities may be presented or surrendered for any or all such purposes and may from time to time rescind such designations;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such designation or rescission shall in any manner relieve the Company of its obligation to maintain an office or agency in each Place of Payment for Securities for such purposes. The Company will give prompt written notice to the Trustee of any such designation or rescission and of any change in the location of any such other office or agency.</w:t>
      </w: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6" w:name="page147"/>
    <w:bookmarkEnd w:id="146"/>
    <w:p>
      <w:pPr>
        <w:ind w:left="580"/>
        <w:spacing w:after="0"/>
        <w:rPr>
          <w:sz w:val="20"/>
          <w:szCs w:val="20"/>
          <w:color w:val="auto"/>
        </w:rPr>
      </w:pPr>
      <w:r>
        <w:rPr>
          <w:rFonts w:ascii="Times New Roman" w:cs="Times New Roman" w:eastAsia="Times New Roman" w:hAnsi="Times New Roman"/>
          <w:sz w:val="16"/>
          <w:szCs w:val="16"/>
          <w:i w:val="1"/>
          <w:iCs w:val="1"/>
          <w:color w:val="auto"/>
        </w:rPr>
        <w:t>Section 4.03. Reports to Holders.</w:t>
      </w:r>
    </w:p>
    <w:p>
      <w:pPr>
        <w:spacing w:after="0" w:line="208" w:lineRule="exact"/>
        <w:rPr>
          <w:sz w:val="20"/>
          <w:szCs w:val="20"/>
          <w:color w:val="auto"/>
        </w:rPr>
      </w:pPr>
    </w:p>
    <w:p>
      <w:pPr>
        <w:ind w:firstLine="582"/>
        <w:spacing w:after="0" w:line="257" w:lineRule="auto"/>
        <w:tabs>
          <w:tab w:leader="none" w:pos="846"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that the Company may not be subject to the reporting requirements of Section 13 or 15(d) of the Exchange Act, the Company will file with the Commission and provide the Trustee with such annual and quarterly reports and such information, documents and other reports as are specified in Sections 13 and 15(d) of the Exchange Act and applicable to a U.S. corporation subject to such sections, such information, documents and reports to be so filed and provided at the times specified for the filing of such information, documents and reports under such sections;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(1) the Company will not be required to provide the Trustee with any such information, documents and reports that are filed with the Commission and (2) the Company will not be so obligated to file such information, documents and reports with the Commission if the Commission does not permit such filings;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the Commission does not permit such filings, the Company will be required to provide to Holders any such information, documents or reports that are not so filed. The Company will also comply with the other provisions of TIA § 314(a), including the provision of the compliance certificate under TIA § 314(a)(4), which compliance certificate shall be delivered to the Trustee, commencing with the first fiscal year in which Securities are offered pursuant to this Indenture. Delivery of such reports, information and documents to the Trustee is for informational purposes only and the Trustee’s receipt of such shall not constitute actual or constructive notice or knowledge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71" w:lineRule="exact"/>
        <w:rPr>
          <w:rFonts w:ascii="Times New Roman" w:cs="Times New Roman" w:eastAsia="Times New Roman" w:hAnsi="Times New Roman"/>
          <w:sz w:val="16"/>
          <w:szCs w:val="16"/>
          <w:color w:val="auto"/>
        </w:rPr>
      </w:pPr>
    </w:p>
    <w:p>
      <w:pPr>
        <w:ind w:right="180" w:firstLine="582"/>
        <w:spacing w:after="0" w:line="265" w:lineRule="auto"/>
        <w:tabs>
          <w:tab w:leader="none" w:pos="855"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herein to the contrary, in the event that the Company fails to comply with its obligation to file or provide such information, documents and reports as required hereunder, the Company will be deemed to have cured such Default for purposes of Section 6.01(4) upon the filing or provision of all such information, documents and reports required hereunder prior to the expiration of 120 days after written notice to the Company of such failure from the Trustee or the Holders of at least 25% of the principal amount of the applicable series of Securities.</w:t>
      </w:r>
    </w:p>
    <w:p>
      <w:pPr>
        <w:spacing w:after="0" w:line="161" w:lineRule="exact"/>
        <w:rPr>
          <w:rFonts w:ascii="Times New Roman" w:cs="Times New Roman" w:eastAsia="Times New Roman" w:hAnsi="Times New Roman"/>
          <w:sz w:val="16"/>
          <w:szCs w:val="16"/>
          <w:color w:val="auto"/>
        </w:rPr>
      </w:pPr>
    </w:p>
    <w:p>
      <w:pPr>
        <w:jc w:val="both"/>
        <w:ind w:right="20" w:firstLine="582"/>
        <w:spacing w:after="0" w:line="265" w:lineRule="auto"/>
        <w:tabs>
          <w:tab w:leader="none" w:pos="846"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herein to the contrary, the information, documents and reports required pursuant to this Indenture may, at the option of the Company, instead be those of any direct or indirect parent entity of the Company so long as such parent entity fully and unconditionally guarantees, by execution of this Indenture or a supplemental indenture, the obligations of the Company in respect of the Securities and such parent entity and the Company comply with the requirements of Rule 3-10 and Rule 13-01 of Regulation S-X promulgated by the Commission (or any successor provisions).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4.04. Additional Guarantees.</w:t>
      </w:r>
    </w:p>
    <w:p>
      <w:pPr>
        <w:spacing w:after="0" w:line="208" w:lineRule="exact"/>
        <w:rPr>
          <w:sz w:val="20"/>
          <w:szCs w:val="20"/>
          <w:color w:val="auto"/>
        </w:rPr>
      </w:pPr>
    </w:p>
    <w:p>
      <w:pPr>
        <w:ind w:right="40" w:firstLine="585"/>
        <w:spacing w:after="0" w:line="261" w:lineRule="auto"/>
        <w:rPr>
          <w:sz w:val="20"/>
          <w:szCs w:val="20"/>
          <w:color w:val="auto"/>
        </w:rPr>
      </w:pPr>
      <w:r>
        <w:rPr>
          <w:rFonts w:ascii="Times New Roman" w:cs="Times New Roman" w:eastAsia="Times New Roman" w:hAnsi="Times New Roman"/>
          <w:sz w:val="16"/>
          <w:szCs w:val="16"/>
          <w:color w:val="auto"/>
        </w:rPr>
        <w:t xml:space="preserve">Except as otherwise provided as contemplated by Section 2.02 with respect to any series of Securities, if any Subsidiary of the Company (other than a Receivables Entity) that was not a Guarantor at the time of the execution of this Indenture becomes a guarantor or an obligor in respect of any Triggering Indebtedness, within 10 Business Days of such event, the Company shall cause such Subsidiary to enter into a supplemental indenture pursuant to which such Subsidiary shall agree to Guarantee the Company’s Indenture Obligations, fully and unconditionally and on a subordinated basis as provided in Article X;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no event shall a Subsidiary of the Company be required to provide a Guarantee of the Company’s Indenture Obligations if the Company reasonably determines that such Guarantee is prohibited by, or would be unduly burdensome under, applicable laws or would result in adverse tax consequences to the Company or any of its Subsidiaries.</w:t>
      </w:r>
    </w:p>
    <w:p>
      <w:pPr>
        <w:spacing w:after="0" w:line="164" w:lineRule="exact"/>
        <w:rPr>
          <w:sz w:val="20"/>
          <w:szCs w:val="20"/>
          <w:color w:val="auto"/>
        </w:rPr>
      </w:pPr>
    </w:p>
    <w:p>
      <w:pPr>
        <w:ind w:right="40" w:firstLine="585"/>
        <w:spacing w:after="0" w:line="288" w:lineRule="auto"/>
        <w:rPr>
          <w:sz w:val="20"/>
          <w:szCs w:val="20"/>
          <w:color w:val="auto"/>
        </w:rPr>
      </w:pPr>
      <w:r>
        <w:rPr>
          <w:rFonts w:ascii="Times New Roman" w:cs="Times New Roman" w:eastAsia="Times New Roman" w:hAnsi="Times New Roman"/>
          <w:sz w:val="16"/>
          <w:szCs w:val="16"/>
          <w:color w:val="auto"/>
        </w:rPr>
        <w:t>Notwithstanding the foregoing, any Guarantee by any Guarantor shall be automatically and unconditionally terminated and released, without any action on the part of the Trustee, any Holder of the Securities or any other person in accordance with Section 10.07.</w:t>
      </w:r>
    </w:p>
    <w:p>
      <w:pPr>
        <w:spacing w:after="0" w:line="143" w:lineRule="exact"/>
        <w:rPr>
          <w:sz w:val="20"/>
          <w:szCs w:val="20"/>
          <w:color w:val="auto"/>
        </w:rPr>
      </w:pPr>
    </w:p>
    <w:p>
      <w:pPr>
        <w:ind w:right="60" w:firstLine="585"/>
        <w:spacing w:after="0" w:line="271" w:lineRule="auto"/>
        <w:rPr>
          <w:sz w:val="20"/>
          <w:szCs w:val="20"/>
          <w:color w:val="auto"/>
        </w:rPr>
      </w:pPr>
      <w:r>
        <w:rPr>
          <w:rFonts w:ascii="Times New Roman" w:cs="Times New Roman" w:eastAsia="Times New Roman" w:hAnsi="Times New Roman"/>
          <w:sz w:val="16"/>
          <w:szCs w:val="16"/>
          <w:color w:val="auto"/>
        </w:rPr>
        <w:t>Each Guarantee shall be limited in amount to an amount not to exceed the maximum amount that can be guaranteed by the applicable Guarantor without rendering the Guarantee, as it relates to such Guarantor, voidable under applicable law relating to fraudulent conveyance or fraudulent transfer or similar laws affecting the rights of creditors generally.</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7" w:name="page148"/>
    <w:bookmarkEnd w:id="147"/>
    <w:p>
      <w:pPr>
        <w:ind w:left="580"/>
        <w:spacing w:after="0"/>
        <w:rPr>
          <w:sz w:val="20"/>
          <w:szCs w:val="20"/>
          <w:color w:val="auto"/>
        </w:rPr>
      </w:pPr>
      <w:r>
        <w:rPr>
          <w:rFonts w:ascii="Times New Roman" w:cs="Times New Roman" w:eastAsia="Times New Roman" w:hAnsi="Times New Roman"/>
          <w:sz w:val="16"/>
          <w:szCs w:val="16"/>
          <w:i w:val="1"/>
          <w:iCs w:val="1"/>
          <w:color w:val="auto"/>
        </w:rPr>
        <w:t>Section 4.05. Compliance Certificate.</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Except as otherwise provided as contemplated by Section 2.02 with respect to any series of Securities:</w:t>
      </w:r>
    </w:p>
    <w:p>
      <w:pPr>
        <w:spacing w:after="0" w:line="206" w:lineRule="exact"/>
        <w:rPr>
          <w:sz w:val="20"/>
          <w:szCs w:val="20"/>
          <w:color w:val="auto"/>
        </w:rPr>
      </w:pPr>
    </w:p>
    <w:p>
      <w:pPr>
        <w:ind w:firstLine="582"/>
        <w:spacing w:after="0" w:line="262" w:lineRule="auto"/>
        <w:tabs>
          <w:tab w:leader="none" w:pos="846"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any Guarantor shall furnish to the Trustee annually, within 120 days after the end of each fiscal year, a brief certificate from the principal executive officer, principal financial officer or principal accounting officer (or, if no such officer exists, a board member), to such person’s knowledge, of the compliance by the Company or any Guarantor, as applicable, with all conditions and covenants under this Indenture (which compliance shall be determined without regard to any period of grace or requirement of notice provided under this Indenture) and, in the event of any Default, specifying each such Default and the nature and status thereof of which such Person may have knowledge. Such certificates need not comply with Sections 12.03 and 12.04 of this Indenture.</w:t>
      </w:r>
    </w:p>
    <w:p>
      <w:pPr>
        <w:spacing w:after="0" w:line="164" w:lineRule="exact"/>
        <w:rPr>
          <w:rFonts w:ascii="Times New Roman" w:cs="Times New Roman" w:eastAsia="Times New Roman" w:hAnsi="Times New Roman"/>
          <w:sz w:val="16"/>
          <w:szCs w:val="16"/>
          <w:color w:val="auto"/>
        </w:rPr>
      </w:pPr>
    </w:p>
    <w:p>
      <w:pPr>
        <w:ind w:right="80" w:firstLine="582"/>
        <w:spacing w:after="0" w:line="288" w:lineRule="auto"/>
        <w:tabs>
          <w:tab w:leader="none" w:pos="855"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 long as any of the Securities are outstanding, the Company will deliver to the Trustee, forthwith upon any Officer becoming aware of any Default or Event of Default, an Officer’s Certificate specifying such Default or Event of Default and what action the Company is taking or proposes to take with respect thereto.</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ARTICLE V</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SUCCESSORS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5.01. Consolidation, Merger and Sale of Assets.</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Except as otherwise provided as contemplated by Section 2.02 with respect to any series of Securities:</w:t>
      </w:r>
    </w:p>
    <w:p>
      <w:pPr>
        <w:spacing w:after="0" w:line="206" w:lineRule="exact"/>
        <w:rPr>
          <w:sz w:val="20"/>
          <w:szCs w:val="20"/>
          <w:color w:val="auto"/>
        </w:rPr>
      </w:pPr>
    </w:p>
    <w:p>
      <w:pPr>
        <w:ind w:right="320" w:firstLine="582"/>
        <w:spacing w:after="0" w:line="288" w:lineRule="auto"/>
        <w:tabs>
          <w:tab w:leader="none" w:pos="846"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not consolidate with any other entity or accept a merger of any other entity into the Company or permit the Company to be merged into another Person, or sell or lease all or substantially all the assets of the Company and its Subsidiaries to, any entity, unless:</w:t>
      </w:r>
    </w:p>
    <w:p>
      <w:pPr>
        <w:spacing w:after="0" w:line="141" w:lineRule="exact"/>
        <w:rPr>
          <w:rFonts w:ascii="Times New Roman" w:cs="Times New Roman" w:eastAsia="Times New Roman" w:hAnsi="Times New Roman"/>
          <w:sz w:val="16"/>
          <w:szCs w:val="16"/>
          <w:color w:val="auto"/>
        </w:rPr>
      </w:pPr>
    </w:p>
    <w:p>
      <w:pPr>
        <w:ind w:left="580" w:right="40" w:firstLine="587"/>
        <w:spacing w:after="0" w:line="272" w:lineRule="auto"/>
        <w:tabs>
          <w:tab w:leader="none" w:pos="1435"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 the Company shall be the continuing entity or the successor, transferee or lessee entity, if other than the Company (the “</w:t>
      </w:r>
      <w:r>
        <w:rPr>
          <w:rFonts w:ascii="Times New Roman" w:cs="Times New Roman" w:eastAsia="Times New Roman" w:hAnsi="Times New Roman"/>
          <w:sz w:val="16"/>
          <w:szCs w:val="16"/>
          <w:i w:val="1"/>
          <w:iCs w:val="1"/>
          <w:color w:val="auto"/>
        </w:rPr>
        <w:t>Successor Company</w:t>
      </w:r>
      <w:r>
        <w:rPr>
          <w:rFonts w:ascii="Times New Roman" w:cs="Times New Roman" w:eastAsia="Times New Roman" w:hAnsi="Times New Roman"/>
          <w:sz w:val="16"/>
          <w:szCs w:val="16"/>
          <w:color w:val="auto"/>
        </w:rPr>
        <w:t>”), shall expressly assume, by a supplemental indenture, executed and delivered to the Trustee, in form reasonably satisfactory to the Trustee, all the obligations of the Company under the Securities and this Indenture;</w:t>
      </w:r>
    </w:p>
    <w:p>
      <w:pPr>
        <w:spacing w:after="0" w:line="15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after such transaction, no Default shall have occurred and be continuing; and</w:t>
      </w:r>
    </w:p>
    <w:p>
      <w:pPr>
        <w:spacing w:after="0" w:line="205" w:lineRule="exact"/>
        <w:rPr>
          <w:rFonts w:ascii="Times New Roman" w:cs="Times New Roman" w:eastAsia="Times New Roman" w:hAnsi="Times New Roman"/>
          <w:sz w:val="16"/>
          <w:szCs w:val="16"/>
          <w:color w:val="auto"/>
        </w:rPr>
      </w:pPr>
    </w:p>
    <w:p>
      <w:pPr>
        <w:ind w:left="580" w:right="40" w:firstLine="587"/>
        <w:spacing w:after="0" w:line="288" w:lineRule="auto"/>
        <w:tabs>
          <w:tab w:leader="none" w:pos="1435"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the Trustee an Officer’s Certificate and an Opinion of Counsel, each stating that such consolidation, merger, sale or lease and such supplemental indenture (if any) comply with this Indenture.</w:t>
      </w:r>
    </w:p>
    <w:p>
      <w:pPr>
        <w:spacing w:after="0" w:line="143" w:lineRule="exact"/>
        <w:rPr>
          <w:rFonts w:ascii="Times New Roman" w:cs="Times New Roman" w:eastAsia="Times New Roman" w:hAnsi="Times New Roman"/>
          <w:sz w:val="16"/>
          <w:szCs w:val="16"/>
          <w:color w:val="auto"/>
        </w:rPr>
      </w:pPr>
    </w:p>
    <w:p>
      <w:pPr>
        <w:ind w:right="100" w:firstLine="582"/>
        <w:spacing w:after="0" w:line="271" w:lineRule="auto"/>
        <w:tabs>
          <w:tab w:leader="none" w:pos="85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Section 5.01, the sale, lease, conveyance, assignment, transfer or other disposition of all or substantially all of the properties and assets or one or more Subsidiaries of the Company, which properties and assets, if held by the Company instead of such Subsidiaries, would constitute all or substantially all of the properties and assets of the Company on a consolidated basis, shall be deemed to be the transfer of all or substantially all of the properties and assets of the Company.</w:t>
      </w:r>
    </w:p>
    <w:p>
      <w:pPr>
        <w:spacing w:after="0" w:line="156" w:lineRule="exact"/>
        <w:rPr>
          <w:rFonts w:ascii="Times New Roman" w:cs="Times New Roman" w:eastAsia="Times New Roman" w:hAnsi="Times New Roman"/>
          <w:sz w:val="16"/>
          <w:szCs w:val="16"/>
          <w:color w:val="auto"/>
        </w:rPr>
      </w:pPr>
    </w:p>
    <w:p>
      <w:pPr>
        <w:ind w:right="140" w:firstLine="582"/>
        <w:spacing w:after="0" w:line="271" w:lineRule="auto"/>
        <w:tabs>
          <w:tab w:leader="none" w:pos="846"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Successor Company will be the successor to the Company and shall succeed to, and be substituted for, and may exercise every right and power of, the Company under this Indenture, and the Company, as the predecessor company, except in the case of a lease, shall be released from all obligations under this Indenture and the Securities.</w:t>
      </w:r>
    </w:p>
    <w:p>
      <w:pPr>
        <w:spacing w:after="0" w:line="1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ARTICLE VI</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DEFAULTS AND REMEDIES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6.01. Events of Default.</w:t>
      </w:r>
    </w:p>
    <w:p>
      <w:pPr>
        <w:spacing w:after="0" w:line="208" w:lineRule="exact"/>
        <w:rPr>
          <w:sz w:val="20"/>
          <w:szCs w:val="20"/>
          <w:color w:val="auto"/>
        </w:rPr>
      </w:pPr>
    </w:p>
    <w:p>
      <w:pPr>
        <w:ind w:right="260" w:firstLine="585"/>
        <w:spacing w:after="0" w:line="271" w:lineRule="auto"/>
        <w:rPr>
          <w:sz w:val="20"/>
          <w:szCs w:val="20"/>
          <w:color w:val="auto"/>
        </w:rPr>
      </w:pPr>
      <w:r>
        <w:rPr>
          <w:rFonts w:ascii="Times New Roman" w:cs="Times New Roman" w:eastAsia="Times New Roman" w:hAnsi="Times New Roman"/>
          <w:sz w:val="16"/>
          <w:szCs w:val="16"/>
          <w:color w:val="auto"/>
        </w:rPr>
        <w:t>Except where otherwise indicated by the context, the term is otherwise defined for a specific purpose or as otherwise provided as contemplated by Section 2.02 with respect to any series of Securities, the term “</w:t>
      </w:r>
      <w:r>
        <w:rPr>
          <w:rFonts w:ascii="Times New Roman" w:cs="Times New Roman" w:eastAsia="Times New Roman" w:hAnsi="Times New Roman"/>
          <w:sz w:val="16"/>
          <w:szCs w:val="16"/>
          <w:i w:val="1"/>
          <w:iCs w:val="1"/>
          <w:color w:val="auto"/>
        </w:rPr>
        <w:t>Event of Default</w:t>
      </w:r>
      <w:r>
        <w:rPr>
          <w:rFonts w:ascii="Times New Roman" w:cs="Times New Roman" w:eastAsia="Times New Roman" w:hAnsi="Times New Roman"/>
          <w:sz w:val="16"/>
          <w:szCs w:val="16"/>
          <w:color w:val="auto"/>
        </w:rPr>
        <w:t>” as used in this Indenture with respect to the Securities of a series shall mean one of the following described events unless it is inapplicable to a particular series:</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8" w:name="page149"/>
    <w:bookmarkEnd w:id="148"/>
    <w:p>
      <w:pPr>
        <w:ind w:left="1440" w:hanging="273"/>
        <w:spacing w:after="0"/>
        <w:tabs>
          <w:tab w:leader="none" w:pos="144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to pay interest on the Securities of such series that continues for a period of 30 days after payment is due;</w:t>
      </w:r>
    </w:p>
    <w:p>
      <w:pPr>
        <w:spacing w:after="0" w:line="205" w:lineRule="exact"/>
        <w:rPr>
          <w:rFonts w:ascii="Times New Roman" w:cs="Times New Roman" w:eastAsia="Times New Roman" w:hAnsi="Times New Roman"/>
          <w:sz w:val="16"/>
          <w:szCs w:val="16"/>
          <w:color w:val="auto"/>
        </w:rPr>
      </w:pPr>
    </w:p>
    <w:p>
      <w:pPr>
        <w:ind w:left="580" w:right="240" w:firstLine="587"/>
        <w:spacing w:after="0" w:line="288" w:lineRule="auto"/>
        <w:tabs>
          <w:tab w:leader="none" w:pos="1435"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to pay the principal or premium, if any, on the Securities of such series when due upon maturity, redemption (otherwise than pursuant to a sinking fund), acceleration or otherwise;</w:t>
      </w:r>
    </w:p>
    <w:p>
      <w:pPr>
        <w:spacing w:after="0" w:line="14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to comply with Section 5.01;</w:t>
      </w:r>
    </w:p>
    <w:p>
      <w:pPr>
        <w:spacing w:after="0" w:line="205" w:lineRule="exact"/>
        <w:rPr>
          <w:rFonts w:ascii="Times New Roman" w:cs="Times New Roman" w:eastAsia="Times New Roman" w:hAnsi="Times New Roman"/>
          <w:sz w:val="16"/>
          <w:szCs w:val="16"/>
          <w:color w:val="auto"/>
        </w:rPr>
      </w:pPr>
    </w:p>
    <w:p>
      <w:pPr>
        <w:ind w:left="580" w:right="60" w:firstLine="587"/>
        <w:spacing w:after="0" w:line="261" w:lineRule="auto"/>
        <w:tabs>
          <w:tab w:leader="none" w:pos="1435"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to comply with (x) any of the Company’s and the Guarantors’ other applicable agreements contained in this Indenture and applicable to the Securities of such series (other than (i) a failure that is subject to clause (1), (2) or (3) of this Section 6.01 or (ii) a failure to comply with Section 4.03) for a period of 60 days after receipt by the Company of written notice of such failure from the Trustee (or receipt by the Company and the Trustee of written notice of such failure from the Holders of at least 25% of the principal amount of the applicable series of Securities) or (y) the requirements set forth in Section 4.03 for a period of 120 days after receipt by the Company of written notice of such failure from the Trustee (or receipt by the Company and the Trustee of written notice of such failure from the Holders of at least 25% of the principal amount of the applicable series of Securities);</w:t>
      </w:r>
    </w:p>
    <w:p>
      <w:pPr>
        <w:spacing w:after="0" w:line="16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[Reserved];</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[Reserved];</w:t>
      </w:r>
    </w:p>
    <w:p>
      <w:pPr>
        <w:spacing w:after="0" w:line="205" w:lineRule="exact"/>
        <w:rPr>
          <w:rFonts w:ascii="Times New Roman" w:cs="Times New Roman" w:eastAsia="Times New Roman" w:hAnsi="Times New Roman"/>
          <w:sz w:val="16"/>
          <w:szCs w:val="16"/>
          <w:color w:val="auto"/>
        </w:rPr>
      </w:pPr>
    </w:p>
    <w:p>
      <w:pPr>
        <w:ind w:left="580" w:firstLine="587"/>
        <w:spacing w:after="0" w:line="265" w:lineRule="auto"/>
        <w:tabs>
          <w:tab w:leader="none" w:pos="1435"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Guarantee by a Significant Subsidiary of the Company’s Indenture Obligations under the Securities of such series shall for any reason cease to be, or shall for any reason be held in any judicial proceeding not to be, or asserted in writing by any Significant Subsidiary or the Company not to be, in full force and effect and enforceable in accordance with its terms, except to the extent contemplated by this Indenture and any such Guarantee by such Significant Subsidiary of the Company’s Indenture Obligations under the Securities of such series, and any such Default continues for 10 days;</w:t>
      </w:r>
    </w:p>
    <w:p>
      <w:pPr>
        <w:spacing w:after="0" w:line="161"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any Significant Subsidiary:</w:t>
      </w:r>
    </w:p>
    <w:p>
      <w:pPr>
        <w:spacing w:after="0" w:line="205" w:lineRule="exact"/>
        <w:rPr>
          <w:rFonts w:ascii="Times New Roman" w:cs="Times New Roman" w:eastAsia="Times New Roman" w:hAnsi="Times New Roman"/>
          <w:sz w:val="16"/>
          <w:szCs w:val="16"/>
          <w:color w:val="auto"/>
        </w:rPr>
      </w:pPr>
    </w:p>
    <w:p>
      <w:pPr>
        <w:ind w:left="2060" w:hanging="309"/>
        <w:spacing w:after="0"/>
        <w:tabs>
          <w:tab w:leader="none" w:pos="2060"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commences a voluntary insolvency proceeding;</w:t>
      </w:r>
    </w:p>
    <w:p>
      <w:pPr>
        <w:spacing w:after="0" w:line="205" w:lineRule="exact"/>
        <w:rPr>
          <w:rFonts w:ascii="Times New Roman" w:cs="Times New Roman" w:eastAsia="Times New Roman" w:hAnsi="Times New Roman"/>
          <w:sz w:val="16"/>
          <w:szCs w:val="16"/>
          <w:color w:val="auto"/>
        </w:rPr>
      </w:pPr>
    </w:p>
    <w:p>
      <w:pPr>
        <w:ind w:left="2040" w:hanging="289"/>
        <w:spacing w:after="0"/>
        <w:tabs>
          <w:tab w:leader="none" w:pos="2040"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consents to the entry of an order for relief against it in an involuntary insolvency proceeding or consents to its dissolution or winding-up;</w:t>
      </w:r>
    </w:p>
    <w:p>
      <w:pPr>
        <w:spacing w:after="0" w:line="205" w:lineRule="exact"/>
        <w:rPr>
          <w:rFonts w:ascii="Times New Roman" w:cs="Times New Roman" w:eastAsia="Times New Roman" w:hAnsi="Times New Roman"/>
          <w:sz w:val="16"/>
          <w:szCs w:val="16"/>
          <w:color w:val="auto"/>
        </w:rPr>
      </w:pPr>
    </w:p>
    <w:p>
      <w:pPr>
        <w:ind w:left="2040" w:hanging="289"/>
        <w:spacing w:after="0"/>
        <w:tabs>
          <w:tab w:leader="none" w:pos="2040"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consents to the appointment of a Custodian of it or for any substantial part of its property;</w:t>
      </w:r>
    </w:p>
    <w:p>
      <w:pPr>
        <w:spacing w:after="0" w:line="205" w:lineRule="exact"/>
        <w:rPr>
          <w:rFonts w:ascii="Times New Roman" w:cs="Times New Roman" w:eastAsia="Times New Roman" w:hAnsi="Times New Roman"/>
          <w:sz w:val="16"/>
          <w:szCs w:val="16"/>
          <w:color w:val="auto"/>
        </w:rPr>
      </w:pPr>
    </w:p>
    <w:p>
      <w:pPr>
        <w:ind w:left="2060" w:hanging="309"/>
        <w:spacing w:after="0"/>
        <w:tabs>
          <w:tab w:leader="none" w:pos="2060"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makes a general assignment for the benefit of its creditors;</w:t>
      </w:r>
    </w:p>
    <w:p>
      <w:pPr>
        <w:spacing w:after="0" w:line="205" w:lineRule="exact"/>
        <w:rPr>
          <w:rFonts w:ascii="Times New Roman" w:cs="Times New Roman" w:eastAsia="Times New Roman" w:hAnsi="Times New Roman"/>
          <w:sz w:val="16"/>
          <w:szCs w:val="16"/>
          <w:color w:val="auto"/>
        </w:rPr>
      </w:pPr>
    </w:p>
    <w:p>
      <w:pPr>
        <w:ind w:left="2040" w:hanging="289"/>
        <w:spacing w:after="0"/>
        <w:tabs>
          <w:tab w:leader="none" w:pos="2040"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generally is not paying its debts as they become due; or</w:t>
      </w:r>
    </w:p>
    <w:p>
      <w:pPr>
        <w:spacing w:after="0" w:line="205" w:lineRule="exact"/>
        <w:rPr>
          <w:rFonts w:ascii="Times New Roman" w:cs="Times New Roman" w:eastAsia="Times New Roman" w:hAnsi="Times New Roman"/>
          <w:sz w:val="16"/>
          <w:szCs w:val="16"/>
          <w:color w:val="auto"/>
        </w:rPr>
      </w:pPr>
    </w:p>
    <w:p>
      <w:pPr>
        <w:ind w:left="2040" w:hanging="289"/>
        <w:spacing w:after="0"/>
        <w:tabs>
          <w:tab w:leader="none" w:pos="2040"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takes any comparable action under any foreign laws relating to insolvency;</w:t>
      </w:r>
    </w:p>
    <w:p>
      <w:pPr>
        <w:spacing w:after="0" w:line="204" w:lineRule="exact"/>
        <w:rPr>
          <w:sz w:val="20"/>
          <w:szCs w:val="20"/>
          <w:color w:val="auto"/>
        </w:rPr>
      </w:pPr>
    </w:p>
    <w:p>
      <w:pPr>
        <w:ind w:right="800"/>
        <w:spacing w:after="0" w:line="291" w:lineRule="auto"/>
        <w:rPr>
          <w:sz w:val="20"/>
          <w:szCs w:val="20"/>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the liquidation of any Subsidiary of the Company into the Company or another Subsidiary of the Company, other than as part of a credit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reorganization, shall not constitute an Event of Default under this Section 6.01(8);</w:t>
      </w:r>
    </w:p>
    <w:p>
      <w:pPr>
        <w:spacing w:after="0" w:line="140" w:lineRule="exact"/>
        <w:rPr>
          <w:sz w:val="20"/>
          <w:szCs w:val="20"/>
          <w:color w:val="auto"/>
        </w:rPr>
      </w:pPr>
    </w:p>
    <w:p>
      <w:pPr>
        <w:ind w:left="1440" w:hanging="273"/>
        <w:spacing w:after="0"/>
        <w:tabs>
          <w:tab w:leader="none" w:pos="144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court of competent jurisdiction enters an order or decree under any Bankruptcy Law that:</w:t>
      </w:r>
    </w:p>
    <w:p>
      <w:pPr>
        <w:spacing w:after="0" w:line="205" w:lineRule="exact"/>
        <w:rPr>
          <w:rFonts w:ascii="Times New Roman" w:cs="Times New Roman" w:eastAsia="Times New Roman" w:hAnsi="Times New Roman"/>
          <w:sz w:val="16"/>
          <w:szCs w:val="16"/>
          <w:color w:val="auto"/>
        </w:rPr>
      </w:pPr>
    </w:p>
    <w:p>
      <w:pPr>
        <w:ind w:left="2060" w:hanging="309"/>
        <w:spacing w:after="0"/>
        <w:tabs>
          <w:tab w:leader="none" w:pos="2060"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for relief against the Company or any Significant Subsidiary in an involuntary insolvency proceeding;</w:t>
      </w:r>
    </w:p>
    <w:p>
      <w:pPr>
        <w:spacing w:after="0" w:line="205" w:lineRule="exact"/>
        <w:rPr>
          <w:rFonts w:ascii="Times New Roman" w:cs="Times New Roman" w:eastAsia="Times New Roman" w:hAnsi="Times New Roman"/>
          <w:sz w:val="16"/>
          <w:szCs w:val="16"/>
          <w:color w:val="auto"/>
        </w:rPr>
      </w:pPr>
    </w:p>
    <w:p>
      <w:pPr>
        <w:ind w:left="2040" w:hanging="289"/>
        <w:spacing w:after="0"/>
        <w:tabs>
          <w:tab w:leader="none" w:pos="2040"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appoints a Custodian of the Company or any Significant Subsidiary or for any substantial part of their property;</w:t>
      </w:r>
    </w:p>
    <w:p>
      <w:pPr>
        <w:spacing w:after="0" w:line="205" w:lineRule="exact"/>
        <w:rPr>
          <w:rFonts w:ascii="Times New Roman" w:cs="Times New Roman" w:eastAsia="Times New Roman" w:hAnsi="Times New Roman"/>
          <w:sz w:val="16"/>
          <w:szCs w:val="16"/>
          <w:color w:val="auto"/>
        </w:rPr>
      </w:pPr>
    </w:p>
    <w:p>
      <w:pPr>
        <w:ind w:left="2040" w:hanging="289"/>
        <w:spacing w:after="0"/>
        <w:tabs>
          <w:tab w:leader="none" w:pos="2040"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orders the winding-up, liquidation or dissolution of the Company or any Significant Subsidiary;</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49" w:name="page150"/>
    <w:bookmarkEnd w:id="149"/>
    <w:p>
      <w:pPr>
        <w:ind w:left="2060" w:hanging="309"/>
        <w:spacing w:after="0"/>
        <w:tabs>
          <w:tab w:leader="none" w:pos="206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orders the presentation of any plan or arrangement, compromise or reorganization of the Company or any Significant Subsidiary; or</w:t>
      </w:r>
    </w:p>
    <w:p>
      <w:pPr>
        <w:spacing w:after="0" w:line="205" w:lineRule="exact"/>
        <w:rPr>
          <w:rFonts w:ascii="Times New Roman" w:cs="Times New Roman" w:eastAsia="Times New Roman" w:hAnsi="Times New Roman"/>
          <w:sz w:val="16"/>
          <w:szCs w:val="16"/>
          <w:color w:val="auto"/>
        </w:rPr>
      </w:pPr>
    </w:p>
    <w:p>
      <w:pPr>
        <w:ind w:left="2040" w:hanging="289"/>
        <w:spacing w:after="0"/>
        <w:tabs>
          <w:tab w:leader="none" w:pos="204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grants any similar relief under any foreign laws;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in each such case the order or decree remains unstayed and in effect for 60 days;</w:t>
      </w:r>
    </w:p>
    <w:p>
      <w:pPr>
        <w:spacing w:after="0" w:line="206" w:lineRule="exact"/>
        <w:rPr>
          <w:sz w:val="20"/>
          <w:szCs w:val="20"/>
          <w:color w:val="auto"/>
        </w:rPr>
      </w:pPr>
    </w:p>
    <w:p>
      <w:pPr>
        <w:ind w:left="580" w:right="160" w:firstLine="587"/>
        <w:spacing w:after="0" w:line="288" w:lineRule="auto"/>
        <w:tabs>
          <w:tab w:leader="none" w:pos="1557"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of the Company to pay a sinking fund installment, if any, when and as the same shall become payable by the terms of a Security of such series, which failure shall have continued unremedied for a period of 30 days; and</w:t>
      </w:r>
    </w:p>
    <w:p>
      <w:pPr>
        <w:spacing w:after="0" w:line="143" w:lineRule="exact"/>
        <w:rPr>
          <w:rFonts w:ascii="Times New Roman" w:cs="Times New Roman" w:eastAsia="Times New Roman" w:hAnsi="Times New Roman"/>
          <w:sz w:val="16"/>
          <w:szCs w:val="16"/>
          <w:color w:val="auto"/>
        </w:rPr>
      </w:pPr>
    </w:p>
    <w:p>
      <w:pPr>
        <w:ind w:left="1520" w:hanging="353"/>
        <w:spacing w:after="0"/>
        <w:tabs>
          <w:tab w:leader="none" w:pos="152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other Event of Default with respect to Securities of such series as provided in Section 2.02.</w:t>
      </w:r>
    </w:p>
    <w:p>
      <w:pPr>
        <w:spacing w:after="0" w:line="206" w:lineRule="exact"/>
        <w:rPr>
          <w:sz w:val="20"/>
          <w:szCs w:val="20"/>
          <w:color w:val="auto"/>
        </w:rPr>
      </w:pPr>
    </w:p>
    <w:p>
      <w:pPr>
        <w:ind w:right="440" w:firstLine="585"/>
        <w:spacing w:after="0" w:line="288" w:lineRule="auto"/>
        <w:rPr>
          <w:sz w:val="20"/>
          <w:szCs w:val="20"/>
          <w:color w:val="auto"/>
        </w:rPr>
      </w:pPr>
      <w:r>
        <w:rPr>
          <w:rFonts w:ascii="Times New Roman" w:cs="Times New Roman" w:eastAsia="Times New Roman" w:hAnsi="Times New Roman"/>
          <w:sz w:val="16"/>
          <w:szCs w:val="16"/>
          <w:color w:val="auto"/>
        </w:rPr>
        <w:t>The foregoing will constitute Events of Default whatever the reason for any such Event of Default and whether it is voluntary or involuntary or is effected by operation of law or pursuant to any judgment, decree or order of any court or any order, rule or regulation of any administrative or governmental body.</w:t>
      </w:r>
    </w:p>
    <w:p>
      <w:pPr>
        <w:spacing w:after="0" w:line="143" w:lineRule="exact"/>
        <w:rPr>
          <w:sz w:val="20"/>
          <w:szCs w:val="20"/>
          <w:color w:val="auto"/>
        </w:rPr>
      </w:pPr>
    </w:p>
    <w:p>
      <w:pPr>
        <w:ind w:firstLine="585"/>
        <w:spacing w:after="0" w:line="259" w:lineRule="auto"/>
        <w:rPr>
          <w:sz w:val="20"/>
          <w:szCs w:val="20"/>
          <w:color w:val="auto"/>
        </w:rPr>
      </w:pPr>
      <w:r>
        <w:rPr>
          <w:rFonts w:ascii="Times New Roman" w:cs="Times New Roman" w:eastAsia="Times New Roman" w:hAnsi="Times New Roman"/>
          <w:sz w:val="16"/>
          <w:szCs w:val="16"/>
          <w:color w:val="auto"/>
        </w:rPr>
        <w:t>Notwithstanding the foregoing provisions of this Section 6.01, if the principal or any premium or interest on any Security is payable in a Currency other than U.S. Dollars and such Currency is not available to the Company for making payment thereof due to the imposition of exchange controls or other circumstances beyond the control of the Company, the Company will be entitled to satisfy its obligations to Holders of the Securities by making such payment in U.S. Dollars in an amount equal to the U.S. Dollars equivalent of the amount payable in such other Currency, as determined by the Company’s agent in accordance with Section 2.20 by reference to the noon buying rate in The City of New York for cable transfers for such Currency (“</w:t>
      </w:r>
      <w:r>
        <w:rPr>
          <w:rFonts w:ascii="Times New Roman" w:cs="Times New Roman" w:eastAsia="Times New Roman" w:hAnsi="Times New Roman"/>
          <w:sz w:val="16"/>
          <w:szCs w:val="16"/>
          <w:i w:val="1"/>
          <w:iCs w:val="1"/>
          <w:color w:val="auto"/>
        </w:rPr>
        <w:t>Exchange Rate</w:t>
      </w:r>
      <w:r>
        <w:rPr>
          <w:rFonts w:ascii="Times New Roman" w:cs="Times New Roman" w:eastAsia="Times New Roman" w:hAnsi="Times New Roman"/>
          <w:sz w:val="16"/>
          <w:szCs w:val="16"/>
          <w:color w:val="auto"/>
        </w:rPr>
        <w:t>”), as such Exchange Rate is reported or otherwise made available by the Federal Reserve Bank of New York on the date of such payment, or, if such rate is not then available, on the basis of the most recently available Exchange Rate. Notwithstanding the foregoing provisions of this Section 6.01, any payment made under such circumstances in U.S. Dollars where the required payment is in a Currency other than U.S. Dollars will not constitute an Event of Default under this Indenture.</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6.02. Acceleration of Maturity; Rescission.</w:t>
      </w:r>
    </w:p>
    <w:p>
      <w:pPr>
        <w:spacing w:after="0" w:line="208" w:lineRule="exact"/>
        <w:rPr>
          <w:sz w:val="20"/>
          <w:szCs w:val="20"/>
          <w:color w:val="auto"/>
        </w:rPr>
      </w:pPr>
    </w:p>
    <w:p>
      <w:pPr>
        <w:ind w:firstLine="585"/>
        <w:spacing w:after="0" w:line="257" w:lineRule="auto"/>
        <w:rPr>
          <w:sz w:val="20"/>
          <w:szCs w:val="20"/>
          <w:color w:val="auto"/>
        </w:rPr>
      </w:pPr>
      <w:r>
        <w:rPr>
          <w:rFonts w:ascii="Times New Roman" w:cs="Times New Roman" w:eastAsia="Times New Roman" w:hAnsi="Times New Roman"/>
          <w:sz w:val="16"/>
          <w:szCs w:val="16"/>
          <w:color w:val="auto"/>
        </w:rPr>
        <w:t>Except as otherwise provided as contemplated by Section 2.02 with respect to any series of Securities, if an Event of Default with respect to the Securities of a series (other than an Event of Default specified in Sections 6.01(8) and 6.01(9) with respect to the Company) shall have occurred and be continuing, the Trustee or the Holders of at least 25% in outstanding principal amount of the Securities of such series may declare to be immediately due and payable the principal amount of all of the Securities of such series then outstanding, plus accrued but unpaid interest thereon, if any, to the date of acceleration. If an Event of Default specified in Sections 6.01(8) and 6.01(9) with respect to the Company shall occur, such amount with respect to all the Securities shall become automatically due and payable immediately without any further action or notice. However, a notice of Default or notice of continuing Event of Default (including any declaration of acceleration) with respect to the Securities of any series may not be given with respect to any action taken, and reported publicly or to Holders of the Securities of such series, more than two years prior to such notice. After any such acceleration, but before a judgment or decree based on acceleration is obtained by the applicable person, the registered Holders of a majority in principal amount of the then outstanding Securities of such series may cancel such acceleration if (i) the rescission would not conflict with any judgment or decree and (ii) if all existing Events of Default have been cured or waived except nonpayment of principal, that has become due solely because of the acceleration. No such rescission shall affect any subsequent Default or impair any right consequent thereto.</w:t>
      </w:r>
    </w:p>
    <w:p>
      <w:pPr>
        <w:spacing w:after="0" w:line="171" w:lineRule="exact"/>
        <w:rPr>
          <w:sz w:val="20"/>
          <w:szCs w:val="20"/>
          <w:color w:val="auto"/>
        </w:rPr>
      </w:pPr>
    </w:p>
    <w:p>
      <w:pPr>
        <w:ind w:right="100" w:firstLine="585"/>
        <w:spacing w:after="0" w:line="262" w:lineRule="auto"/>
        <w:rPr>
          <w:sz w:val="20"/>
          <w:szCs w:val="20"/>
          <w:color w:val="auto"/>
        </w:rPr>
      </w:pPr>
      <w:r>
        <w:rPr>
          <w:rFonts w:ascii="Times New Roman" w:cs="Times New Roman" w:eastAsia="Times New Roman" w:hAnsi="Times New Roman"/>
          <w:sz w:val="16"/>
          <w:szCs w:val="16"/>
          <w:color w:val="auto"/>
        </w:rPr>
        <w:t>Subject to Section 7.01, in case an Event of Default shall occur and be continuing, the Trustee shall be under no obligation to exercise any of its rights or powers under this Indenture at the request or direction of any of the Holders of Securities of any series, unless such Holders have offered to the Trustee reasonable security and/or indemnity to its satisfaction. Subject to Section 7.06, the Holders of a majority in aggregate principal amount of any series of Securities then outstanding will have the right to direct the time, method and place of conducting any proceeding for any remedy available to the Trustee or exercising any trust or power the Trustee holds with respect to the Securities of such series.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0" w:name="page151"/>
    <w:bookmarkEnd w:id="150"/>
    <w:p>
      <w:pPr>
        <w:ind w:right="180" w:firstLine="585"/>
        <w:spacing w:after="0" w:line="262" w:lineRule="auto"/>
        <w:rPr>
          <w:sz w:val="20"/>
          <w:szCs w:val="20"/>
          <w:color w:val="auto"/>
        </w:rPr>
      </w:pPr>
      <w:r>
        <w:rPr>
          <w:rFonts w:ascii="Times New Roman" w:cs="Times New Roman" w:eastAsia="Times New Roman" w:hAnsi="Times New Roman"/>
          <w:sz w:val="16"/>
          <w:szCs w:val="16"/>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6.03. Other Remedies.</w:t>
      </w:r>
    </w:p>
    <w:p>
      <w:pPr>
        <w:spacing w:after="0" w:line="208" w:lineRule="exact"/>
        <w:rPr>
          <w:sz w:val="20"/>
          <w:szCs w:val="20"/>
          <w:color w:val="auto"/>
        </w:rPr>
      </w:pPr>
    </w:p>
    <w:p>
      <w:pPr>
        <w:ind w:right="100" w:firstLine="585"/>
        <w:spacing w:after="0" w:line="271" w:lineRule="auto"/>
        <w:rPr>
          <w:sz w:val="20"/>
          <w:szCs w:val="20"/>
          <w:color w:val="auto"/>
        </w:rPr>
      </w:pPr>
      <w:r>
        <w:rPr>
          <w:rFonts w:ascii="Times New Roman" w:cs="Times New Roman" w:eastAsia="Times New Roman" w:hAnsi="Times New Roman"/>
          <w:sz w:val="16"/>
          <w:szCs w:val="16"/>
          <w:color w:val="auto"/>
        </w:rPr>
        <w:t>If an Event of Default occurs and is continuing, the Trustee may pursue any available remedy by proceeding at law or in equity to collect the payment of principal of, or premium, if any, and interest on the Securities of each applicable series or to enforce the performance of any provision of the Securities of each applicable series or this Indenture and may take any necessary action requested of it as Trustee to settle, compromise, adjust or otherwise conclude any proceedings to which it is a party.</w:t>
      </w:r>
    </w:p>
    <w:p>
      <w:pPr>
        <w:spacing w:after="0" w:line="156" w:lineRule="exact"/>
        <w:rPr>
          <w:sz w:val="20"/>
          <w:szCs w:val="20"/>
          <w:color w:val="auto"/>
        </w:rPr>
      </w:pPr>
    </w:p>
    <w:p>
      <w:pPr>
        <w:ind w:right="60" w:firstLine="585"/>
        <w:spacing w:after="0" w:line="261" w:lineRule="auto"/>
        <w:rPr>
          <w:sz w:val="20"/>
          <w:szCs w:val="20"/>
          <w:color w:val="auto"/>
        </w:rPr>
      </w:pPr>
      <w:r>
        <w:rPr>
          <w:rFonts w:ascii="Times New Roman" w:cs="Times New Roman" w:eastAsia="Times New Roman" w:hAnsi="Times New Roman"/>
          <w:sz w:val="16"/>
          <w:szCs w:val="16"/>
          <w:color w:val="auto"/>
        </w:rPr>
        <w:t>The Trustee may maintain a proceeding even if it does not possess any of the Securities or does not produce any of them in the proceeding. Any such proceeding instituted by the Trustee may be brought in its own name and as trustee of an express trust, and any recovery of judgment shall, after provision for the payment of the reasonable compensation, expenses, disbursements of the Trustee and its counsel, be for the ratable benefit of the Holders of the Securities in respect of which such judgment has been recovered.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 Any costs associated with actions taken by the Trustee under this Section 6.03 shall be reimbursed to the Trustee by the Company.</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6.04. Waiver of Past Defaults and Events of Default.</w:t>
      </w:r>
    </w:p>
    <w:p>
      <w:pPr>
        <w:spacing w:after="0" w:line="208" w:lineRule="exact"/>
        <w:rPr>
          <w:sz w:val="20"/>
          <w:szCs w:val="20"/>
          <w:color w:val="auto"/>
        </w:rPr>
      </w:pPr>
    </w:p>
    <w:p>
      <w:pPr>
        <w:ind w:firstLine="585"/>
        <w:spacing w:after="0" w:line="261" w:lineRule="auto"/>
        <w:rPr>
          <w:sz w:val="20"/>
          <w:szCs w:val="20"/>
          <w:color w:val="auto"/>
        </w:rPr>
      </w:pPr>
      <w:r>
        <w:rPr>
          <w:rFonts w:ascii="Times New Roman" w:cs="Times New Roman" w:eastAsia="Times New Roman" w:hAnsi="Times New Roman"/>
          <w:sz w:val="16"/>
          <w:szCs w:val="16"/>
          <w:color w:val="auto"/>
        </w:rPr>
        <w:t xml:space="preserve">Provided the Securities of a series are not then due and payable by reason of a declaration of acceleration, the Holders of a majority in principal amount of the then outstanding Securities of such series may on behalf of the Holders of all the affected Securities of such series waive any past Default with respect to such series of Securities and its consequences by providing written notice thereof to the Company and the Trustee, except a Default (1) in the payment of interest on or the principal of any Security or (2) in respect of a covenant or provision hereof which under this Indenture cannot be modified or amended without the consent of the Holder of each outstanding Security affected. In the case of any such waiver, the Company, the Trustee and the Holders of the Securities of the applicable series will be restored to their former positions and rights under this Indenture, respectively;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such waiver shall extend to any subsequent or other Default or impair any right consequent thereto.</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6.05. Control by Majority.</w:t>
      </w:r>
    </w:p>
    <w:p>
      <w:pPr>
        <w:spacing w:after="0" w:line="208" w:lineRule="exact"/>
        <w:rPr>
          <w:sz w:val="20"/>
          <w:szCs w:val="20"/>
          <w:color w:val="auto"/>
        </w:rPr>
      </w:pPr>
    </w:p>
    <w:p>
      <w:pPr>
        <w:ind w:right="80" w:firstLine="585"/>
        <w:spacing w:after="0" w:line="262" w:lineRule="auto"/>
        <w:rPr>
          <w:sz w:val="20"/>
          <w:szCs w:val="20"/>
          <w:color w:val="auto"/>
        </w:rPr>
      </w:pPr>
      <w:r>
        <w:rPr>
          <w:rFonts w:ascii="Times New Roman" w:cs="Times New Roman" w:eastAsia="Times New Roman" w:hAnsi="Times New Roman"/>
          <w:sz w:val="16"/>
          <w:szCs w:val="16"/>
          <w:color w:val="auto"/>
        </w:rPr>
        <w:t>The Holders of at least a majority in aggregate principal amount of the outstanding Securities of a series may direct the time, method and place of conducting any proceeding for any remedy available to the Trustee or exercising any trust or power conferred on the Trustee with respect to the Securities of such series. However, the Trustee may refuse to follow any direction that conflicts with law or this Indenture, that may involve the Trustee in personal liability, or that the Trustee determines in good faith may be unduly prejudicial to the rights of Holders of the affected Securities not joining in the giving of such direction and may take any other action it deems proper that is not inconsistent with any such direction received from Holders of the Securities.</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6.06. Limitation on Suits.</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 Holder of the Securities of a series will have any right to institute any proceeding with respect to this Indenture, or for any remedy hereunder, unless:</w:t>
      </w:r>
    </w:p>
    <w:p>
      <w:pPr>
        <w:spacing w:after="0" w:line="206" w:lineRule="exact"/>
        <w:rPr>
          <w:sz w:val="20"/>
          <w:szCs w:val="20"/>
          <w:color w:val="auto"/>
        </w:rPr>
      </w:pPr>
    </w:p>
    <w:p>
      <w:pPr>
        <w:ind w:left="580" w:right="40" w:firstLine="587"/>
        <w:spacing w:after="0" w:line="288" w:lineRule="auto"/>
        <w:tabs>
          <w:tab w:leader="none" w:pos="1435"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has failed to institute such proceeding for 60 days after the Holder has previously given to the Trustee written notice of a continuing Event of Default with respect to the Securities of such series;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51" w:name="page152"/>
    <w:bookmarkEnd w:id="151"/>
    <w:p>
      <w:pPr>
        <w:ind w:left="580" w:right="160" w:firstLine="587"/>
        <w:spacing w:after="0" w:line="288" w:lineRule="auto"/>
        <w:tabs>
          <w:tab w:leader="none" w:pos="1435"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at least 25% in aggregate principal amount of the outstanding Securities of such series have made a written request, and offered to the Trustee reasonable security and/or indemnity satisfactory to it to institute such proceeding as Trustee; and</w:t>
      </w:r>
    </w:p>
    <w:p>
      <w:pPr>
        <w:spacing w:after="0" w:line="143" w:lineRule="exact"/>
        <w:rPr>
          <w:rFonts w:ascii="Times New Roman" w:cs="Times New Roman" w:eastAsia="Times New Roman" w:hAnsi="Times New Roman"/>
          <w:sz w:val="16"/>
          <w:szCs w:val="16"/>
          <w:color w:val="auto"/>
        </w:rPr>
      </w:pPr>
    </w:p>
    <w:p>
      <w:pPr>
        <w:ind w:left="580" w:firstLine="587"/>
        <w:spacing w:after="0" w:line="288" w:lineRule="auto"/>
        <w:tabs>
          <w:tab w:leader="none" w:pos="1435"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has not received from the Holders of a majority in aggregate principal amount of the outstanding Securities of such series a direction that is inconsistent with such request.</w:t>
      </w:r>
    </w:p>
    <w:p>
      <w:pPr>
        <w:spacing w:after="0" w:line="143" w:lineRule="exact"/>
        <w:rPr>
          <w:sz w:val="20"/>
          <w:szCs w:val="20"/>
          <w:color w:val="auto"/>
        </w:rPr>
      </w:pPr>
    </w:p>
    <w:p>
      <w:pPr>
        <w:ind w:right="100" w:firstLine="585"/>
        <w:spacing w:after="0" w:line="288" w:lineRule="auto"/>
        <w:rPr>
          <w:sz w:val="20"/>
          <w:szCs w:val="20"/>
          <w:color w:val="auto"/>
        </w:rPr>
      </w:pPr>
      <w:r>
        <w:rPr>
          <w:rFonts w:ascii="Times New Roman" w:cs="Times New Roman" w:eastAsia="Times New Roman" w:hAnsi="Times New Roman"/>
          <w:sz w:val="16"/>
          <w:szCs w:val="16"/>
          <w:color w:val="auto"/>
        </w:rPr>
        <w:t>However, the Holder of any Security will have an absolute and unconditional right to receive payment of the principal of, and premium, if any, or interest on, such Security on or after the date or dates they are to be paid as expressed in such Security and to institute suit for the enforcement of any such payment.</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6.07. Rights of Holders To Receive Payment.</w:t>
      </w:r>
    </w:p>
    <w:p>
      <w:pPr>
        <w:spacing w:after="0" w:line="208" w:lineRule="exact"/>
        <w:rPr>
          <w:sz w:val="20"/>
          <w:szCs w:val="20"/>
          <w:color w:val="auto"/>
        </w:rPr>
      </w:pPr>
    </w:p>
    <w:p>
      <w:pPr>
        <w:ind w:right="40" w:firstLine="585"/>
        <w:spacing w:after="0" w:line="259" w:lineRule="auto"/>
        <w:rPr>
          <w:sz w:val="20"/>
          <w:szCs w:val="20"/>
          <w:color w:val="auto"/>
        </w:rPr>
      </w:pPr>
      <w:r>
        <w:rPr>
          <w:rFonts w:ascii="Times New Roman" w:cs="Times New Roman" w:eastAsia="Times New Roman" w:hAnsi="Times New Roman"/>
          <w:sz w:val="16"/>
          <w:szCs w:val="16"/>
          <w:color w:val="auto"/>
        </w:rPr>
        <w:t>Notwithstanding any other provision of this Indenture, the right of any Holder of a Security to receive payment of the principal of or premium, if any, or interest, if any, on such Security (including in connection with an offer to purchase) or to bring suit for the enforcement of any such payment, on or after the due date expressed in the Securities shall not be impaired or affected without the consent of such Holder. Notwithstanding the foregoing, each Holder of a Security, and each owner of a beneficial interest in a Security, shall be deemed to acknowledge and agree that the release of any Guarantee in accordance with the terms of this Indenture shall not impair the right of such Holder or owner to receive any payment of the principal of or premium, if any, or interest, if any, on such Security, and each such Holder and each such owner, by acquiring any interest in a Security, thereby consents to any such release and waives any and all claims against the Trustee, the Company and any Guarantor in connection with such release.</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6.08. Collection Suit by Trustee.</w:t>
      </w:r>
    </w:p>
    <w:p>
      <w:pPr>
        <w:spacing w:after="0" w:line="208" w:lineRule="exact"/>
        <w:rPr>
          <w:sz w:val="20"/>
          <w:szCs w:val="20"/>
          <w:color w:val="auto"/>
        </w:rPr>
      </w:pPr>
    </w:p>
    <w:p>
      <w:pPr>
        <w:ind w:right="40" w:firstLine="585"/>
        <w:spacing w:after="0" w:line="271" w:lineRule="auto"/>
        <w:rPr>
          <w:sz w:val="20"/>
          <w:szCs w:val="20"/>
          <w:color w:val="auto"/>
        </w:rPr>
      </w:pPr>
      <w:r>
        <w:rPr>
          <w:rFonts w:ascii="Times New Roman" w:cs="Times New Roman" w:eastAsia="Times New Roman" w:hAnsi="Times New Roman"/>
          <w:sz w:val="16"/>
          <w:szCs w:val="16"/>
          <w:color w:val="auto"/>
        </w:rPr>
        <w:t>If an Event of Default in payment of principal, premium or interest specified in Section 6.01(1) or (2) occurs and is continuing, the Trustee may recover judgment in its own name and as trustee of an express trust against the Company (or any other obligor on the Securities) for the whole amount of unpaid principal and accrued interest remaining unpaid.</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6.09. Trustee May File Proofs of Claim.</w:t>
      </w:r>
    </w:p>
    <w:p>
      <w:pPr>
        <w:spacing w:after="0" w:line="208" w:lineRule="exact"/>
        <w:rPr>
          <w:sz w:val="20"/>
          <w:szCs w:val="20"/>
          <w:color w:val="auto"/>
        </w:rPr>
      </w:pPr>
    </w:p>
    <w:p>
      <w:pPr>
        <w:ind w:right="20" w:firstLine="585"/>
        <w:spacing w:after="0" w:line="259" w:lineRule="auto"/>
        <w:rPr>
          <w:sz w:val="20"/>
          <w:szCs w:val="20"/>
          <w:color w:val="auto"/>
        </w:rPr>
      </w:pPr>
      <w:r>
        <w:rPr>
          <w:rFonts w:ascii="Times New Roman" w:cs="Times New Roman" w:eastAsia="Times New Roman" w:hAnsi="Times New Roman"/>
          <w:sz w:val="16"/>
          <w:szCs w:val="16"/>
          <w:color w:val="auto"/>
        </w:rPr>
        <w:t>The Trustee may file such proofs of claim and other papers or documents as may be necessary or advisable in order to have the claims of the Trustee (including any claim for the reasonable compensation, expenses, disbursements and advances of the Trustee, its agents and counsel, and any other amounts due the Trustee under Section 7.06) and the Holders allowed in any judicial proceedings relative to the Company (or any other obligor upon the Securities), its creditors or its property and, unless prohibited by law,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7.06.</w:t>
      </w:r>
    </w:p>
    <w:p>
      <w:pPr>
        <w:spacing w:after="0" w:line="165" w:lineRule="exact"/>
        <w:rPr>
          <w:sz w:val="20"/>
          <w:szCs w:val="20"/>
          <w:color w:val="auto"/>
        </w:rPr>
      </w:pPr>
    </w:p>
    <w:p>
      <w:pPr>
        <w:ind w:right="80" w:firstLine="585"/>
        <w:spacing w:after="0" w:line="261" w:lineRule="auto"/>
        <w:rPr>
          <w:sz w:val="20"/>
          <w:szCs w:val="20"/>
          <w:color w:val="auto"/>
        </w:rPr>
      </w:pPr>
      <w:r>
        <w:rPr>
          <w:rFonts w:ascii="Times New Roman" w:cs="Times New Roman" w:eastAsia="Times New Roman" w:hAnsi="Times New Roman"/>
          <w:sz w:val="16"/>
          <w:szCs w:val="16"/>
          <w:color w:val="auto"/>
        </w:rPr>
        <w:t>Nothing herein contained shall be deemed to authorize the Trustee to authorize or consent to or accept or adopt on behalf of any Holder any plan or reorganization, arrangement, adjustment or composition affecting the Securities or the rights of any Holder thereof, or to authorize the Trustee to vote in respect of the claim of any Holder in any such proceedings. All rights of action and claims under this Indenture or the Securities may be prosecuted and enforced by the Trustee without the possession of any of the Securities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in respect of which such judgment has been recovered.</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2" w:name="page153"/>
    <w:bookmarkEnd w:id="152"/>
    <w:p>
      <w:pPr>
        <w:ind w:left="580"/>
        <w:spacing w:after="0"/>
        <w:rPr>
          <w:sz w:val="20"/>
          <w:szCs w:val="20"/>
          <w:color w:val="auto"/>
        </w:rPr>
      </w:pPr>
      <w:r>
        <w:rPr>
          <w:rFonts w:ascii="Times New Roman" w:cs="Times New Roman" w:eastAsia="Times New Roman" w:hAnsi="Times New Roman"/>
          <w:sz w:val="16"/>
          <w:szCs w:val="16"/>
          <w:i w:val="1"/>
          <w:iCs w:val="1"/>
          <w:color w:val="auto"/>
        </w:rPr>
        <w:t>Section 6.10. Priorities.</w:t>
      </w:r>
    </w:p>
    <w:p>
      <w:pPr>
        <w:spacing w:after="0" w:line="208" w:lineRule="exact"/>
        <w:rPr>
          <w:sz w:val="20"/>
          <w:szCs w:val="20"/>
          <w:color w:val="auto"/>
        </w:rPr>
      </w:pPr>
    </w:p>
    <w:p>
      <w:pPr>
        <w:ind w:right="100" w:firstLine="585"/>
        <w:spacing w:after="0" w:line="288" w:lineRule="auto"/>
        <w:rPr>
          <w:sz w:val="20"/>
          <w:szCs w:val="20"/>
          <w:color w:val="auto"/>
        </w:rPr>
      </w:pPr>
      <w:r>
        <w:rPr>
          <w:rFonts w:ascii="Times New Roman" w:cs="Times New Roman" w:eastAsia="Times New Roman" w:hAnsi="Times New Roman"/>
          <w:sz w:val="16"/>
          <w:szCs w:val="16"/>
          <w:color w:val="auto"/>
        </w:rPr>
        <w:t>Any money or property collected by the Trustee pursuant to this Article VI, and any money or other property distributable in respect of the Company’s obligations under this Indenture after an Event of Default shall, subject to Section 10.9 and Article XIII, be applied in the following order:</w:t>
      </w:r>
    </w:p>
    <w:p>
      <w:pPr>
        <w:spacing w:after="0" w:line="1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FIRST: to the Trustee (including any predecessor Trustee) for amounts due under Section 7.06;</w:t>
      </w:r>
    </w:p>
    <w:p>
      <w:pPr>
        <w:spacing w:after="0" w:line="206" w:lineRule="exact"/>
        <w:rPr>
          <w:sz w:val="20"/>
          <w:szCs w:val="20"/>
          <w:color w:val="auto"/>
        </w:rPr>
      </w:pPr>
    </w:p>
    <w:p>
      <w:pPr>
        <w:ind w:left="580" w:right="560" w:firstLine="585"/>
        <w:spacing w:after="0" w:line="288" w:lineRule="auto"/>
        <w:rPr>
          <w:sz w:val="20"/>
          <w:szCs w:val="20"/>
          <w:color w:val="auto"/>
        </w:rPr>
      </w:pPr>
      <w:r>
        <w:rPr>
          <w:rFonts w:ascii="Times New Roman" w:cs="Times New Roman" w:eastAsia="Times New Roman" w:hAnsi="Times New Roman"/>
          <w:sz w:val="16"/>
          <w:szCs w:val="16"/>
          <w:color w:val="auto"/>
        </w:rPr>
        <w:t>SECOND: to Holders for amounts due and unpaid on the affected Securities for principal, premium, if any, and interest as to each, ratably, without preference or priority of any kind, according to the amounts due and payable on the affected Securities; and</w:t>
      </w:r>
    </w:p>
    <w:p>
      <w:pPr>
        <w:spacing w:after="0" w:line="1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THIRD: to the Company.</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Trustee may fix a record date and payment date for any payment to Holders pursuant to this Section 6.10.</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6.11. Undertaking for Costs.</w:t>
      </w:r>
    </w:p>
    <w:p>
      <w:pPr>
        <w:spacing w:after="0" w:line="208" w:lineRule="exact"/>
        <w:rPr>
          <w:sz w:val="20"/>
          <w:szCs w:val="20"/>
          <w:color w:val="auto"/>
        </w:rPr>
      </w:pPr>
    </w:p>
    <w:p>
      <w:pPr>
        <w:ind w:right="40" w:firstLine="585"/>
        <w:spacing w:after="0" w:line="262" w:lineRule="auto"/>
        <w:rPr>
          <w:sz w:val="20"/>
          <w:szCs w:val="20"/>
          <w:color w:val="auto"/>
        </w:rPr>
      </w:pPr>
      <w:r>
        <w:rPr>
          <w:rFonts w:ascii="Times New Roman" w:cs="Times New Roman" w:eastAsia="Times New Roman" w:hAnsi="Times New Roman"/>
          <w:sz w:val="16"/>
          <w:szCs w:val="16"/>
          <w:color w:val="auto"/>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pursuant to Section 6.07 or a suit by Holders of more than 10% in principal amount of the Securities of a series then outstanding.</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6.12. Delay or Omission Not Waiver.</w:t>
      </w:r>
    </w:p>
    <w:p>
      <w:pPr>
        <w:spacing w:after="0" w:line="208" w:lineRule="exact"/>
        <w:rPr>
          <w:sz w:val="20"/>
          <w:szCs w:val="20"/>
          <w:color w:val="auto"/>
        </w:rPr>
      </w:pPr>
    </w:p>
    <w:p>
      <w:pPr>
        <w:ind w:firstLine="585"/>
        <w:spacing w:after="0" w:line="271" w:lineRule="auto"/>
        <w:rPr>
          <w:sz w:val="20"/>
          <w:szCs w:val="20"/>
          <w:color w:val="auto"/>
        </w:rPr>
      </w:pPr>
      <w:r>
        <w:rPr>
          <w:rFonts w:ascii="Times New Roman" w:cs="Times New Roman" w:eastAsia="Times New Roman" w:hAnsi="Times New Roman"/>
          <w:sz w:val="16"/>
          <w:szCs w:val="16"/>
          <w:color w:val="auto"/>
        </w:rPr>
        <w:t>No delay or omission of the Trustee or of any Holder of any Securities to exercise any right or remedy occurring upon an Event of Default shall impair any such right or remedy or constitute a waiver of any such Event of Default or an acquiescence therein. Every right and remedy given by this Article VI or by law to the Trustee or to the Holders may be exercised from time to time, and as often as may be deemed expedient, by the Trustee or by the Holders, as the case may be.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TRUSTEE</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7.01. Duties of Trustee.</w:t>
      </w:r>
    </w:p>
    <w:p>
      <w:pPr>
        <w:spacing w:after="0" w:line="208" w:lineRule="exact"/>
        <w:rPr>
          <w:sz w:val="20"/>
          <w:szCs w:val="20"/>
          <w:color w:val="auto"/>
        </w:rPr>
      </w:pPr>
    </w:p>
    <w:p>
      <w:pPr>
        <w:ind w:right="80" w:firstLine="582"/>
        <w:spacing w:after="0" w:line="271" w:lineRule="auto"/>
        <w:tabs>
          <w:tab w:leader="none" w:pos="846"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Responsible Officer of the Trustee has received written notice that an Event of Default has occurred and is continuing, the Trustee will exercise such of the rights and powers vested in it under this Indenture, and use the same degree of care and skill in their exercise, as a prudent person would exercise or use under the circumstances in the conduct of such person’s own affairs.</w:t>
      </w:r>
    </w:p>
    <w:p>
      <w:pPr>
        <w:spacing w:after="0" w:line="156"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during the continuance of an Event of Default:</w:t>
      </w:r>
    </w:p>
    <w:p>
      <w:pPr>
        <w:spacing w:after="0" w:line="205" w:lineRule="exact"/>
        <w:rPr>
          <w:rFonts w:ascii="Times New Roman" w:cs="Times New Roman" w:eastAsia="Times New Roman" w:hAnsi="Times New Roman"/>
          <w:sz w:val="16"/>
          <w:szCs w:val="16"/>
          <w:color w:val="auto"/>
        </w:rPr>
      </w:pPr>
    </w:p>
    <w:p>
      <w:pPr>
        <w:ind w:left="580" w:right="660" w:firstLine="587"/>
        <w:spacing w:after="0" w:line="288" w:lineRule="auto"/>
        <w:tabs>
          <w:tab w:leader="none" w:pos="1435"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undertakes to perform such duties and only such duties as are specifically set forth in this Indenture, and no implied covenants or obligations shall be read into this Indenture against the Trustee; and</w:t>
      </w:r>
    </w:p>
    <w:p>
      <w:pPr>
        <w:spacing w:after="0" w:line="143" w:lineRule="exact"/>
        <w:rPr>
          <w:rFonts w:ascii="Times New Roman" w:cs="Times New Roman" w:eastAsia="Times New Roman" w:hAnsi="Times New Roman"/>
          <w:sz w:val="16"/>
          <w:szCs w:val="16"/>
          <w:color w:val="auto"/>
        </w:rPr>
      </w:pPr>
    </w:p>
    <w:p>
      <w:pPr>
        <w:ind w:left="580" w:right="60" w:firstLine="587"/>
        <w:spacing w:after="0" w:line="262" w:lineRule="auto"/>
        <w:tabs>
          <w:tab w:leader="none" w:pos="1435"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ind w:right="300" w:firstLine="582"/>
        <w:spacing w:after="0" w:line="288" w:lineRule="auto"/>
        <w:tabs>
          <w:tab w:leader="none" w:pos="846"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provision of this Indenture shall be construed to relieve the Trustee from liability for its own negligent action, its own negligent failure to act, or its own willful misconduct, except that:</w:t>
      </w:r>
    </w:p>
    <w:p>
      <w:pPr>
        <w:spacing w:after="0" w:line="14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paragraph does not limit the effect of clause (b) or (d) of this Section 7.01;</w:t>
      </w:r>
    </w:p>
    <w:p>
      <w:pPr>
        <w:spacing w:after="0" w:line="205" w:lineRule="exact"/>
        <w:rPr>
          <w:rFonts w:ascii="Times New Roman" w:cs="Times New Roman" w:eastAsia="Times New Roman" w:hAnsi="Times New Roman"/>
          <w:sz w:val="16"/>
          <w:szCs w:val="16"/>
          <w:color w:val="auto"/>
        </w:rPr>
      </w:pPr>
    </w:p>
    <w:p>
      <w:pPr>
        <w:ind w:left="580" w:firstLine="587"/>
        <w:spacing w:after="0" w:line="288" w:lineRule="auto"/>
        <w:tabs>
          <w:tab w:leader="none" w:pos="1435"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for any error of judgment made in good faith by a Responsible Officer or Responsible Officers of the Trustee, unless it is proved that the Trustee was negligent in ascertaining the pertinent facts; and</w:t>
      </w:r>
    </w:p>
    <w:p>
      <w:pPr>
        <w:spacing w:after="0" w:line="143" w:lineRule="exact"/>
        <w:rPr>
          <w:rFonts w:ascii="Times New Roman" w:cs="Times New Roman" w:eastAsia="Times New Roman" w:hAnsi="Times New Roman"/>
          <w:sz w:val="16"/>
          <w:szCs w:val="16"/>
          <w:color w:val="auto"/>
        </w:rPr>
      </w:pPr>
    </w:p>
    <w:p>
      <w:pPr>
        <w:ind w:left="580" w:firstLine="587"/>
        <w:spacing w:after="0" w:line="265" w:lineRule="auto"/>
        <w:tabs>
          <w:tab w:leader="none" w:pos="1435"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with respect to any action it takes or omits to take in good faith in accordance with a direction of the Holders of a majority in aggregate principal amount of the outstanding Securities of any series, determined as provided herein, relating to the time, method and place of conducting any proceeding for any remedy available to the Trustee, or exercising any trust or power conferred upon the Trustee, under this Indenture with respect to the Securities of such series.</w:t>
      </w:r>
    </w:p>
    <w:p>
      <w:pPr>
        <w:spacing w:after="0" w:line="161" w:lineRule="exact"/>
        <w:rPr>
          <w:rFonts w:ascii="Times New Roman" w:cs="Times New Roman" w:eastAsia="Times New Roman" w:hAnsi="Times New Roman"/>
          <w:sz w:val="16"/>
          <w:szCs w:val="16"/>
          <w:color w:val="auto"/>
        </w:rPr>
      </w:pPr>
    </w:p>
    <w:p>
      <w:pPr>
        <w:ind w:right="20" w:firstLine="582"/>
        <w:spacing w:after="0" w:line="271" w:lineRule="auto"/>
        <w:tabs>
          <w:tab w:leader="none" w:pos="855"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satisfactory to it against such risk or liability is not reasonably assured to it.</w:t>
      </w:r>
    </w:p>
    <w:p>
      <w:pPr>
        <w:spacing w:after="0" w:line="156" w:lineRule="exact"/>
        <w:rPr>
          <w:rFonts w:ascii="Times New Roman" w:cs="Times New Roman" w:eastAsia="Times New Roman" w:hAnsi="Times New Roman"/>
          <w:sz w:val="16"/>
          <w:szCs w:val="16"/>
          <w:color w:val="auto"/>
        </w:rPr>
      </w:pPr>
    </w:p>
    <w:p>
      <w:pPr>
        <w:ind w:right="200" w:firstLine="582"/>
        <w:spacing w:after="0" w:line="288" w:lineRule="auto"/>
        <w:tabs>
          <w:tab w:leader="none" w:pos="846"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or not therein expressly so provided, every provision of this Indenture relating to the conduct of, affecting the liability of, or affording protection to, the Trustee shall be subject to the provisions of this Section 7.01.</w:t>
      </w:r>
    </w:p>
    <w:p>
      <w:pPr>
        <w:spacing w:after="0" w:line="143" w:lineRule="exact"/>
        <w:rPr>
          <w:rFonts w:ascii="Times New Roman" w:cs="Times New Roman" w:eastAsia="Times New Roman" w:hAnsi="Times New Roman"/>
          <w:sz w:val="16"/>
          <w:szCs w:val="16"/>
          <w:color w:val="auto"/>
        </w:rPr>
      </w:pPr>
    </w:p>
    <w:p>
      <w:pPr>
        <w:ind w:firstLine="582"/>
        <w:spacing w:after="0" w:line="288" w:lineRule="auto"/>
        <w:tabs>
          <w:tab w:leader="none" w:pos="828"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for interest or earnings on any money received by it except as the Trustee may agree in writing with the Company. Money held in trust by the Trustee or Paying Agent need not be segregated from other funds except to the extent required by the law.</w:t>
      </w:r>
    </w:p>
    <w:p>
      <w:pPr>
        <w:spacing w:after="0" w:line="143"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responsible for the application of any money by any Paying Agent other than the Trustee.</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7.02. Rights of Trustee.</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Subject to Section 7.01:</w:t>
      </w:r>
    </w:p>
    <w:p>
      <w:pPr>
        <w:spacing w:after="0" w:line="206" w:lineRule="exact"/>
        <w:rPr>
          <w:sz w:val="20"/>
          <w:szCs w:val="20"/>
          <w:color w:val="auto"/>
        </w:rPr>
      </w:pPr>
    </w:p>
    <w:p>
      <w:pPr>
        <w:jc w:val="both"/>
        <w:ind w:right="280" w:firstLine="582"/>
        <w:spacing w:after="0" w:line="265" w:lineRule="auto"/>
        <w:tabs>
          <w:tab w:leader="none" w:pos="846"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(whether in its original or electronic form) believed in good faith by it to be genuine and to have been signed or presented by the proper person. The Trustee need not investigate any fact or matter stated in the document.</w:t>
      </w:r>
    </w:p>
    <w:p>
      <w:pPr>
        <w:spacing w:after="0" w:line="161" w:lineRule="exact"/>
        <w:rPr>
          <w:rFonts w:ascii="Times New Roman" w:cs="Times New Roman" w:eastAsia="Times New Roman" w:hAnsi="Times New Roman"/>
          <w:sz w:val="16"/>
          <w:szCs w:val="16"/>
          <w:color w:val="auto"/>
        </w:rPr>
      </w:pPr>
    </w:p>
    <w:p>
      <w:pPr>
        <w:ind w:right="220" w:firstLine="582"/>
        <w:spacing w:after="0" w:line="288" w:lineRule="auto"/>
        <w:tabs>
          <w:tab w:leader="none" w:pos="855"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request or direction of the Company mentioned herein shall be sufficiently evidenced by a Company Order and any resolution of the Board of Directors may be sufficiently evidenced by a board resolution.</w:t>
      </w:r>
    </w:p>
    <w:p>
      <w:pPr>
        <w:spacing w:after="0" w:line="143" w:lineRule="exact"/>
        <w:rPr>
          <w:rFonts w:ascii="Times New Roman" w:cs="Times New Roman" w:eastAsia="Times New Roman" w:hAnsi="Times New Roman"/>
          <w:sz w:val="16"/>
          <w:szCs w:val="16"/>
          <w:color w:val="auto"/>
        </w:rPr>
      </w:pPr>
    </w:p>
    <w:p>
      <w:pPr>
        <w:ind w:right="100" w:firstLine="582"/>
        <w:spacing w:after="0" w:line="265" w:lineRule="auto"/>
        <w:tabs>
          <w:tab w:leader="none" w:pos="846"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in the administration of this Indenture the Trustee shall deem it desirable that a matter be proved or established prior to taking, suffering or omitting any action hereunder, the Trustee (unless other evidence be herein specifically prescribed) may require an Officer’s Certificate or an Opinion of Counsel (or both), which shall comply with the requirements of Section 12.03, and, in the absence of bad faith on its part, may conclusively rely upon such Officer’s Certificate or Opinion of Counsel (or both). The Trustee shall not be liable for any action it takes or omits to take in good faith in reliance on such Officer’s Certificate or Opinion of Counsel.</w:t>
      </w:r>
    </w:p>
    <w:p>
      <w:pPr>
        <w:spacing w:after="0" w:line="161" w:lineRule="exact"/>
        <w:rPr>
          <w:rFonts w:ascii="Times New Roman" w:cs="Times New Roman" w:eastAsia="Times New Roman" w:hAnsi="Times New Roman"/>
          <w:sz w:val="16"/>
          <w:szCs w:val="16"/>
          <w:color w:val="auto"/>
        </w:rPr>
      </w:pPr>
    </w:p>
    <w:p>
      <w:pPr>
        <w:ind w:right="400" w:firstLine="582"/>
        <w:spacing w:after="0" w:line="288" w:lineRule="auto"/>
        <w:tabs>
          <w:tab w:leader="none" w:pos="855"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execute any of the trusts or power hereunder or perform any duties hereunder either directly or by or through attorneys or agents and the Trustee shall not be responsible for any misconduct or negligence on the part of any agent appointed with due care by it hereunder.</w:t>
      </w:r>
    </w:p>
    <w:p>
      <w:pPr>
        <w:spacing w:after="0" w:line="143" w:lineRule="exact"/>
        <w:rPr>
          <w:rFonts w:ascii="Times New Roman" w:cs="Times New Roman" w:eastAsia="Times New Roman" w:hAnsi="Times New Roman"/>
          <w:sz w:val="16"/>
          <w:szCs w:val="16"/>
          <w:color w:val="auto"/>
        </w:rPr>
      </w:pPr>
    </w:p>
    <w:p>
      <w:pPr>
        <w:ind w:right="100" w:firstLine="582"/>
        <w:spacing w:after="0" w:line="288" w:lineRule="auto"/>
        <w:tabs>
          <w:tab w:leader="none" w:pos="846"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for any action taken, suffered, or omitted to be taken in good faith and believed by it to be authorized or within the discretion or rights or powers conferred upon it by this Indenture.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4" w:name="page155"/>
    <w:bookmarkEnd w:id="154"/>
    <w:p>
      <w:pPr>
        <w:ind w:right="220" w:firstLine="582"/>
        <w:spacing w:after="0" w:line="288" w:lineRule="auto"/>
        <w:tabs>
          <w:tab w:leader="none" w:pos="828"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consult with counsel of its selection, and the advice of such counsel or any Opinion of Counsel shall be full and complete authorization and protection from liability in respect of any action taken, omitted or suffered by it hereunder in good faith and in reliance thereon.</w:t>
      </w:r>
    </w:p>
    <w:p>
      <w:pPr>
        <w:spacing w:after="0" w:line="143" w:lineRule="exact"/>
        <w:rPr>
          <w:rFonts w:ascii="Times New Roman" w:cs="Times New Roman" w:eastAsia="Times New Roman" w:hAnsi="Times New Roman"/>
          <w:sz w:val="16"/>
          <w:szCs w:val="16"/>
          <w:color w:val="auto"/>
        </w:rPr>
      </w:pPr>
    </w:p>
    <w:p>
      <w:pPr>
        <w:ind w:right="220" w:firstLine="582"/>
        <w:spacing w:after="0" w:line="271" w:lineRule="auto"/>
        <w:tabs>
          <w:tab w:leader="none" w:pos="855"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be under no obligation to exercise any of the rights or powers vested in it by this Indenture at the request or direction of any of the Holders pursuant to this Indenture, unless such Holders shall have offered to the Trustee security and/or indemnity satisfactory to the Trustee against the costs, expenses and liabilities which might be incurred by it in compliance with such request or direction.</w:t>
      </w:r>
    </w:p>
    <w:p>
      <w:pPr>
        <w:spacing w:after="0" w:line="156" w:lineRule="exact"/>
        <w:rPr>
          <w:rFonts w:ascii="Times New Roman" w:cs="Times New Roman" w:eastAsia="Times New Roman" w:hAnsi="Times New Roman"/>
          <w:sz w:val="16"/>
          <w:szCs w:val="16"/>
          <w:color w:val="auto"/>
        </w:rPr>
      </w:pPr>
    </w:p>
    <w:p>
      <w:pPr>
        <w:ind w:right="140" w:firstLine="582"/>
        <w:spacing w:after="0" w:line="288" w:lineRule="auto"/>
        <w:tabs>
          <w:tab w:leader="none" w:pos="855"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43" w:lineRule="exact"/>
        <w:rPr>
          <w:rFonts w:ascii="Times New Roman" w:cs="Times New Roman" w:eastAsia="Times New Roman" w:hAnsi="Times New Roman"/>
          <w:sz w:val="16"/>
          <w:szCs w:val="16"/>
          <w:color w:val="auto"/>
        </w:rPr>
      </w:pPr>
    </w:p>
    <w:p>
      <w:pPr>
        <w:ind w:right="20" w:firstLine="582"/>
        <w:spacing w:after="0" w:line="262" w:lineRule="auto"/>
        <w:tabs>
          <w:tab w:leader="none" w:pos="819"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64" w:lineRule="exact"/>
        <w:rPr>
          <w:rFonts w:ascii="Times New Roman" w:cs="Times New Roman" w:eastAsia="Times New Roman" w:hAnsi="Times New Roman"/>
          <w:sz w:val="16"/>
          <w:szCs w:val="16"/>
          <w:color w:val="auto"/>
        </w:rPr>
      </w:pPr>
    </w:p>
    <w:p>
      <w:pPr>
        <w:ind w:right="60" w:firstLine="582"/>
        <w:spacing w:after="0" w:line="271" w:lineRule="auto"/>
        <w:tabs>
          <w:tab w:leader="none" w:pos="819"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deemed to have notice or be charged with knowledge of any Default or Event of Default unless written notice of such Default or Event of Default from the Company or any Holder is received by a Responsible Officer of the Trustee at the Corporate Trust Office of the Trustee, and such notice references the Securities and this Indenture.</w:t>
      </w:r>
    </w:p>
    <w:p>
      <w:pPr>
        <w:spacing w:after="0" w:line="156" w:lineRule="exact"/>
        <w:rPr>
          <w:rFonts w:ascii="Times New Roman" w:cs="Times New Roman" w:eastAsia="Times New Roman" w:hAnsi="Times New Roman"/>
          <w:sz w:val="16"/>
          <w:szCs w:val="16"/>
          <w:color w:val="auto"/>
        </w:rPr>
      </w:pPr>
    </w:p>
    <w:p>
      <w:pPr>
        <w:jc w:val="both"/>
        <w:ind w:right="20" w:firstLine="582"/>
        <w:spacing w:after="0" w:line="271" w:lineRule="auto"/>
        <w:tabs>
          <w:tab w:leader="none" w:pos="855"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56" w:lineRule="exact"/>
        <w:rPr>
          <w:rFonts w:ascii="Times New Roman" w:cs="Times New Roman" w:eastAsia="Times New Roman" w:hAnsi="Times New Roman"/>
          <w:sz w:val="16"/>
          <w:szCs w:val="16"/>
          <w:color w:val="auto"/>
        </w:rPr>
      </w:pPr>
    </w:p>
    <w:p>
      <w:pPr>
        <w:ind w:firstLine="582"/>
        <w:spacing w:after="0" w:line="288" w:lineRule="auto"/>
        <w:tabs>
          <w:tab w:leader="none" w:pos="819"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Anything in this Indenture notwithstanding, in no event shall the Trustee be liable for special, indirect, punitive or consequential loss or damage of any kind whatsoever (including, but not limited to, loss of profit), even if the Trustee has been advised as to the likelihood of such loss or damage and regardless of the form of action.</w:t>
      </w:r>
    </w:p>
    <w:p>
      <w:pPr>
        <w:spacing w:after="0" w:line="143" w:lineRule="exact"/>
        <w:rPr>
          <w:rFonts w:ascii="Times New Roman" w:cs="Times New Roman" w:eastAsia="Times New Roman" w:hAnsi="Times New Roman"/>
          <w:sz w:val="16"/>
          <w:szCs w:val="16"/>
          <w:color w:val="auto"/>
        </w:rPr>
      </w:pPr>
    </w:p>
    <w:p>
      <w:pPr>
        <w:ind w:firstLine="582"/>
        <w:spacing w:after="0" w:line="265" w:lineRule="auto"/>
        <w:tabs>
          <w:tab w:leader="none" w:pos="90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responsible or liable for any failure or delay in the performance of its obligations under this Indenture arising out of or caused, directly or indirectly, by circumstances beyond its control, including, without limitation, any provision of any law or regulation or any act of any Governmental Authority, acts of God; earthquakes; fire; flood; terrorism; wars and other military disturbances; sabotage; epidemics; riots; interruptions; loss or malfunctions of utilities, computer (hardware or software) or communication services; accidents; labor disputes; acts of civil or military authority and governmental action.</w:t>
      </w:r>
    </w:p>
    <w:p>
      <w:pPr>
        <w:spacing w:after="0" w:line="161"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permissive right of the Trustee to take or refrain from taking action hereunder shall not be construed as a duty.</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7.03. Individual Rights of Trustee.</w:t>
      </w:r>
    </w:p>
    <w:p>
      <w:pPr>
        <w:spacing w:after="0" w:line="208" w:lineRule="exact"/>
        <w:rPr>
          <w:sz w:val="20"/>
          <w:szCs w:val="20"/>
          <w:color w:val="auto"/>
        </w:rPr>
      </w:pPr>
    </w:p>
    <w:p>
      <w:pPr>
        <w:ind w:right="40" w:firstLine="585"/>
        <w:spacing w:after="0" w:line="262" w:lineRule="auto"/>
        <w:rPr>
          <w:sz w:val="20"/>
          <w:szCs w:val="20"/>
          <w:color w:val="auto"/>
        </w:rPr>
      </w:pPr>
      <w:r>
        <w:rPr>
          <w:rFonts w:ascii="Times New Roman" w:cs="Times New Roman" w:eastAsia="Times New Roman" w:hAnsi="Times New Roman"/>
          <w:sz w:val="16"/>
          <w:szCs w:val="16"/>
          <w:color w:val="auto"/>
        </w:rPr>
        <w:t xml:space="preserve">The Trustee in its individual or any other capacity may become the owner or pledgee of Securities and may make loans to, accept deposits from, perform services for or otherwise deal with the Company or any Affiliate thereof with the same rights it would have if it were not Trustee. However, in the event that the Trustee acquires any conflicting interest within the meaning of Section 310(b)(1) of the TIA, it must eliminate such conflict within 90 days or resign;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there shall be excluded from the operation of TIA §310(b)(1) any indenture or indentures under which other securities or certificates of interest of participation in other securities of the Company are outstanding if the requirements for such exclusion set forth in TIA §310(b)(1) are met, other than the fact that such indentures are not described herein.</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Any Agent may do the same with like rights. The Trustee is also subject to Section 7.09.</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5" w:name="page156"/>
    <w:bookmarkEnd w:id="155"/>
    <w:p>
      <w:pPr>
        <w:ind w:left="580"/>
        <w:spacing w:after="0"/>
        <w:rPr>
          <w:sz w:val="20"/>
          <w:szCs w:val="20"/>
          <w:color w:val="auto"/>
        </w:rPr>
      </w:pPr>
      <w:r>
        <w:rPr>
          <w:rFonts w:ascii="Times New Roman" w:cs="Times New Roman" w:eastAsia="Times New Roman" w:hAnsi="Times New Roman"/>
          <w:sz w:val="16"/>
          <w:szCs w:val="16"/>
          <w:i w:val="1"/>
          <w:iCs w:val="1"/>
          <w:color w:val="auto"/>
        </w:rPr>
        <w:t>Section 7.04. Trustee’s Disclaimer.</w:t>
      </w:r>
    </w:p>
    <w:p>
      <w:pPr>
        <w:spacing w:after="0" w:line="208" w:lineRule="exact"/>
        <w:rPr>
          <w:sz w:val="20"/>
          <w:szCs w:val="20"/>
          <w:color w:val="auto"/>
        </w:rPr>
      </w:pPr>
    </w:p>
    <w:p>
      <w:pPr>
        <w:ind w:right="20" w:firstLine="585"/>
        <w:spacing w:after="0" w:line="261" w:lineRule="auto"/>
        <w:rPr>
          <w:sz w:val="20"/>
          <w:szCs w:val="20"/>
          <w:color w:val="auto"/>
        </w:rPr>
      </w:pPr>
      <w:r>
        <w:rPr>
          <w:rFonts w:ascii="Times New Roman" w:cs="Times New Roman" w:eastAsia="Times New Roman" w:hAnsi="Times New Roman"/>
          <w:sz w:val="16"/>
          <w:szCs w:val="16"/>
          <w:color w:val="auto"/>
        </w:rPr>
        <w:t>The recitals contained herein and in the Securities, except the Trustee’s certificates of authentication, shall be taken as the statements of the Company, and the Trustee assumes no responsibility for their correctness. The Trustee makes no representations as to the validity, sufficiency or adequacy of this Indenture or of the Securities. The Trustee shall not be accountable for the use or application by the Company of the Securities or the proceeds thereof. The Trustee shall not be responsible to make any calculation with respect to any matter under this Indenture. The Trustee represents that it is duly authorized to execute and deliver this Indenture, authenticate the Securities and perform its obligations hereunder. The Trustee shall have no duty to monitor or investigate the Company’s compliance with or the breach of, or cause to be performed or observed, any representation, warranty or covenant made in this Indenture.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7.05. Notice of Defaults.</w:t>
      </w:r>
    </w:p>
    <w:p>
      <w:pPr>
        <w:spacing w:after="0" w:line="208" w:lineRule="exact"/>
        <w:rPr>
          <w:sz w:val="20"/>
          <w:szCs w:val="20"/>
          <w:color w:val="auto"/>
        </w:rPr>
      </w:pPr>
    </w:p>
    <w:p>
      <w:pPr>
        <w:ind w:firstLine="585"/>
        <w:spacing w:after="0" w:line="259" w:lineRule="auto"/>
        <w:rPr>
          <w:sz w:val="20"/>
          <w:szCs w:val="20"/>
          <w:color w:val="auto"/>
        </w:rPr>
      </w:pPr>
      <w:r>
        <w:rPr>
          <w:rFonts w:ascii="Times New Roman" w:cs="Times New Roman" w:eastAsia="Times New Roman" w:hAnsi="Times New Roman"/>
          <w:sz w:val="16"/>
          <w:szCs w:val="16"/>
          <w:color w:val="auto"/>
        </w:rPr>
        <w:t>Within 90 days after the occurrence thereof, and if known to the Trustee pursuant to Section 7.02(j), the Trustee shall give to the Holders of the Securities of a series notice of each Default or Event of Default with respect to the Securities of such series known to the Trustee pursuant to Section 7.02(j), by transmitting such notice to Holders at their addresses as the same shall then appear on the register of the Securities kept by the Registrar, unless such Default shall have been cured or waived before the giving of such notice. Except in the case of a Default or Event of Default in payment of the principal of, premium, if any, or interest on any of the Securities of a series when and as the same shall become payable, or to make any sinking fund payment as to the Securities of a series (including payments pursuant to a redemption or repurchase of the Securities pursuant to the provisions of this Indenture), the Trustee shall be protected in withholding such notice if and so long as a committee of its Responsible Officers in good faith determines that withholding the notice is in the interests of Holders.</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7.06. Compensation and Indemnity.</w:t>
      </w:r>
    </w:p>
    <w:p>
      <w:pPr>
        <w:spacing w:after="0" w:line="208" w:lineRule="exact"/>
        <w:rPr>
          <w:sz w:val="20"/>
          <w:szCs w:val="20"/>
          <w:color w:val="auto"/>
        </w:rPr>
      </w:pPr>
    </w:p>
    <w:p>
      <w:pPr>
        <w:ind w:right="100" w:firstLine="582"/>
        <w:spacing w:after="0" w:line="262" w:lineRule="auto"/>
        <w:tabs>
          <w:tab w:leader="none" w:pos="846"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pay to the Trustee and Agents from time to time such reasonable compensation for their services hereunder (which compensation shall not be limited by any provision of law in regard to the compensation of a trustee of an express trust) as shall be agreed upon in writing. The Company shall reimburse the Trustee and Agents upon request for all reasonable disbursements, expenses and advances incurred or made by them in connection with the Trustee’s duties under this Indenture, including the reasonable compensation, disbursements and expenses of the Trustee’s agents and external counsel, except any such expense, disbursement or advance as may be attributable to its willful misconduct or negligence.</w:t>
      </w:r>
    </w:p>
    <w:p>
      <w:pPr>
        <w:spacing w:after="0" w:line="164" w:lineRule="exact"/>
        <w:rPr>
          <w:rFonts w:ascii="Times New Roman" w:cs="Times New Roman" w:eastAsia="Times New Roman" w:hAnsi="Times New Roman"/>
          <w:sz w:val="16"/>
          <w:szCs w:val="16"/>
          <w:color w:val="auto"/>
        </w:rPr>
      </w:pPr>
    </w:p>
    <w:p>
      <w:pPr>
        <w:ind w:right="40" w:firstLine="582"/>
        <w:spacing w:after="0" w:line="258" w:lineRule="auto"/>
        <w:tabs>
          <w:tab w:leader="none" w:pos="855"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fully indemnify each of the Trustee and their officers, agents and employees and any predecessor Trustee for, and hold each of them harmless against, any and all loss, damage, claim, liability or expense, including, without limitation, reasonable and documented attorneys’ fees and expenses incurred by each of them in connection with the acceptance or performance of its duties under this Indenture including the reasonable and documented costs and expenses of defending itself against any claim (whether asserted by the Company, or any Holder or any other Person) or liability in connection with the exercise or performance of any of its powers or duties hereunder (including, without limitation, settlement costs). The Trustee or Agent shall notify the Company in writing promptly of any claim of which a Responsible Officer of the Trustee has received written notice at its Corporate Trust Office asserted against the Trustee or Agent for which it may seek indemnity;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failure by the Trustee or Agent to so notify the Company shall not relieve the Company of its obligations hereunder, except to the extent that the Company has been materially prejudiced thereby. The Company need not pay for any settlement made without its consent, which consent shall not be unreasonably withheld. In the event that a conflict of interest exists or potential harm to the Trustee’s business exists, the Trustee may have separate counsel, which counsel must be reasonably acceptable to the Company and the Company shall pay the reasonable and documented fees and expenses of such counsel.</w:t>
      </w:r>
    </w:p>
    <w:p>
      <w:pPr>
        <w:spacing w:after="0" w:line="165" w:lineRule="exact"/>
        <w:rPr>
          <w:rFonts w:ascii="Times New Roman" w:cs="Times New Roman" w:eastAsia="Times New Roman" w:hAnsi="Times New Roman"/>
          <w:sz w:val="16"/>
          <w:szCs w:val="16"/>
          <w:color w:val="auto"/>
        </w:rPr>
      </w:pPr>
    </w:p>
    <w:p>
      <w:pPr>
        <w:ind w:right="100" w:firstLine="582"/>
        <w:spacing w:after="0" w:line="288" w:lineRule="auto"/>
        <w:tabs>
          <w:tab w:leader="none" w:pos="846"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the Company need not reimburse the Trustee for any expense or indemnify it against any loss or liability to have been incurred by the Trustee through its own willful misconduct or negligence.</w:t>
      </w:r>
    </w:p>
    <w:p>
      <w:pPr>
        <w:spacing w:after="0" w:line="143" w:lineRule="exact"/>
        <w:rPr>
          <w:rFonts w:ascii="Times New Roman" w:cs="Times New Roman" w:eastAsia="Times New Roman" w:hAnsi="Times New Roman"/>
          <w:sz w:val="16"/>
          <w:szCs w:val="16"/>
          <w:color w:val="auto"/>
        </w:rPr>
      </w:pPr>
    </w:p>
    <w:p>
      <w:pPr>
        <w:ind w:right="300" w:firstLine="582"/>
        <w:spacing w:after="0" w:line="288" w:lineRule="auto"/>
        <w:tabs>
          <w:tab w:leader="none" w:pos="855"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secure the payment obligations of the Company in this Section 7.06, the Trustee shall have a lien prior to the Securities on all money or property held or collected by the Trustee and such money or property held in trust to pay principal of and interest on particular Securities.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ind w:left="-20" w:right="100" w:firstLine="582"/>
        <w:spacing w:after="0" w:line="265" w:lineRule="auto"/>
        <w:tabs>
          <w:tab w:leader="none" w:pos="826"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obligations of the Company under this Section 7.06 to compensate and indemnify the Trustee, Agents and each predecessor Trustee and to pay or reimburse the Trustee, Agents and each predecessor Trustee for expenses, disbursements and advances shall be the liability of the Company and the lien provided for under this Section 7.06 shall survive the resignation or removal of the Trustee and the satisfaction, discharge or other termination of this Indenture for any reason, including any termination or rejection hereof under any Bankruptcy Law.</w:t>
      </w:r>
    </w:p>
    <w:p>
      <w:pPr>
        <w:spacing w:after="0" w:line="161" w:lineRule="exact"/>
        <w:rPr>
          <w:rFonts w:ascii="Times New Roman" w:cs="Times New Roman" w:eastAsia="Times New Roman" w:hAnsi="Times New Roman"/>
          <w:sz w:val="16"/>
          <w:szCs w:val="16"/>
          <w:color w:val="auto"/>
        </w:rPr>
      </w:pPr>
    </w:p>
    <w:p>
      <w:pPr>
        <w:ind w:left="-20" w:right="60" w:firstLine="582"/>
        <w:spacing w:after="0" w:line="271" w:lineRule="auto"/>
        <w:tabs>
          <w:tab w:leader="none" w:pos="808"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but without prejudice to its other rights under this Indenture, when the Trustee incurs expenses or renders services after an Event of Default specified in Section 6.01(8) or Section 6.01(9) occurs, the expenses (including the reasonable charges and expenses of its counsel) and the compensation for the services are intended to constitute expenses of administration under any Bankruptcy Law.</w:t>
      </w:r>
    </w:p>
    <w:p>
      <w:pPr>
        <w:spacing w:after="0" w:line="154" w:lineRule="exact"/>
        <w:rPr>
          <w:rFonts w:ascii="Times New Roman" w:cs="Times New Roman" w:eastAsia="Times New Roman" w:hAnsi="Times New Roman"/>
          <w:sz w:val="16"/>
          <w:szCs w:val="16"/>
          <w:color w:val="auto"/>
        </w:rPr>
      </w:pPr>
    </w:p>
    <w:p>
      <w:pPr>
        <w:ind w:left="-20" w:right="140" w:firstLine="582"/>
        <w:spacing w:after="0" w:line="291" w:lineRule="auto"/>
        <w:tabs>
          <w:tab w:leader="none" w:pos="835"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purposes of this Section 7.06, the term “Trustee” shall include any predecessor Trustee;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negligence, willful misconduct or bad faith of any Trustee hereunder shall not affect the rights or any other Trustee hereunder.</w:t>
      </w:r>
    </w:p>
    <w:p>
      <w:pPr>
        <w:spacing w:after="0" w:line="1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Section 7.07. Replacement of Trustee.</w:t>
      </w:r>
    </w:p>
    <w:p>
      <w:pPr>
        <w:spacing w:after="0" w:line="208" w:lineRule="exact"/>
        <w:rPr>
          <w:sz w:val="20"/>
          <w:szCs w:val="20"/>
          <w:color w:val="auto"/>
        </w:rPr>
      </w:pPr>
    </w:p>
    <w:p>
      <w:pPr>
        <w:ind w:left="-20" w:right="640" w:firstLine="582"/>
        <w:spacing w:after="0" w:line="288" w:lineRule="auto"/>
        <w:tabs>
          <w:tab w:leader="none" w:pos="826"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resignation or removal of the Trustee and appointment of a successor Trustee will become effective only upon the successor Trustee’s acceptance of appointment as provided in this Section 7.07.</w:t>
      </w:r>
    </w:p>
    <w:p>
      <w:pPr>
        <w:spacing w:after="0" w:line="143" w:lineRule="exact"/>
        <w:rPr>
          <w:rFonts w:ascii="Times New Roman" w:cs="Times New Roman" w:eastAsia="Times New Roman" w:hAnsi="Times New Roman"/>
          <w:sz w:val="16"/>
          <w:szCs w:val="16"/>
          <w:color w:val="auto"/>
        </w:rPr>
      </w:pPr>
    </w:p>
    <w:p>
      <w:pPr>
        <w:ind w:left="-20" w:right="120" w:firstLine="582"/>
        <w:spacing w:after="0" w:line="265" w:lineRule="auto"/>
        <w:tabs>
          <w:tab w:leader="none" w:pos="835"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resign at any time by so notifying the Company in writing no later than 30 calendar days prior to the date of the proposed resignation. The Holders of a majority in principal amount of the outstanding Securities may remove the Trustee by notifying the Company and the removed Trustee in writing no later than 30 calendar days prior to the date of the proposed removal and may appoint a successor Trustee with the Company’s written consent, which consent shall not be unreasonably withheld. The Company may remove the Trustee at its election if:</w:t>
      </w:r>
    </w:p>
    <w:p>
      <w:pPr>
        <w:spacing w:after="0" w:line="161" w:lineRule="exact"/>
        <w:rPr>
          <w:rFonts w:ascii="Times New Roman" w:cs="Times New Roman" w:eastAsia="Times New Roman" w:hAnsi="Times New Roman"/>
          <w:sz w:val="16"/>
          <w:szCs w:val="16"/>
          <w:color w:val="auto"/>
        </w:rPr>
      </w:pPr>
    </w:p>
    <w:p>
      <w:pPr>
        <w:ind w:left="1420" w:hanging="273"/>
        <w:spacing w:after="0"/>
        <w:tabs>
          <w:tab w:leader="none" w:pos="1420"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fails to comply with Section 7.09;</w:t>
      </w:r>
    </w:p>
    <w:p>
      <w:pPr>
        <w:spacing w:after="0" w:line="205" w:lineRule="exact"/>
        <w:rPr>
          <w:rFonts w:ascii="Times New Roman" w:cs="Times New Roman" w:eastAsia="Times New Roman" w:hAnsi="Times New Roman"/>
          <w:sz w:val="16"/>
          <w:szCs w:val="16"/>
          <w:color w:val="auto"/>
        </w:rPr>
      </w:pPr>
    </w:p>
    <w:p>
      <w:pPr>
        <w:ind w:left="1420" w:hanging="273"/>
        <w:spacing w:after="0"/>
        <w:tabs>
          <w:tab w:leader="none" w:pos="1420"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is adjudged bankrupt or insolvent or an order for relief entered with respect to the Trustee under Bankruptcy Law;</w:t>
      </w:r>
    </w:p>
    <w:p>
      <w:pPr>
        <w:spacing w:after="0" w:line="205" w:lineRule="exact"/>
        <w:rPr>
          <w:rFonts w:ascii="Times New Roman" w:cs="Times New Roman" w:eastAsia="Times New Roman" w:hAnsi="Times New Roman"/>
          <w:sz w:val="16"/>
          <w:szCs w:val="16"/>
          <w:color w:val="auto"/>
        </w:rPr>
      </w:pPr>
    </w:p>
    <w:p>
      <w:pPr>
        <w:ind w:left="1420" w:hanging="273"/>
        <w:spacing w:after="0"/>
        <w:tabs>
          <w:tab w:leader="none" w:pos="1420"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receiver or other public officer takes charge of the Trustee or its property; or</w:t>
      </w:r>
    </w:p>
    <w:p>
      <w:pPr>
        <w:spacing w:after="0" w:line="205" w:lineRule="exact"/>
        <w:rPr>
          <w:rFonts w:ascii="Times New Roman" w:cs="Times New Roman" w:eastAsia="Times New Roman" w:hAnsi="Times New Roman"/>
          <w:sz w:val="16"/>
          <w:szCs w:val="16"/>
          <w:color w:val="auto"/>
        </w:rPr>
      </w:pPr>
    </w:p>
    <w:p>
      <w:pPr>
        <w:ind w:left="1420" w:hanging="273"/>
        <w:spacing w:after="0"/>
        <w:tabs>
          <w:tab w:leader="none" w:pos="1420"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otherwise becomes incapable of acting.</w:t>
      </w:r>
    </w:p>
    <w:p>
      <w:pPr>
        <w:spacing w:after="0" w:line="205" w:lineRule="exact"/>
        <w:rPr>
          <w:rFonts w:ascii="Times New Roman" w:cs="Times New Roman" w:eastAsia="Times New Roman" w:hAnsi="Times New Roman"/>
          <w:sz w:val="16"/>
          <w:szCs w:val="16"/>
          <w:color w:val="auto"/>
        </w:rPr>
      </w:pPr>
    </w:p>
    <w:p>
      <w:pPr>
        <w:ind w:left="820" w:hanging="258"/>
        <w:spacing w:after="0"/>
        <w:tabs>
          <w:tab w:leader="none" w:pos="82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Trustee resigns or is removed or if a vacancy exists in the office of Trustee for any reason, the Company shall promptly appoint a successor Trustee.</w:t>
      </w:r>
    </w:p>
    <w:p>
      <w:pPr>
        <w:spacing w:after="0" w:line="205" w:lineRule="exact"/>
        <w:rPr>
          <w:rFonts w:ascii="Times New Roman" w:cs="Times New Roman" w:eastAsia="Times New Roman" w:hAnsi="Times New Roman"/>
          <w:sz w:val="16"/>
          <w:szCs w:val="16"/>
          <w:color w:val="auto"/>
        </w:rPr>
      </w:pPr>
    </w:p>
    <w:p>
      <w:pPr>
        <w:ind w:left="-20" w:right="40" w:firstLine="582"/>
        <w:spacing w:after="0" w:line="271" w:lineRule="auto"/>
        <w:tabs>
          <w:tab w:leader="none" w:pos="835"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successor Trustee does not take office within 30 days after the retiring Trustee resigns or is removed, the retiring Trustee, the Company or the Holders of at least 10% in principal amount of the outstanding Securities may petition at the expense of the Company any court of competent jurisdiction, in the case of the Trustee, for the appointment of a successor Trustee.</w:t>
      </w:r>
    </w:p>
    <w:p>
      <w:pPr>
        <w:spacing w:after="0" w:line="156" w:lineRule="exact"/>
        <w:rPr>
          <w:rFonts w:ascii="Times New Roman" w:cs="Times New Roman" w:eastAsia="Times New Roman" w:hAnsi="Times New Roman"/>
          <w:sz w:val="16"/>
          <w:szCs w:val="16"/>
          <w:color w:val="auto"/>
        </w:rPr>
      </w:pPr>
    </w:p>
    <w:p>
      <w:pPr>
        <w:ind w:left="-20" w:firstLine="582"/>
        <w:spacing w:after="0" w:line="288" w:lineRule="auto"/>
        <w:tabs>
          <w:tab w:leader="none" w:pos="826"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Trustee fails to comply with Section 7.09, any Holder may petition any court of competent jurisdiction for the removal of the Trustee and the appointment of a successor Trustee.</w:t>
      </w:r>
    </w:p>
    <w:p>
      <w:pPr>
        <w:spacing w:after="0" w:line="143" w:lineRule="exact"/>
        <w:rPr>
          <w:rFonts w:ascii="Times New Roman" w:cs="Times New Roman" w:eastAsia="Times New Roman" w:hAnsi="Times New Roman"/>
          <w:sz w:val="16"/>
          <w:szCs w:val="16"/>
          <w:color w:val="auto"/>
        </w:rPr>
      </w:pPr>
    </w:p>
    <w:p>
      <w:pPr>
        <w:ind w:left="-20" w:firstLine="582"/>
        <w:spacing w:after="0" w:line="262" w:lineRule="auto"/>
        <w:tabs>
          <w:tab w:leader="none" w:pos="808"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successor Trustee shall deliver a written acceptance of its appointment to the retiring Trustee and to the Company. Immediately following such delivery, the retiring Trustee shall, subject to the lien and its rights under Section 7.06, transfer all property held by it as Trustee to the successor Trustee, the resignation or removal of the retiring Trustee shall become effective, and the successor Trustee shall have all the rights, powers and duties of the Trustee under this Indenture. A successor Trustee shall transmit notice of its succession to each Holder. Notwithstanding replacement of the Trustee pursuant to this Section 7.07, the lien and Company’s obligations under Section 7.06 shall continue for the benefit of the retiring Trustee.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33655</wp:posOffset>
            </wp:positionV>
            <wp:extent cx="714565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40" w:top="123" w:right="339" w:bottom="1440" w:gutter="0" w:footer="0" w:header="0"/>
        </w:sectPr>
      </w:pPr>
    </w:p>
    <w:bookmarkStart w:id="157" w:name="page158"/>
    <w:bookmarkEnd w:id="157"/>
    <w:p>
      <w:pPr>
        <w:ind w:left="580"/>
        <w:spacing w:after="0"/>
        <w:rPr>
          <w:sz w:val="20"/>
          <w:szCs w:val="20"/>
          <w:color w:val="auto"/>
        </w:rPr>
      </w:pPr>
      <w:r>
        <w:rPr>
          <w:rFonts w:ascii="Times New Roman" w:cs="Times New Roman" w:eastAsia="Times New Roman" w:hAnsi="Times New Roman"/>
          <w:sz w:val="16"/>
          <w:szCs w:val="16"/>
          <w:i w:val="1"/>
          <w:iCs w:val="1"/>
          <w:color w:val="auto"/>
        </w:rPr>
        <w:t>Section 7.08. Successor Trustee by Consolidation, Merger, etc.</w:t>
      </w:r>
    </w:p>
    <w:p>
      <w:pPr>
        <w:spacing w:after="0" w:line="208" w:lineRule="exact"/>
        <w:rPr>
          <w:sz w:val="20"/>
          <w:szCs w:val="20"/>
          <w:color w:val="auto"/>
        </w:rPr>
      </w:pPr>
    </w:p>
    <w:p>
      <w:pPr>
        <w:ind w:right="20" w:firstLine="585"/>
        <w:spacing w:after="0" w:line="258" w:lineRule="auto"/>
        <w:rPr>
          <w:sz w:val="20"/>
          <w:szCs w:val="20"/>
          <w:color w:val="auto"/>
        </w:rPr>
      </w:pPr>
      <w:r>
        <w:rPr>
          <w:rFonts w:ascii="Times New Roman" w:cs="Times New Roman" w:eastAsia="Times New Roman" w:hAnsi="Times New Roman"/>
          <w:sz w:val="16"/>
          <w:szCs w:val="16"/>
          <w:color w:val="auto"/>
        </w:rPr>
        <w:t xml:space="preserve">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Person shall be otherwise qualified and eligible under this Article VII. In case at the time such successor to the Trustee shall succeed to the trusts created by this Indenture with respect to one or more series of Securities and any of such Securities shall have been authenticated but not delivered by the Trustee then in office, any successor to such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the right to adopt the certificate of authentication of any predecessor Trustee or authenticate Securities in the name of any predecessor Trustee shall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apply only to its successor or successors by merger, conversion or consolidation.</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7.09. Eligibility; Disqualification.</w:t>
      </w:r>
    </w:p>
    <w:p>
      <w:pPr>
        <w:spacing w:after="0" w:line="208" w:lineRule="exact"/>
        <w:rPr>
          <w:sz w:val="20"/>
          <w:szCs w:val="20"/>
          <w:color w:val="auto"/>
        </w:rPr>
      </w:pPr>
    </w:p>
    <w:p>
      <w:pPr>
        <w:ind w:firstLine="585"/>
        <w:spacing w:after="0" w:line="265" w:lineRule="auto"/>
        <w:rPr>
          <w:sz w:val="20"/>
          <w:szCs w:val="20"/>
          <w:color w:val="auto"/>
        </w:rPr>
      </w:pPr>
      <w:r>
        <w:rPr>
          <w:rFonts w:ascii="Times New Roman" w:cs="Times New Roman" w:eastAsia="Times New Roman" w:hAnsi="Times New Roman"/>
          <w:sz w:val="16"/>
          <w:szCs w:val="16"/>
          <w:color w:val="auto"/>
        </w:rPr>
        <w:t xml:space="preserve">The Trustee shall at all times satisfy the requirements of TIA § 310(a). The Trustee (together with its corporate parent) shall have a combined capital and surplus of at least $100.0 million as set forth in its most recent published annual report of condition. The Trustee shall comply with TIA § 310(b);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there shall be excluded from the operation of TIA § 310(b)(1) any indenture or indentures under which other securities or certificates of interest or participation in other securities of the Company are outstanding if the requirements for such exclusion set forth in TIA §310(b)(1) are met, other than the fact that such indentures are not described herein.</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7.10. Reports by Trustee to Holders.</w:t>
      </w:r>
    </w:p>
    <w:p>
      <w:pPr>
        <w:spacing w:after="0" w:line="208" w:lineRule="exact"/>
        <w:rPr>
          <w:sz w:val="20"/>
          <w:szCs w:val="20"/>
          <w:color w:val="auto"/>
        </w:rPr>
      </w:pPr>
    </w:p>
    <w:p>
      <w:pPr>
        <w:ind w:right="40" w:firstLine="585"/>
        <w:spacing w:after="0" w:line="265" w:lineRule="auto"/>
        <w:rPr>
          <w:sz w:val="20"/>
          <w:szCs w:val="20"/>
          <w:color w:val="auto"/>
        </w:rPr>
      </w:pPr>
      <w:r>
        <w:rPr>
          <w:rFonts w:ascii="Times New Roman" w:cs="Times New Roman" w:eastAsia="Times New Roman" w:hAnsi="Times New Roman"/>
          <w:sz w:val="16"/>
          <w:szCs w:val="16"/>
          <w:color w:val="auto"/>
        </w:rPr>
        <w:t>If required by TIA § 313(a), within 60 days after June 15 of any year, commencing on the first June 15 after the issuance of Securities pursuant to this Indenture, for so long as Securities of any series remain outstanding, the Trustee shall send to the Holders a brief report dated as of such reporting date that complies with TIA § 313(a) (but if no event described in TIA § 313(a) has occurred within the 12 months preceding the reporting date, no report need be transmitted). The Trustee also shall comply with TIA § 313(b). The Trustee shall also transmit all reports as required by TIA § 313(c) and comply with TIA § 313(d).</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7.11. Preferential Collection of Claims Against Company.</w:t>
      </w:r>
    </w:p>
    <w:p>
      <w:pPr>
        <w:spacing w:after="0" w:line="208" w:lineRule="exact"/>
        <w:rPr>
          <w:sz w:val="20"/>
          <w:szCs w:val="20"/>
          <w:color w:val="auto"/>
        </w:rPr>
      </w:pPr>
    </w:p>
    <w:p>
      <w:pPr>
        <w:ind w:right="140" w:firstLine="585"/>
        <w:spacing w:after="0" w:line="288" w:lineRule="auto"/>
        <w:rPr>
          <w:sz w:val="20"/>
          <w:szCs w:val="20"/>
          <w:color w:val="auto"/>
        </w:rPr>
      </w:pPr>
      <w:r>
        <w:rPr>
          <w:rFonts w:ascii="Times New Roman" w:cs="Times New Roman" w:eastAsia="Times New Roman" w:hAnsi="Times New Roman"/>
          <w:sz w:val="16"/>
          <w:szCs w:val="16"/>
          <w:color w:val="auto"/>
        </w:rPr>
        <w:t>The Trustee is subject to TIA § 311(a), excluding any creditor relationship listed in TIA § 311(b). A Trustee who has resigned or been removed shall be subject to TIA § 311(a) to the extent indicated therein.</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7.12. Appointment of Authenticating Agent.</w:t>
      </w:r>
    </w:p>
    <w:p>
      <w:pPr>
        <w:spacing w:after="0" w:line="206" w:lineRule="exact"/>
        <w:rPr>
          <w:sz w:val="20"/>
          <w:szCs w:val="20"/>
          <w:color w:val="auto"/>
        </w:rPr>
      </w:pPr>
    </w:p>
    <w:p>
      <w:pPr>
        <w:ind w:right="100" w:firstLine="585"/>
        <w:spacing w:after="0" w:line="263" w:lineRule="auto"/>
        <w:rPr>
          <w:sz w:val="20"/>
          <w:szCs w:val="20"/>
          <w:color w:val="auto"/>
        </w:rPr>
      </w:pPr>
      <w:r>
        <w:rPr>
          <w:rFonts w:ascii="Times New Roman" w:cs="Times New Roman" w:eastAsia="Times New Roman" w:hAnsi="Times New Roman"/>
          <w:sz w:val="16"/>
          <w:szCs w:val="16"/>
          <w:color w:val="auto"/>
        </w:rPr>
        <w:t>The Trustee may appoint an agent (the “</w:t>
      </w:r>
      <w:r>
        <w:rPr>
          <w:rFonts w:ascii="Times New Roman" w:cs="Times New Roman" w:eastAsia="Times New Roman" w:hAnsi="Times New Roman"/>
          <w:sz w:val="16"/>
          <w:szCs w:val="16"/>
          <w:i w:val="1"/>
          <w:iCs w:val="1"/>
          <w:color w:val="auto"/>
        </w:rPr>
        <w:t>Authenticating Agent</w:t>
      </w:r>
      <w:r>
        <w:rPr>
          <w:rFonts w:ascii="Times New Roman" w:cs="Times New Roman" w:eastAsia="Times New Roman" w:hAnsi="Times New Roman"/>
          <w:sz w:val="16"/>
          <w:szCs w:val="16"/>
          <w:color w:val="auto"/>
        </w:rPr>
        <w:t>”) reasonably acceptable to the Company to authenticate the Securities, and the Trustee shall give written notice of such appointment to all Holders of Securities of the series with respect to which such Authenticating Agent will serve. Unless limited by the terms of such appointment, any such Authenticating Agent may authenticate Securities whenever the Trustee may do so. Each reference in this Indenture to authentication by the Trustee includes authentication by the Authenticating Agent. Securities so authenticated shall be entitled to the benefits of this Indenture and shall be valid and obligatory for all purposes as if authenticated by the Trustee hereunder.</w:t>
      </w:r>
    </w:p>
    <w:p>
      <w:pPr>
        <w:spacing w:after="0" w:line="163" w:lineRule="exact"/>
        <w:rPr>
          <w:sz w:val="20"/>
          <w:szCs w:val="20"/>
          <w:color w:val="auto"/>
        </w:rPr>
      </w:pPr>
    </w:p>
    <w:p>
      <w:pPr>
        <w:ind w:firstLine="585"/>
        <w:spacing w:after="0" w:line="262" w:lineRule="auto"/>
        <w:rPr>
          <w:sz w:val="20"/>
          <w:szCs w:val="20"/>
          <w:color w:val="auto"/>
        </w:rPr>
      </w:pPr>
      <w:r>
        <w:rPr>
          <w:rFonts w:ascii="Times New Roman" w:cs="Times New Roman" w:eastAsia="Times New Roman" w:hAnsi="Times New Roman"/>
          <w:sz w:val="16"/>
          <w:szCs w:val="16"/>
          <w:color w:val="auto"/>
        </w:rPr>
        <w:t>Each Authenticating Agent shall at all times be a corporation organized and doing business and in good standing under the laws of the United States or any state thereof, authorized under such laws to act as Authenticating Agent, having a combined capital and surplus of not less than $100.0 million (together with its corporate parent) as set forth in the most recent applicable published annual report of condition and subject to supervision or examination by federal or state authorities. If at any time an Authenticating Agent shall cease to be eligible in accordance with the provisions of this Article VII, it shall resign immediately in the manner and with the effect specified in this Article VII.</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ind w:right="120" w:firstLine="585"/>
        <w:spacing w:after="0" w:line="265" w:lineRule="auto"/>
        <w:rPr>
          <w:sz w:val="20"/>
          <w:szCs w:val="20"/>
          <w:color w:val="auto"/>
        </w:rPr>
      </w:pPr>
      <w:r>
        <w:rPr>
          <w:rFonts w:ascii="Times New Roman" w:cs="Times New Roman" w:eastAsia="Times New Roman" w:hAnsi="Times New Roman"/>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of the corporate agency or corporate trust business of an Authenticating Agent, shall continue to be an Authenticating Agent, provided such corporation shall be otherwise eligible under this Article VII, without the execution or filing of any paper or any further act on the part of the Trustee or the Authenticating Agent.</w:t>
      </w:r>
    </w:p>
    <w:p>
      <w:pPr>
        <w:spacing w:after="0" w:line="162" w:lineRule="exact"/>
        <w:rPr>
          <w:sz w:val="20"/>
          <w:szCs w:val="20"/>
          <w:color w:val="auto"/>
        </w:rPr>
      </w:pPr>
    </w:p>
    <w:p>
      <w:pPr>
        <w:ind w:firstLine="585"/>
        <w:spacing w:after="0" w:line="259" w:lineRule="auto"/>
        <w:rPr>
          <w:sz w:val="20"/>
          <w:szCs w:val="20"/>
          <w:color w:val="auto"/>
        </w:rPr>
      </w:pPr>
      <w:r>
        <w:rPr>
          <w:rFonts w:ascii="Times New Roman" w:cs="Times New Roman" w:eastAsia="Times New Roman" w:hAnsi="Times New Roman"/>
          <w:sz w:val="16"/>
          <w:szCs w:val="16"/>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7.12, the Trustee may appoint a successor Authenticating Agent which shall be acceptable to the Company and shall give written notice of such appointment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7.12.</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Company agrees to pay to each Authenticating Agent from time to time reasonable compensation for its services under this Section 7.12.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AMENDMENT, SUPPLEMENT AND WAIVER</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8.01. Without Consent of Holders.</w:t>
      </w:r>
    </w:p>
    <w:p>
      <w:pPr>
        <w:spacing w:after="0" w:line="208" w:lineRule="exact"/>
        <w:rPr>
          <w:sz w:val="20"/>
          <w:szCs w:val="20"/>
          <w:color w:val="auto"/>
        </w:rPr>
      </w:pPr>
    </w:p>
    <w:p>
      <w:pPr>
        <w:ind w:right="40" w:firstLine="585"/>
        <w:spacing w:after="0" w:line="288" w:lineRule="auto"/>
        <w:rPr>
          <w:sz w:val="20"/>
          <w:szCs w:val="20"/>
          <w:color w:val="auto"/>
        </w:rPr>
      </w:pPr>
      <w:r>
        <w:rPr>
          <w:rFonts w:ascii="Times New Roman" w:cs="Times New Roman" w:eastAsia="Times New Roman" w:hAnsi="Times New Roman"/>
          <w:sz w:val="16"/>
          <w:szCs w:val="16"/>
          <w:color w:val="auto"/>
        </w:rPr>
        <w:t>Except as otherwise provided as contemplated by Section 2.02 with respect to any series of Securities, the Company, the Guarantors and the Trustee may modify or amend this Indenture without the consent of any Holder of a Security of any series to:</w:t>
      </w:r>
    </w:p>
    <w:p>
      <w:pPr>
        <w:spacing w:after="0" w:line="143" w:lineRule="exact"/>
        <w:rPr>
          <w:sz w:val="20"/>
          <w:szCs w:val="20"/>
          <w:color w:val="auto"/>
        </w:rPr>
      </w:pPr>
    </w:p>
    <w:p>
      <w:pPr>
        <w:ind w:left="1440" w:hanging="273"/>
        <w:spacing w:after="0"/>
        <w:tabs>
          <w:tab w:leader="none" w:pos="144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cure any ambiguity, defect, mistake or inconsistency in this Indenture;</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for uncertificated Securities in addition to or in place of certificated Securities;</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the provisions of Section 4.04 or 5.01, including to provide for or evidence the release of any Guarantor in accordance with Section</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10.07;</w:t>
      </w:r>
    </w:p>
    <w:p>
      <w:pPr>
        <w:spacing w:after="0" w:line="190" w:lineRule="exact"/>
        <w:rPr>
          <w:sz w:val="20"/>
          <w:szCs w:val="20"/>
          <w:color w:val="auto"/>
        </w:rPr>
      </w:pPr>
    </w:p>
    <w:p>
      <w:pPr>
        <w:ind w:left="580" w:right="460" w:firstLine="587"/>
        <w:spacing w:after="0" w:line="288" w:lineRule="auto"/>
        <w:tabs>
          <w:tab w:leader="none" w:pos="1435"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evidence and provide for the acceptance of appointment by a successor Trustee and add to or change any provisions of this Indenture as shall be necessary for or facilitate the administration of the trusts hereunder by more than one Trustee, pursuant to the requirements of Section 7.07(f);</w:t>
      </w:r>
    </w:p>
    <w:p>
      <w:pPr>
        <w:spacing w:after="0" w:line="14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requirements of the Commission in order to effect or maintain the qualification of this Indenture or any supplemental indenture under the</w:t>
      </w:r>
    </w:p>
    <w:p>
      <w:pPr>
        <w:spacing w:after="0" w:line="2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TIA;</w:t>
      </w:r>
    </w:p>
    <w:p>
      <w:pPr>
        <w:spacing w:after="0" w:line="189" w:lineRule="exact"/>
        <w:rPr>
          <w:rFonts w:ascii="Times New Roman" w:cs="Times New Roman" w:eastAsia="Times New Roman" w:hAnsi="Times New Roman"/>
          <w:sz w:val="16"/>
          <w:szCs w:val="16"/>
          <w:color w:val="auto"/>
        </w:rPr>
      </w:pPr>
    </w:p>
    <w:p>
      <w:pPr>
        <w:ind w:left="580" w:right="40" w:firstLine="587"/>
        <w:spacing w:after="0" w:line="288" w:lineRule="auto"/>
        <w:tabs>
          <w:tab w:leader="none" w:pos="1435"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that would provide any additional rights or benefits to the Holders of the Securities of such series or that does not adversely affect in any material respect the legal rights under this Indenture of any such Holder;</w:t>
      </w:r>
    </w:p>
    <w:p>
      <w:pPr>
        <w:spacing w:after="0" w:line="14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secure any series of Securities;</w:t>
      </w:r>
    </w:p>
    <w:p>
      <w:pPr>
        <w:spacing w:after="0" w:line="205" w:lineRule="exact"/>
        <w:rPr>
          <w:rFonts w:ascii="Times New Roman" w:cs="Times New Roman" w:eastAsia="Times New Roman" w:hAnsi="Times New Roman"/>
          <w:sz w:val="16"/>
          <w:szCs w:val="16"/>
          <w:color w:val="auto"/>
        </w:rPr>
      </w:pPr>
    </w:p>
    <w:p>
      <w:pPr>
        <w:ind w:left="580" w:right="320" w:firstLine="587"/>
        <w:spacing w:after="0" w:line="271" w:lineRule="auto"/>
        <w:tabs>
          <w:tab w:leader="none" w:pos="1435"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the form and terms of Securities of any series as permitted in Section 2.02, or authorize the issuance of Additional Securities of a series previously authorized or add to the conditions, limitations or restrictions on the authorized amount, terms or purposes of issue, authentication or delivery of the Securities of any series, as herein set forth, or other conditions, limitations or restrictions thereafter to be observed;</w:t>
      </w:r>
    </w:p>
    <w:p>
      <w:pPr>
        <w:spacing w:after="0" w:line="156"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covenants for the benefit of the Holders or to surrender any right or power conferred upon the Company or any Guarantor;</w:t>
      </w:r>
    </w:p>
    <w:p>
      <w:pPr>
        <w:spacing w:after="0" w:line="205" w:lineRule="exact"/>
        <w:rPr>
          <w:rFonts w:ascii="Times New Roman" w:cs="Times New Roman" w:eastAsia="Times New Roman" w:hAnsi="Times New Roman"/>
          <w:sz w:val="16"/>
          <w:szCs w:val="16"/>
          <w:color w:val="auto"/>
        </w:rPr>
      </w:pPr>
    </w:p>
    <w:p>
      <w:pPr>
        <w:jc w:val="both"/>
        <w:ind w:left="580" w:right="460" w:firstLine="587"/>
        <w:spacing w:after="0" w:line="271" w:lineRule="auto"/>
        <w:tabs>
          <w:tab w:leader="none" w:pos="1516"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conform the text of this Indenture, any supplemental indenture, the Securities or the Guarantees to the extent a provision hereof or thereof was intended to be a substantially verbatim recitation of the applicable provision under the caption “Description of Debt Securities” or “Description of Notes” (or comparable section) contained in the applicable registration statement, prospectus, prospectus supplement, free-writing prospectus or offering memorandum;</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9" w:name="page160"/>
    <w:bookmarkEnd w:id="159"/>
    <w:p>
      <w:pPr>
        <w:ind w:left="1520" w:hanging="353"/>
        <w:spacing w:after="0"/>
        <w:tabs>
          <w:tab w:leader="none" w:pos="15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allow any Guarantor to execute a supplemental indenture and/or Guarantee with respect to the Securities of any series;</w:t>
      </w:r>
    </w:p>
    <w:p>
      <w:pPr>
        <w:spacing w:after="0" w:line="205" w:lineRule="exact"/>
        <w:rPr>
          <w:rFonts w:ascii="Times New Roman" w:cs="Times New Roman" w:eastAsia="Times New Roman" w:hAnsi="Times New Roman"/>
          <w:sz w:val="16"/>
          <w:szCs w:val="16"/>
          <w:color w:val="auto"/>
        </w:rPr>
      </w:pPr>
    </w:p>
    <w:p>
      <w:pPr>
        <w:ind w:left="580" w:right="240" w:firstLine="587"/>
        <w:spacing w:after="0" w:line="265" w:lineRule="auto"/>
        <w:tabs>
          <w:tab w:leader="none" w:pos="1557"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to, change or eliminate any of the provisions of this Indenture with respect to one or more series of Securities, so long as any such addition, change or elimination not otherwise permitted under this Indenture shall (A) neither apply to any Security of any series created prior to the execution of such supplemental indenture and entitled to the benefit of such provision nor modify the rights of the Holders of any such Security with respect to the benefit of such provision or (B) become effective only when there is no such Security outstanding;</w:t>
      </w:r>
    </w:p>
    <w:p>
      <w:pPr>
        <w:spacing w:after="0" w:line="161" w:lineRule="exact"/>
        <w:rPr>
          <w:rFonts w:ascii="Times New Roman" w:cs="Times New Roman" w:eastAsia="Times New Roman" w:hAnsi="Times New Roman"/>
          <w:sz w:val="16"/>
          <w:szCs w:val="16"/>
          <w:color w:val="auto"/>
        </w:rPr>
      </w:pPr>
    </w:p>
    <w:p>
      <w:pPr>
        <w:ind w:left="580" w:right="20" w:firstLine="587"/>
        <w:spacing w:after="0" w:line="288" w:lineRule="auto"/>
        <w:tabs>
          <w:tab w:leader="none" w:pos="1557"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supplement any of the provisions of this Indenture to such extent as shall be necessary to permit or facilitate the defeasance and discharge of any series of Securities;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such action shall not adversely affect the interests of the Holders of Securities of such series or any other series of Securities;</w:t>
      </w:r>
    </w:p>
    <w:p>
      <w:pPr>
        <w:spacing w:after="0" w:line="143" w:lineRule="exact"/>
        <w:rPr>
          <w:rFonts w:ascii="Times New Roman" w:cs="Times New Roman" w:eastAsia="Times New Roman" w:hAnsi="Times New Roman"/>
          <w:sz w:val="16"/>
          <w:szCs w:val="16"/>
          <w:color w:val="auto"/>
        </w:rPr>
      </w:pPr>
    </w:p>
    <w:p>
      <w:pPr>
        <w:ind w:left="580" w:right="620" w:firstLine="587"/>
        <w:spacing w:after="0" w:line="288" w:lineRule="auto"/>
        <w:tabs>
          <w:tab w:leader="none" w:pos="1516"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make any change to the provisions of Section 10.9 or Article XIII that limits or terminates the benefits applicable to any holder of Senior Indebtedness; and</w:t>
      </w:r>
    </w:p>
    <w:p>
      <w:pPr>
        <w:spacing w:after="0" w:line="143" w:lineRule="exact"/>
        <w:rPr>
          <w:rFonts w:ascii="Times New Roman" w:cs="Times New Roman" w:eastAsia="Times New Roman" w:hAnsi="Times New Roman"/>
          <w:sz w:val="16"/>
          <w:szCs w:val="16"/>
          <w:color w:val="auto"/>
        </w:rPr>
      </w:pPr>
    </w:p>
    <w:p>
      <w:pPr>
        <w:ind w:left="1560" w:hanging="393"/>
        <w:spacing w:after="0"/>
        <w:tabs>
          <w:tab w:leader="none" w:pos="156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 the authentication and delivery of additional series of Securities.</w:t>
      </w:r>
    </w:p>
    <w:p>
      <w:pPr>
        <w:spacing w:after="0" w:line="206" w:lineRule="exact"/>
        <w:rPr>
          <w:sz w:val="20"/>
          <w:szCs w:val="20"/>
          <w:color w:val="auto"/>
        </w:rPr>
      </w:pPr>
    </w:p>
    <w:p>
      <w:pPr>
        <w:ind w:right="120" w:firstLine="585"/>
        <w:spacing w:after="0" w:line="265" w:lineRule="auto"/>
        <w:rPr>
          <w:sz w:val="20"/>
          <w:szCs w:val="20"/>
          <w:color w:val="auto"/>
        </w:rPr>
      </w:pPr>
      <w:r>
        <w:rPr>
          <w:rFonts w:ascii="Times New Roman" w:cs="Times New Roman" w:eastAsia="Times New Roman" w:hAnsi="Times New Roman"/>
          <w:sz w:val="16"/>
          <w:szCs w:val="16"/>
          <w:color w:val="auto"/>
        </w:rPr>
        <w:t>Upon the written request of the Company accompanied by a board resolution of the Board of Directors authorizing the execution of any such supplemental indenture and upon receipt by the Trustee of the documents described in Section 8.05, the Trustee shall join with the Company and the Guarantors in the execution of such supplemental indenture unless such supplemental indenture affects the Trustee’s own rights, duties or immunities under this Indenture, in which case the Trustee may, but shall not be obligated to, enter into such supplemental indenture.</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8.02. With Consent of Holders.</w:t>
      </w:r>
    </w:p>
    <w:p>
      <w:pPr>
        <w:spacing w:after="0" w:line="208" w:lineRule="exact"/>
        <w:rPr>
          <w:sz w:val="20"/>
          <w:szCs w:val="20"/>
          <w:color w:val="auto"/>
        </w:rPr>
      </w:pPr>
    </w:p>
    <w:p>
      <w:pPr>
        <w:ind w:firstLine="582"/>
        <w:spacing w:after="0" w:line="262" w:lineRule="auto"/>
        <w:tabs>
          <w:tab w:leader="none" w:pos="846"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the Guarantors and the Trustee may modify or amend this Indenture as it applies to a series of Securities with the consent of the Holders of a majority in aggregate principal amount of the then outstanding Securities of such series affected by the modification or amendment (including consents obtained in connection with a tender offer or exchange offer for Securities of such series), and any past default or compliance with any provisions of this Indenture relating to a series of Securities may also be waived (except a default in the payment of principal, premium or interest and a default under clause (b) of this Section 8.02) with the consent of the Holders of a majority in aggregate principal amount of the then outstanding Securities of such series.</w:t>
      </w:r>
    </w:p>
    <w:p>
      <w:pPr>
        <w:spacing w:after="0" w:line="164"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However, no such modification or amendment may, without the consent of each Holder of Securities of a series affected thereby:</w:t>
      </w:r>
    </w:p>
    <w:p>
      <w:pPr>
        <w:spacing w:after="0" w:line="205" w:lineRule="exact"/>
        <w:rPr>
          <w:rFonts w:ascii="Times New Roman" w:cs="Times New Roman" w:eastAsia="Times New Roman" w:hAnsi="Times New Roman"/>
          <w:sz w:val="16"/>
          <w:szCs w:val="16"/>
          <w:color w:val="auto"/>
        </w:rPr>
      </w:pPr>
    </w:p>
    <w:p>
      <w:pPr>
        <w:ind w:left="580" w:right="80" w:firstLine="587"/>
        <w:spacing w:after="0" w:line="288" w:lineRule="auto"/>
        <w:tabs>
          <w:tab w:leader="none" w:pos="1435"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extend the due date of the principal of, or any installment of principal of or interest on, the Securities of such series, or reduce the amount of the principal of an Original Issue Discount Security that would be due and payable upon a declaration of acceleration of the maturity thereof pursuant to Section 6.02;</w:t>
      </w:r>
    </w:p>
    <w:p>
      <w:pPr>
        <w:spacing w:after="0" w:line="14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materially adversely affect the economic terms of any right to convert or exchange any Security as may be provided pursuant to Section 2.02;</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principal amount of, or any premium or interest rate on, the Securities of such series;</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the place or currency of payment of principal of, or any premium or interest on, the Securities of such series;</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amount payable upon the redemption of any Security of such series;</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60" w:name="page161"/>
    <w:bookmarkEnd w:id="160"/>
    <w:p>
      <w:pPr>
        <w:ind w:left="1440" w:hanging="273"/>
        <w:spacing w:after="0"/>
        <w:tabs>
          <w:tab w:leader="none" w:pos="1440"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 the right to institute suit for the enforcement of any payment on or with respect to the Securities of such series after the due date thereof; or</w:t>
      </w:r>
    </w:p>
    <w:p>
      <w:pPr>
        <w:spacing w:after="0" w:line="205" w:lineRule="exact"/>
        <w:rPr>
          <w:rFonts w:ascii="Times New Roman" w:cs="Times New Roman" w:eastAsia="Times New Roman" w:hAnsi="Times New Roman"/>
          <w:sz w:val="16"/>
          <w:szCs w:val="16"/>
          <w:color w:val="auto"/>
        </w:rPr>
      </w:pPr>
    </w:p>
    <w:p>
      <w:pPr>
        <w:ind w:left="580" w:right="80" w:firstLine="587"/>
        <w:spacing w:after="0" w:line="288" w:lineRule="auto"/>
        <w:tabs>
          <w:tab w:leader="none" w:pos="1435"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percentage in principal amount of the then outstanding Securities of such series, the consent of whose Holders is required for modification or amendment of this Indenture, for waiver of compliance with certain provisions of this Indenture or for waiver of certain defaults.</w:t>
      </w:r>
    </w:p>
    <w:p>
      <w:pPr>
        <w:spacing w:after="0" w:line="143" w:lineRule="exact"/>
        <w:rPr>
          <w:rFonts w:ascii="Times New Roman" w:cs="Times New Roman" w:eastAsia="Times New Roman" w:hAnsi="Times New Roman"/>
          <w:sz w:val="16"/>
          <w:szCs w:val="16"/>
          <w:color w:val="auto"/>
        </w:rPr>
      </w:pPr>
    </w:p>
    <w:p>
      <w:pPr>
        <w:jc w:val="both"/>
        <w:ind w:right="80" w:firstLine="582"/>
        <w:spacing w:after="0" w:line="265" w:lineRule="auto"/>
        <w:tabs>
          <w:tab w:leader="none" w:pos="846"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 majority of the principal amount of then outstanding Securities of any series may waive future compliance with certain restrictive covenants of this Indenture applicable to such series of Securities. The Holders of at least a majority in principal amount of then outstanding Securities of a series may waive any past default under this Indenture with respect to such series, except a failure by the Company to pay the principal of, or any premium or interest on, any Securities of such series or a provision that cannot be modified or amended without the consent of the Holders of all outstanding Securities of such series.</w:t>
      </w:r>
    </w:p>
    <w:p>
      <w:pPr>
        <w:spacing w:after="0" w:line="161" w:lineRule="exact"/>
        <w:rPr>
          <w:rFonts w:ascii="Times New Roman" w:cs="Times New Roman" w:eastAsia="Times New Roman" w:hAnsi="Times New Roman"/>
          <w:sz w:val="16"/>
          <w:szCs w:val="16"/>
          <w:color w:val="auto"/>
        </w:rPr>
      </w:pPr>
    </w:p>
    <w:p>
      <w:pPr>
        <w:ind w:right="240" w:firstLine="582"/>
        <w:spacing w:after="0" w:line="265" w:lineRule="auto"/>
        <w:tabs>
          <w:tab w:leader="none" w:pos="855"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determining whether the Holders of the required principal amount of a series of Securities have concurred in any direction, notice, waiver or consent, Securities owned by the Company, any Subsidiary of the Company, or by any Affiliate of the Company will be considered as though not outstanding, except that for the purposes of determining whether the Trustee will be protected in conclusively relying on any such direction, notice, waiver or consent, only Securities that a Responsible Officer of the Trustee actually knows are so owned will be so disregarded.</w:t>
      </w:r>
    </w:p>
    <w:p>
      <w:pPr>
        <w:spacing w:after="0" w:line="161" w:lineRule="exact"/>
        <w:rPr>
          <w:rFonts w:ascii="Times New Roman" w:cs="Times New Roman" w:eastAsia="Times New Roman" w:hAnsi="Times New Roman"/>
          <w:sz w:val="16"/>
          <w:szCs w:val="16"/>
          <w:color w:val="auto"/>
        </w:rPr>
      </w:pPr>
    </w:p>
    <w:p>
      <w:pPr>
        <w:ind w:right="60" w:firstLine="582"/>
        <w:spacing w:after="0" w:line="288" w:lineRule="auto"/>
        <w:tabs>
          <w:tab w:leader="none" w:pos="846"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not necessary for the consent of the Holders under this Section 8.02 to approve the particular form of any proposed amendment, supplement or waiver, but it is sufficient if such consent approves the substance thereof.</w:t>
      </w:r>
    </w:p>
    <w:p>
      <w:pPr>
        <w:spacing w:after="0" w:line="143" w:lineRule="exact"/>
        <w:rPr>
          <w:sz w:val="20"/>
          <w:szCs w:val="20"/>
          <w:color w:val="auto"/>
        </w:rPr>
      </w:pPr>
    </w:p>
    <w:p>
      <w:pPr>
        <w:jc w:val="both"/>
        <w:ind w:right="60" w:firstLine="585"/>
        <w:spacing w:after="0" w:line="271" w:lineRule="auto"/>
        <w:rPr>
          <w:sz w:val="20"/>
          <w:szCs w:val="20"/>
          <w:color w:val="auto"/>
        </w:rPr>
      </w:pPr>
      <w:r>
        <w:rPr>
          <w:rFonts w:ascii="Times New Roman" w:cs="Times New Roman" w:eastAsia="Times New Roman" w:hAnsi="Times New Roman"/>
          <w:sz w:val="16"/>
          <w:szCs w:val="16"/>
          <w:color w:val="auto"/>
        </w:rPr>
        <w:t>After an amendment that requires the consent of the Holders of the affected Securities becomes effective, the Company shall transmit to each registered Holder of the affected Securities at such Holder’s address appearing in the security register a notice briefly describing such amendment. However, the failure to give such notice to all Holders of such Securities, or any defect therein, shall not impair or affect the validity of the amendment.</w:t>
      </w:r>
    </w:p>
    <w:p>
      <w:pPr>
        <w:spacing w:after="0" w:line="156" w:lineRule="exact"/>
        <w:rPr>
          <w:sz w:val="20"/>
          <w:szCs w:val="20"/>
          <w:color w:val="auto"/>
        </w:rPr>
      </w:pPr>
    </w:p>
    <w:p>
      <w:pPr>
        <w:ind w:firstLine="585"/>
        <w:spacing w:after="0" w:line="262" w:lineRule="auto"/>
        <w:rPr>
          <w:sz w:val="20"/>
          <w:szCs w:val="20"/>
          <w:color w:val="auto"/>
        </w:rPr>
      </w:pPr>
      <w:r>
        <w:rPr>
          <w:rFonts w:ascii="Times New Roman" w:cs="Times New Roman" w:eastAsia="Times New Roman" w:hAnsi="Times New Roman"/>
          <w:sz w:val="16"/>
          <w:szCs w:val="16"/>
          <w:color w:val="auto"/>
        </w:rPr>
        <w:t>Upon the written request of the Company accompanied by a board resolution of the Board of Directors authorizing the execution of any such supplemental indenture, and upon the receipt by the Trustee of evidence reasonably satisfactory to the Trustee of the consent of the Holders as aforesaid and upon receipt by the Trustee of the documents described in Section 8.05, the Trustee shall join with the Company and the Guarantors in the execution of such supplemental indenture unless such supplemental indenture affects the Trustee’s own rights, duties or immunities under this Indenture, in which case the Trustee may, but shall not be obligated to, enter into such supplemental indenture.</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8.03. Revocation and Effect of Consents.</w:t>
      </w:r>
    </w:p>
    <w:p>
      <w:pPr>
        <w:spacing w:after="0" w:line="208" w:lineRule="exact"/>
        <w:rPr>
          <w:sz w:val="20"/>
          <w:szCs w:val="20"/>
          <w:color w:val="auto"/>
        </w:rPr>
      </w:pPr>
    </w:p>
    <w:p>
      <w:pPr>
        <w:ind w:firstLine="585"/>
        <w:spacing w:after="0" w:line="262" w:lineRule="auto"/>
        <w:rPr>
          <w:sz w:val="20"/>
          <w:szCs w:val="20"/>
          <w:color w:val="auto"/>
        </w:rPr>
      </w:pPr>
      <w:r>
        <w:rPr>
          <w:rFonts w:ascii="Times New Roman" w:cs="Times New Roman" w:eastAsia="Times New Roman" w:hAnsi="Times New Roman"/>
          <w:sz w:val="16"/>
          <w:szCs w:val="16"/>
          <w:color w:val="auto"/>
        </w:rPr>
        <w:t>After an amendment, supplement, waiver or other action becomes effective, a consent to it by a Holder of a Security is a continuing consent conclusive and binding upon such Holder and every subsequent Holder of the same Security or portion thereof, and of any Security issued upon the transfer thereof or in exchange therefor or in place thereof, even if notation of the consent is not made on any such Security. However, any such Holder of a Security or subsequent Holder of a Security may revoke the consent as to its Security if the Trustee receives written notice of revocation before the date the amendment, supplement or waiver becomes effective. An amendment, supplement or waiver becomes effective in accordance with its terms and thereafter binds every Holder.</w:t>
      </w:r>
    </w:p>
    <w:p>
      <w:pPr>
        <w:spacing w:after="0" w:line="165" w:lineRule="exact"/>
        <w:rPr>
          <w:sz w:val="20"/>
          <w:szCs w:val="20"/>
          <w:color w:val="auto"/>
        </w:rPr>
      </w:pPr>
    </w:p>
    <w:p>
      <w:pPr>
        <w:ind w:right="40" w:firstLine="585"/>
        <w:spacing w:after="0" w:line="262" w:lineRule="auto"/>
        <w:rPr>
          <w:sz w:val="20"/>
          <w:szCs w:val="20"/>
          <w:color w:val="auto"/>
        </w:rPr>
      </w:pPr>
      <w:r>
        <w:rPr>
          <w:rFonts w:ascii="Times New Roman" w:cs="Times New Roman" w:eastAsia="Times New Roman" w:hAnsi="Times New Roman"/>
          <w:sz w:val="16"/>
          <w:szCs w:val="16"/>
          <w:color w:val="auto"/>
        </w:rPr>
        <w:t>The Company may, but shall not be obligated to, fix a record date for the purpose of determining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 unless the consent of the requisite number of Holders has been obtained.</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61" w:name="page162"/>
    <w:bookmarkEnd w:id="161"/>
    <w:p>
      <w:pPr>
        <w:ind w:left="580"/>
        <w:spacing w:after="0"/>
        <w:rPr>
          <w:sz w:val="20"/>
          <w:szCs w:val="20"/>
          <w:color w:val="auto"/>
        </w:rPr>
      </w:pPr>
      <w:r>
        <w:rPr>
          <w:rFonts w:ascii="Times New Roman" w:cs="Times New Roman" w:eastAsia="Times New Roman" w:hAnsi="Times New Roman"/>
          <w:sz w:val="16"/>
          <w:szCs w:val="16"/>
          <w:i w:val="1"/>
          <w:iCs w:val="1"/>
          <w:color w:val="auto"/>
        </w:rPr>
        <w:t>Section 8.04. Notation on or Exchange of Securities.</w:t>
      </w:r>
    </w:p>
    <w:p>
      <w:pPr>
        <w:spacing w:after="0" w:line="208" w:lineRule="exact"/>
        <w:rPr>
          <w:sz w:val="20"/>
          <w:szCs w:val="20"/>
          <w:color w:val="auto"/>
        </w:rPr>
      </w:pPr>
    </w:p>
    <w:p>
      <w:pPr>
        <w:ind w:right="180" w:firstLine="585"/>
        <w:spacing w:after="0" w:line="262" w:lineRule="auto"/>
        <w:rPr>
          <w:sz w:val="20"/>
          <w:szCs w:val="20"/>
          <w:color w:val="auto"/>
        </w:rPr>
      </w:pPr>
      <w:r>
        <w:rPr>
          <w:rFonts w:ascii="Times New Roman" w:cs="Times New Roman" w:eastAsia="Times New Roman" w:hAnsi="Times New Roman"/>
          <w:sz w:val="16"/>
          <w:szCs w:val="16"/>
          <w:color w:val="auto"/>
        </w:rPr>
        <w:t>If an amendment, supplement, or waiver changes the terms of a Security, the Trustee (in accordance with the specific written direction of the Company) shall request the Holder of the Security (in accordance with the specific written direction of the Company) to deliver it to the Trustee. In such case, the Trustee shall place an appropriate notation on the Security about the changed terms and return it to the Holder. Alternatively, if the Company or the Trustee so determines, the Company, in exchange for the Security, shall issue, and the Trustee shall authenticate, a new Security that reflects the changed terms. Failure to make the appropriate notation or issue a new Security shall not affect the validity and effect of such amendment, supplement or waiver.</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8.05. Trustee To Sign Amendments, etc.</w:t>
      </w:r>
    </w:p>
    <w:p>
      <w:pPr>
        <w:spacing w:after="0" w:line="208" w:lineRule="exact"/>
        <w:rPr>
          <w:sz w:val="20"/>
          <w:szCs w:val="20"/>
          <w:color w:val="auto"/>
        </w:rPr>
      </w:pPr>
    </w:p>
    <w:p>
      <w:pPr>
        <w:ind w:firstLine="585"/>
        <w:spacing w:after="0" w:line="262" w:lineRule="auto"/>
        <w:rPr>
          <w:sz w:val="20"/>
          <w:szCs w:val="20"/>
          <w:color w:val="auto"/>
        </w:rPr>
      </w:pPr>
      <w:r>
        <w:rPr>
          <w:rFonts w:ascii="Times New Roman" w:cs="Times New Roman" w:eastAsia="Times New Roman" w:hAnsi="Times New Roman"/>
          <w:sz w:val="16"/>
          <w:szCs w:val="16"/>
          <w:color w:val="auto"/>
        </w:rPr>
        <w:t>The Trustee shall sign any amendment, supplement or waiver authorized pursuant to this Article VIII if the amendment, supplement or waiver does not affect the rights, duties, liabilities or immunities of the Trustee. If it does affect the rights, duties, liabilities or immunities of the Trustee, the Trustee may, but need not, sign such amendment, supplement or waiver. In signing or refusing to sign such amendment, supplement or waiver the Trustee shall be entitled to receive and, subject to Section 7.01, shall be fully protected in relying upon an Officer’s Certificate and an Opinion of Counsel stating, in addition to the matters required by Section 12.03, that such amendment, supplement or waiver is authorized or permitted by this Indenture.</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8.06. Compliance with Trust Indenture Act.</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Every amendment or supplement to this Indenture or the Securities shall comply with the TIA as then in effect.</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8.07. Effect of Execution of Supplemental Indenture.</w:t>
      </w:r>
    </w:p>
    <w:p>
      <w:pPr>
        <w:spacing w:after="0" w:line="208" w:lineRule="exact"/>
        <w:rPr>
          <w:sz w:val="20"/>
          <w:szCs w:val="20"/>
          <w:color w:val="auto"/>
        </w:rPr>
      </w:pPr>
    </w:p>
    <w:p>
      <w:pPr>
        <w:ind w:right="100" w:firstLine="585"/>
        <w:spacing w:after="0" w:line="262" w:lineRule="auto"/>
        <w:rPr>
          <w:sz w:val="20"/>
          <w:szCs w:val="20"/>
          <w:color w:val="auto"/>
        </w:rPr>
      </w:pPr>
      <w:r>
        <w:rPr>
          <w:rFonts w:ascii="Times New Roman" w:cs="Times New Roman" w:eastAsia="Times New Roman" w:hAnsi="Times New Roman"/>
          <w:sz w:val="16"/>
          <w:szCs w:val="16"/>
          <w:color w:val="auto"/>
        </w:rPr>
        <w:t>Upon the execution of any supplemental indenture pursuant to the provisions of this Article VIII, this Indenture shall be deemed to be modified and amended in accordance therewith and, except as herein otherwise expressly provided, the respective rights, limitations of rights, obligations, duties and immunities under this Indenture of the Trustee, the Company and the Holders of all of the Securities or of the Securities of any series affected, as the case may be,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8.08. Subordination Unimpaired</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right="600" w:firstLine="585"/>
        <w:spacing w:after="0" w:line="288" w:lineRule="auto"/>
        <w:rPr>
          <w:sz w:val="20"/>
          <w:szCs w:val="20"/>
          <w:color w:val="auto"/>
        </w:rPr>
      </w:pPr>
      <w:r>
        <w:rPr>
          <w:rFonts w:ascii="Times New Roman" w:cs="Times New Roman" w:eastAsia="Times New Roman" w:hAnsi="Times New Roman"/>
          <w:sz w:val="16"/>
          <w:szCs w:val="16"/>
          <w:color w:val="auto"/>
        </w:rPr>
        <w:t>This Indenture may not be amended to alter the subordination of any outstanding Securities without the consent of each holder of Senior Indebtedness then outstanding that would be adversely affected thereby.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SATISFACTION AND DISCHARGE OF INDENTURE; DEFEASANCE</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9.01. Applicability of Article.</w:t>
      </w:r>
    </w:p>
    <w:p>
      <w:pPr>
        <w:spacing w:after="0" w:line="208" w:lineRule="exact"/>
        <w:rPr>
          <w:sz w:val="20"/>
          <w:szCs w:val="20"/>
          <w:color w:val="auto"/>
        </w:rPr>
      </w:pPr>
    </w:p>
    <w:p>
      <w:pPr>
        <w:ind w:right="40" w:firstLine="585"/>
        <w:spacing w:after="0" w:line="271" w:lineRule="auto"/>
        <w:rPr>
          <w:sz w:val="20"/>
          <w:szCs w:val="20"/>
          <w:color w:val="auto"/>
        </w:rPr>
      </w:pPr>
      <w:r>
        <w:rPr>
          <w:rFonts w:ascii="Times New Roman" w:cs="Times New Roman" w:eastAsia="Times New Roman" w:hAnsi="Times New Roman"/>
          <w:sz w:val="16"/>
          <w:szCs w:val="16"/>
          <w:color w:val="auto"/>
        </w:rPr>
        <w:t>Except as otherwise contemplated by Section 2.02 with respect to any series of Securities, if provision is made for the defeasance of Securities of a series and if the Securities of such series are denominated and payable only in U.S. Dollars, then the provisions of this Article IX shall be applicable. Defeasance provisions, if any, for Securities denominated in a Foreign Currency may be specified pursuant to Section 2.02.</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9.02. Satisfaction and Discharge of Liability on Securities; Defeasance.</w:t>
      </w:r>
    </w:p>
    <w:p>
      <w:pPr>
        <w:spacing w:after="0" w:line="208" w:lineRule="exact"/>
        <w:rPr>
          <w:sz w:val="20"/>
          <w:szCs w:val="20"/>
          <w:color w:val="auto"/>
        </w:rPr>
      </w:pPr>
    </w:p>
    <w:p>
      <w:pPr>
        <w:ind w:right="80" w:firstLine="582"/>
        <w:spacing w:after="0" w:line="271" w:lineRule="auto"/>
        <w:tabs>
          <w:tab w:leader="none" w:pos="846"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Indenture will be discharged and will cease to be of further effect with respect to any series of Securities (except as to rights of registration of transfer or exchange of Securities and rights to receive principal of and premium, if any, and interest on such Securities) as to all outstanding Securities of such series issued hereunder when: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ind w:left="1440" w:hanging="273"/>
        <w:spacing w:after="0"/>
        <w:tabs>
          <w:tab w:leader="none" w:pos="144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w:t>
      </w:r>
    </w:p>
    <w:p>
      <w:pPr>
        <w:spacing w:after="0" w:line="205" w:lineRule="exact"/>
        <w:rPr>
          <w:rFonts w:ascii="Times New Roman" w:cs="Times New Roman" w:eastAsia="Times New Roman" w:hAnsi="Times New Roman"/>
          <w:sz w:val="16"/>
          <w:szCs w:val="16"/>
          <w:color w:val="auto"/>
        </w:rPr>
      </w:pPr>
    </w:p>
    <w:p>
      <w:pPr>
        <w:ind w:left="1160" w:right="20" w:firstLine="591"/>
        <w:spacing w:after="0" w:line="271" w:lineRule="auto"/>
        <w:tabs>
          <w:tab w:leader="none" w:pos="2051"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the Securities of such series that have been authenticated and delivered (except lost, stolen or destroyed Securities which have been replaced or paid and Securities for whose payment money has been deposited in trust or segregated and held in trust by the Company and thereafter repaid to the Company or discharged from this trust) have been delivered to the Trustee for cancellation, or</w:t>
      </w:r>
    </w:p>
    <w:p>
      <w:pPr>
        <w:spacing w:after="0" w:line="156" w:lineRule="exact"/>
        <w:rPr>
          <w:rFonts w:ascii="Times New Roman" w:cs="Times New Roman" w:eastAsia="Times New Roman" w:hAnsi="Times New Roman"/>
          <w:sz w:val="16"/>
          <w:szCs w:val="16"/>
          <w:color w:val="auto"/>
        </w:rPr>
      </w:pPr>
    </w:p>
    <w:p>
      <w:pPr>
        <w:ind w:left="1160" w:firstLine="591"/>
        <w:spacing w:after="0" w:line="261" w:lineRule="auto"/>
        <w:tabs>
          <w:tab w:leader="none" w:pos="2042"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Securities of such series not delivered to the Trustee for cancellation otherwise (i) have become due and payable, (ii) will become due and payable, or are to be called for redemption, within one year or (iii) have been called for redemption as otherwise specified pursuant to Section 2.02 for Securities of such series, and, in any case, the Company or any Guarantor has irrevocably deposited or caused to be deposited with the Trustee as trust funds, in trust solely for the benefit of the Holders of such Securities, U.S. legal tender, U.S. Government Obligations or a combination thereof, in such amounts as will be sufficient (without consideration of any reinvestment of interest) to pay and discharge the entire Indebtedness (including all principal and accrued interest) on the Securities of such series not theretofore delivered to the Trustee for cancellation,</w:t>
      </w:r>
    </w:p>
    <w:p>
      <w:pPr>
        <w:spacing w:after="0" w:line="16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any Guarantor has paid all sums payable by it under this Indenture, and</w:t>
      </w:r>
    </w:p>
    <w:p>
      <w:pPr>
        <w:spacing w:after="0" w:line="205" w:lineRule="exact"/>
        <w:rPr>
          <w:rFonts w:ascii="Times New Roman" w:cs="Times New Roman" w:eastAsia="Times New Roman" w:hAnsi="Times New Roman"/>
          <w:sz w:val="16"/>
          <w:szCs w:val="16"/>
          <w:color w:val="auto"/>
        </w:rPr>
      </w:pPr>
    </w:p>
    <w:p>
      <w:pPr>
        <w:ind w:left="580" w:right="60" w:firstLine="587"/>
        <w:spacing w:after="0" w:line="288" w:lineRule="auto"/>
        <w:tabs>
          <w:tab w:leader="none" w:pos="1435"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delivered irrevocable instructions to the Trustee to apply the deposited money toward the payment of the Securities of such series at maturity or on the Redemption Date, as the case may be.</w:t>
      </w:r>
    </w:p>
    <w:p>
      <w:pPr>
        <w:spacing w:after="0" w:line="143" w:lineRule="exact"/>
        <w:rPr>
          <w:sz w:val="20"/>
          <w:szCs w:val="20"/>
          <w:color w:val="auto"/>
        </w:rPr>
      </w:pPr>
    </w:p>
    <w:p>
      <w:pPr>
        <w:ind w:right="300" w:firstLine="585"/>
        <w:spacing w:after="0" w:line="288" w:lineRule="auto"/>
        <w:rPr>
          <w:sz w:val="20"/>
          <w:szCs w:val="20"/>
          <w:color w:val="auto"/>
        </w:rPr>
      </w:pPr>
      <w:r>
        <w:rPr>
          <w:rFonts w:ascii="Times New Roman" w:cs="Times New Roman" w:eastAsia="Times New Roman" w:hAnsi="Times New Roman"/>
          <w:sz w:val="16"/>
          <w:szCs w:val="16"/>
          <w:color w:val="auto"/>
        </w:rPr>
        <w:t>In addition, the Company must deliver to the Trustee an Officer’s Certificate and an Opinion of Counsel stating that all conditions precedent to satisfaction and discharge have been complied with.</w:t>
      </w:r>
    </w:p>
    <w:p>
      <w:pPr>
        <w:spacing w:after="0" w:line="143" w:lineRule="exact"/>
        <w:rPr>
          <w:sz w:val="20"/>
          <w:szCs w:val="20"/>
          <w:color w:val="auto"/>
        </w:rPr>
      </w:pPr>
    </w:p>
    <w:p>
      <w:pPr>
        <w:jc w:val="both"/>
        <w:ind w:right="20" w:firstLine="582"/>
        <w:spacing w:after="0" w:line="265" w:lineRule="auto"/>
        <w:tabs>
          <w:tab w:leader="none" w:pos="855"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clause (c) of this Section 9.02 and Section 9.03, the Company may, at its option and at any time, elect to have its obligations and the obligations of the Guarantors discharged with respect to the outstanding Securities of a series (“</w:t>
      </w:r>
      <w:r>
        <w:rPr>
          <w:rFonts w:ascii="Times New Roman" w:cs="Times New Roman" w:eastAsia="Times New Roman" w:hAnsi="Times New Roman"/>
          <w:sz w:val="16"/>
          <w:szCs w:val="16"/>
          <w:i w:val="1"/>
          <w:iCs w:val="1"/>
          <w:color w:val="auto"/>
        </w:rPr>
        <w:t>Legal Defeasance</w:t>
      </w:r>
      <w:r>
        <w:rPr>
          <w:rFonts w:ascii="Times New Roman" w:cs="Times New Roman" w:eastAsia="Times New Roman" w:hAnsi="Times New Roman"/>
          <w:sz w:val="16"/>
          <w:szCs w:val="16"/>
          <w:color w:val="auto"/>
        </w:rPr>
        <w:t>”). Legal Defeasance means that the Company and the Guarantors shall be deemed to have paid and discharged the entire indebtedness represented by the Securities of such series and the related Guarantees, and this Indenture shall cease to be of further effect as to all outstanding Securities of such series and the related Guarantees, except as to:</w:t>
      </w:r>
    </w:p>
    <w:p>
      <w:pPr>
        <w:spacing w:after="0" w:line="161" w:lineRule="exact"/>
        <w:rPr>
          <w:rFonts w:ascii="Times New Roman" w:cs="Times New Roman" w:eastAsia="Times New Roman" w:hAnsi="Times New Roman"/>
          <w:sz w:val="16"/>
          <w:szCs w:val="16"/>
          <w:color w:val="auto"/>
        </w:rPr>
      </w:pPr>
    </w:p>
    <w:p>
      <w:pPr>
        <w:ind w:left="580" w:right="220" w:firstLine="587"/>
        <w:spacing w:after="0" w:line="288" w:lineRule="auto"/>
        <w:tabs>
          <w:tab w:leader="none" w:pos="1435" w:val="left"/>
        </w:tabs>
        <w:numPr>
          <w:ilvl w:val="1"/>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of Holders of such series of Securities issued under this Indenture to receive payments in respect of the principal of, premium, if any, and interest on such Securities when such payments are due solely out of the trust created pursuant to this Indenture;</w:t>
      </w:r>
    </w:p>
    <w:p>
      <w:pPr>
        <w:spacing w:after="0" w:line="143" w:lineRule="exact"/>
        <w:rPr>
          <w:rFonts w:ascii="Times New Roman" w:cs="Times New Roman" w:eastAsia="Times New Roman" w:hAnsi="Times New Roman"/>
          <w:sz w:val="16"/>
          <w:szCs w:val="16"/>
          <w:color w:val="auto"/>
        </w:rPr>
      </w:pPr>
    </w:p>
    <w:p>
      <w:pPr>
        <w:ind w:left="580" w:right="360" w:firstLine="587"/>
        <w:spacing w:after="0" w:line="271" w:lineRule="auto"/>
        <w:tabs>
          <w:tab w:leader="none" w:pos="1435" w:val="left"/>
        </w:tabs>
        <w:numPr>
          <w:ilvl w:val="1"/>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obligations with respect to such series of Securities concerning issuing temporary Securities under Section 2.12, registration of Securities under Section 2.05, mutilated, destroyed, lost or stolen Securities under Section 2.09, and the maintenance of an office or agency for payment under Section 2.05 and money for security payments held in trust under Section 2.06;</w:t>
      </w:r>
    </w:p>
    <w:p>
      <w:pPr>
        <w:spacing w:after="0" w:line="156"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powers, trust, duties, and immunities of the Trustee, and the Company’s obligation in connection therewith; and</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applicable provisions of this Article IX.</w:t>
      </w:r>
    </w:p>
    <w:p>
      <w:pPr>
        <w:spacing w:after="0" w:line="206" w:lineRule="exact"/>
        <w:rPr>
          <w:sz w:val="20"/>
          <w:szCs w:val="20"/>
          <w:color w:val="auto"/>
        </w:rPr>
      </w:pPr>
    </w:p>
    <w:p>
      <w:pPr>
        <w:ind w:right="80" w:firstLine="585"/>
        <w:spacing w:after="0" w:line="261" w:lineRule="auto"/>
        <w:rPr>
          <w:sz w:val="20"/>
          <w:szCs w:val="20"/>
          <w:color w:val="auto"/>
        </w:rPr>
      </w:pPr>
      <w:r>
        <w:rPr>
          <w:rFonts w:ascii="Times New Roman" w:cs="Times New Roman" w:eastAsia="Times New Roman" w:hAnsi="Times New Roman"/>
          <w:sz w:val="16"/>
          <w:szCs w:val="16"/>
          <w:color w:val="auto"/>
        </w:rPr>
        <w:t>In addition, the Company may, at its option and at any time, elect to have its obligations and the obligations of the Guarantors released with respect to (A) their respective obligations under Sections 4.03 through 4.05 with respect to the outstanding Securities of a series, (B) the operation of Sections 6.01(5), (6), (7) or (8) (only as such clauses (7) or (8) apply to Significant Subsidiaries) and (C) if so specified pursuant to Section 2.02 with respect to Securities of a series, any other restrictive covenant added for the benefit of such series pursuant to Section 2.02 (“</w:t>
      </w:r>
      <w:r>
        <w:rPr>
          <w:rFonts w:ascii="Times New Roman" w:cs="Times New Roman" w:eastAsia="Times New Roman" w:hAnsi="Times New Roman"/>
          <w:sz w:val="16"/>
          <w:szCs w:val="16"/>
          <w:i w:val="1"/>
          <w:iCs w:val="1"/>
          <w:color w:val="auto"/>
        </w:rPr>
        <w:t>Covenant Defeasance</w:t>
      </w:r>
      <w:r>
        <w:rPr>
          <w:rFonts w:ascii="Times New Roman" w:cs="Times New Roman" w:eastAsia="Times New Roman" w:hAnsi="Times New Roman"/>
          <w:sz w:val="16"/>
          <w:szCs w:val="16"/>
          <w:color w:val="auto"/>
        </w:rPr>
        <w:t>”) on and after the conditions in Section 9.03 with respect to Covenant Defeasance are satisfied, and thereafter any omission to comply with such obligations shall not constitute a Default or Event of Default with respect to such Securities. The Company may exercise its Legal Defeasance option regardless of whether it previously exercised Covenant Defeasance.</w:t>
      </w:r>
    </w:p>
    <w:p>
      <w:pPr>
        <w:spacing w:after="0" w:line="164" w:lineRule="exact"/>
        <w:rPr>
          <w:sz w:val="20"/>
          <w:szCs w:val="20"/>
          <w:color w:val="auto"/>
        </w:rPr>
      </w:pPr>
    </w:p>
    <w:p>
      <w:pPr>
        <w:ind w:right="300" w:firstLine="582"/>
        <w:spacing w:after="0" w:line="288" w:lineRule="auto"/>
        <w:tabs>
          <w:tab w:leader="none" w:pos="846"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exercises its Legal Defeasance option, payment of the Securities of such series may not be accelerated because of an Event of Default with respect thereto.</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63" w:name="page164"/>
    <w:bookmarkEnd w:id="163"/>
    <w:p>
      <w:pPr>
        <w:ind w:right="700" w:firstLine="582"/>
        <w:spacing w:after="0" w:line="288" w:lineRule="auto"/>
        <w:tabs>
          <w:tab w:leader="none" w:pos="855"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satisfaction of the conditions set forth herein and upon request of the Company, the Trustee shall acknowledge in writing the discharge of those obligations that the Company terminates.</w:t>
      </w:r>
    </w:p>
    <w:p>
      <w:pPr>
        <w:spacing w:after="0" w:line="143" w:lineRule="exact"/>
        <w:rPr>
          <w:rFonts w:ascii="Times New Roman" w:cs="Times New Roman" w:eastAsia="Times New Roman" w:hAnsi="Times New Roman"/>
          <w:sz w:val="16"/>
          <w:szCs w:val="16"/>
          <w:color w:val="auto"/>
        </w:rPr>
      </w:pPr>
    </w:p>
    <w:p>
      <w:pPr>
        <w:jc w:val="both"/>
        <w:ind w:right="220" w:firstLine="582"/>
        <w:spacing w:after="0" w:line="271" w:lineRule="auto"/>
        <w:tabs>
          <w:tab w:leader="none" w:pos="846"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clauses (a) and (b) of this Section 9.02, the Company’s obligations in Sections 2.05, 2.07, 2.08, 2.09, 2.17, 7.06, 9.06 and 9.07 shall survive with respect to such series of Securities until such time as the Securities of such series have been paid in full. Thereafter, the Company’s obligations in Sections 7.06, 9.06 and 9.07 shall survive.</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9.03. Conditions to Defeasance.</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order to exercise either Legal Defeasance or Covenant Defeasance with respect to the Securities of any series:</w:t>
      </w:r>
    </w:p>
    <w:p>
      <w:pPr>
        <w:spacing w:after="0" w:line="206" w:lineRule="exact"/>
        <w:rPr>
          <w:sz w:val="20"/>
          <w:szCs w:val="20"/>
          <w:color w:val="auto"/>
        </w:rPr>
      </w:pPr>
    </w:p>
    <w:p>
      <w:pPr>
        <w:ind w:firstLine="582"/>
        <w:spacing w:after="0" w:line="262" w:lineRule="auto"/>
        <w:tabs>
          <w:tab w:leader="none" w:pos="846"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must irrevocably deposit with the Trustee or other agent, as trust funds, in trust solely for the benefit of the Holders of the Securities of such series U.S. legal tender, U.S. Government Obligations or a combination thereof, in such amounts as will be sufficient (without consideration of any reinvestment of interest) in the opinion of a nationally recognized firm of independent public accountants selected by the Company, to pay the principal (including any mandatory sinking fund payments) of, premium, if any, and interest on the Securities of such series on the stated date for payment or on the Redemption Date of the principal or installment of principal of, premium, if any, or interest on such series of Securities;</w:t>
      </w:r>
    </w:p>
    <w:p>
      <w:pPr>
        <w:spacing w:after="0" w:line="164" w:lineRule="exact"/>
        <w:rPr>
          <w:rFonts w:ascii="Times New Roman" w:cs="Times New Roman" w:eastAsia="Times New Roman" w:hAnsi="Times New Roman"/>
          <w:sz w:val="16"/>
          <w:szCs w:val="16"/>
          <w:color w:val="auto"/>
        </w:rPr>
      </w:pPr>
    </w:p>
    <w:p>
      <w:pPr>
        <w:jc w:val="both"/>
        <w:ind w:right="60" w:firstLine="582"/>
        <w:spacing w:after="0" w:line="262" w:lineRule="auto"/>
        <w:tabs>
          <w:tab w:leader="none" w:pos="855"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Legal Defeasance, the Company shall have delivered to the Trustee an Opinion of Counsel to the effect that the beneficial owners of Securities of such series will not recognize income, gain or loss for U.S. federal income tax purposes solely as a result of the Legal Defeasance and will be subject to U.S. federal income tax on the same amounts, in the same manner and at the same times as would have been the case if such Legal Defeasance had not occurred, which opinion must be based either on a change in the applicable U.S. federal income tax laws or regulations occurring after the Issue Date, or the Company having received a ruling from, or published by, the Internal Revenue Service to that effect;</w:t>
      </w:r>
    </w:p>
    <w:p>
      <w:pPr>
        <w:spacing w:after="0" w:line="164" w:lineRule="exact"/>
        <w:rPr>
          <w:rFonts w:ascii="Times New Roman" w:cs="Times New Roman" w:eastAsia="Times New Roman" w:hAnsi="Times New Roman"/>
          <w:sz w:val="16"/>
          <w:szCs w:val="16"/>
          <w:color w:val="auto"/>
        </w:rPr>
      </w:pPr>
    </w:p>
    <w:p>
      <w:pPr>
        <w:ind w:right="200" w:firstLine="582"/>
        <w:spacing w:after="0" w:line="271" w:lineRule="auto"/>
        <w:tabs>
          <w:tab w:leader="none" w:pos="846"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Covenant Defeasance, the Company shall have delivered to the Trustee an Opinion of Counsel to the effect that the beneficial owners of Securities of such series will not recognize income, gain or loss for U.S. federal income tax purposes solely as a result of such Covenant Defeasance and will be subject to U.S. federal income tax on the same amounts, in the same manner and at the same times as would have been the case if the Covenant Defeasance had not occurred;</w:t>
      </w:r>
    </w:p>
    <w:p>
      <w:pPr>
        <w:spacing w:after="0" w:line="156" w:lineRule="exact"/>
        <w:rPr>
          <w:rFonts w:ascii="Times New Roman" w:cs="Times New Roman" w:eastAsia="Times New Roman" w:hAnsi="Times New Roman"/>
          <w:sz w:val="16"/>
          <w:szCs w:val="16"/>
          <w:color w:val="auto"/>
        </w:rPr>
      </w:pPr>
    </w:p>
    <w:p>
      <w:pPr>
        <w:jc w:val="both"/>
        <w:ind w:right="240" w:firstLine="582"/>
        <w:spacing w:after="0" w:line="288" w:lineRule="auto"/>
        <w:tabs>
          <w:tab w:leader="none" w:pos="855"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Default or Event of Default (other than a Default or Event of Default resulting from borrowing funds to be applied to make such deposit (and any similar concurrent deposit relating to other Indebtedness) or the granting of Liens in connection therewith) shall have occurred and be continuing on the date of such deposit; and</w:t>
      </w:r>
    </w:p>
    <w:p>
      <w:pPr>
        <w:spacing w:after="0" w:line="143" w:lineRule="exact"/>
        <w:rPr>
          <w:rFonts w:ascii="Times New Roman" w:cs="Times New Roman" w:eastAsia="Times New Roman" w:hAnsi="Times New Roman"/>
          <w:sz w:val="16"/>
          <w:szCs w:val="16"/>
          <w:color w:val="auto"/>
        </w:rPr>
      </w:pPr>
    </w:p>
    <w:p>
      <w:pPr>
        <w:ind w:right="240" w:firstLine="582"/>
        <w:spacing w:after="0" w:line="288" w:lineRule="auto"/>
        <w:tabs>
          <w:tab w:leader="none" w:pos="846"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the Trustee an Officer’s Certificate and an Opinion of Counsel each stating that all conditions precedent provided for or relating to the Legal Defeasance or the Covenant Defeasance, as the case may be, have been complied with.</w:t>
      </w:r>
    </w:p>
    <w:p>
      <w:pPr>
        <w:spacing w:after="0" w:line="143" w:lineRule="exact"/>
        <w:rPr>
          <w:sz w:val="20"/>
          <w:szCs w:val="20"/>
          <w:color w:val="auto"/>
        </w:rPr>
      </w:pPr>
    </w:p>
    <w:p>
      <w:pPr>
        <w:ind w:right="20" w:firstLine="585"/>
        <w:spacing w:after="0" w:line="262" w:lineRule="auto"/>
        <w:rPr>
          <w:sz w:val="20"/>
          <w:szCs w:val="20"/>
          <w:color w:val="auto"/>
        </w:rPr>
      </w:pPr>
      <w:r>
        <w:rPr>
          <w:rFonts w:ascii="Times New Roman" w:cs="Times New Roman" w:eastAsia="Times New Roman" w:hAnsi="Times New Roman"/>
          <w:sz w:val="16"/>
          <w:szCs w:val="16"/>
          <w:color w:val="auto"/>
        </w:rPr>
        <w:t>Notwithstanding the foregoing provisions of this Section 9.03, the conditions set forth in the foregoing subsections (b), (c), (d) and (e) need not be satisfied so long as, at the time the Company makes the deposit described in subsection (a), (i) no Default under clauses (1), (2), (8) and (9) under Section 6.01 has occurred and is continuing on the date of such deposit and after giving effect thereto, and (ii) either (x) a notice of redemption has been transmitted providing for redemption of all the Securities of such series not more than 60 days after such transmission and the requirements for such redemption shall have been complied with or (y) the Stated Maturity of the Securities of such series will occur within 60 days. If the conditions in the preceding sentence are satisfied, the Company shall be deemed to have exercised its Covenant Defeasance option.</w:t>
      </w:r>
    </w:p>
    <w:p>
      <w:pPr>
        <w:spacing w:after="0" w:line="360" w:lineRule="exact"/>
        <w:rPr>
          <w:sz w:val="20"/>
          <w:szCs w:val="20"/>
          <w:color w:val="auto"/>
        </w:rPr>
      </w:pPr>
    </w:p>
    <w:p>
      <w:pPr>
        <w:jc w:val="both"/>
        <w:ind w:right="340" w:firstLine="585"/>
        <w:spacing w:after="0" w:line="271" w:lineRule="auto"/>
        <w:rPr>
          <w:sz w:val="20"/>
          <w:szCs w:val="20"/>
          <w:color w:val="auto"/>
        </w:rPr>
      </w:pPr>
      <w:r>
        <w:rPr>
          <w:rFonts w:ascii="Times New Roman" w:cs="Times New Roman" w:eastAsia="Times New Roman" w:hAnsi="Times New Roman"/>
          <w:sz w:val="16"/>
          <w:szCs w:val="16"/>
          <w:color w:val="auto"/>
        </w:rPr>
        <w:t>If the funds deposited with the Trustee or other agent to effect Covenant Defeasance are insufficient to pay the principal of and interest on the Securities of the applicable series when due, then the Company’s obligations and the obligations of the Guarantors under this Indenture will be revived with respect to such series and no such defeasance will be deemed to have occurred.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64" w:name="page165"/>
    <w:bookmarkEnd w:id="164"/>
    <w:p>
      <w:pPr>
        <w:ind w:left="580"/>
        <w:spacing w:after="0"/>
        <w:rPr>
          <w:sz w:val="20"/>
          <w:szCs w:val="20"/>
          <w:color w:val="auto"/>
        </w:rPr>
      </w:pPr>
      <w:r>
        <w:rPr>
          <w:rFonts w:ascii="Times New Roman" w:cs="Times New Roman" w:eastAsia="Times New Roman" w:hAnsi="Times New Roman"/>
          <w:sz w:val="16"/>
          <w:szCs w:val="16"/>
          <w:i w:val="1"/>
          <w:iCs w:val="1"/>
          <w:color w:val="auto"/>
        </w:rPr>
        <w:t>Section 9.04. Deposited Money and U.S. Government Obligations To Be Held in Trust; Other Miscellaneous Provisions.</w:t>
      </w:r>
    </w:p>
    <w:p>
      <w:pPr>
        <w:spacing w:after="0" w:line="208" w:lineRule="exact"/>
        <w:rPr>
          <w:sz w:val="20"/>
          <w:szCs w:val="20"/>
          <w:color w:val="auto"/>
        </w:rPr>
      </w:pPr>
    </w:p>
    <w:p>
      <w:pPr>
        <w:ind w:right="20" w:firstLine="585"/>
        <w:spacing w:after="0" w:line="261" w:lineRule="auto"/>
        <w:rPr>
          <w:sz w:val="20"/>
          <w:szCs w:val="20"/>
          <w:color w:val="auto"/>
        </w:rPr>
      </w:pPr>
      <w:r>
        <w:rPr>
          <w:rFonts w:ascii="Times New Roman" w:cs="Times New Roman" w:eastAsia="Times New Roman" w:hAnsi="Times New Roman"/>
          <w:sz w:val="16"/>
          <w:szCs w:val="16"/>
          <w:color w:val="auto"/>
        </w:rPr>
        <w:t>All money and U.S. Government Obligations (including the proceeds thereof) deposited with the Trustee or other agent pursuant to Section 9.03(a) in respect of the outstanding Securities of a series shall be held in trust and applied by the Trustee or other agent, in accordance with the provisions of such Securities and this Indenture, to the payment, either directly or through any Paying Agent, to the Holders of such Securities, of all sums due and to become due thereon in respect of principal, premium, if any, and accrued interest, but such money need not be segregated from other funds except to the extent required by law. All money and U.S. Government Obligations (or other property as may be provided pursuant to Section 2.02) (including the proceeds thereof) deposited with the Trustee or other agent pursuant to Section 9.03 in respect of any Securities of any series and which are held in trust shall not be subject to the provisions of Section 10.9 or Article XIII.</w:t>
      </w:r>
    </w:p>
    <w:p>
      <w:pPr>
        <w:spacing w:after="0" w:line="164" w:lineRule="exact"/>
        <w:rPr>
          <w:sz w:val="20"/>
          <w:szCs w:val="20"/>
          <w:color w:val="auto"/>
        </w:rPr>
      </w:pPr>
    </w:p>
    <w:p>
      <w:pPr>
        <w:ind w:firstLine="585"/>
        <w:spacing w:after="0" w:line="271" w:lineRule="auto"/>
        <w:rPr>
          <w:sz w:val="20"/>
          <w:szCs w:val="20"/>
          <w:color w:val="auto"/>
        </w:rPr>
      </w:pPr>
      <w:r>
        <w:rPr>
          <w:rFonts w:ascii="Times New Roman" w:cs="Times New Roman" w:eastAsia="Times New Roman" w:hAnsi="Times New Roman"/>
          <w:sz w:val="16"/>
          <w:szCs w:val="16"/>
          <w:color w:val="auto"/>
        </w:rPr>
        <w:t>The Company shall pay and indemnify the Trustee or other agent against any tax, fee or other charge imposed on or assessed against the U.S. Government Obligations deposited pursuant to Section 9.03(a) or the principal, premium, if any, and interest received in respect thereof other than any such tax, fee or other charge which by law is for the account of the Holders of the outstanding Securities.</w:t>
      </w:r>
    </w:p>
    <w:p>
      <w:pPr>
        <w:spacing w:after="0" w:line="156" w:lineRule="exact"/>
        <w:rPr>
          <w:sz w:val="20"/>
          <w:szCs w:val="20"/>
          <w:color w:val="auto"/>
        </w:rPr>
      </w:pPr>
    </w:p>
    <w:p>
      <w:pPr>
        <w:ind w:right="120" w:firstLine="585"/>
        <w:spacing w:after="0" w:line="265" w:lineRule="auto"/>
        <w:rPr>
          <w:sz w:val="20"/>
          <w:szCs w:val="20"/>
          <w:color w:val="auto"/>
        </w:rPr>
      </w:pPr>
      <w:r>
        <w:rPr>
          <w:rFonts w:ascii="Times New Roman" w:cs="Times New Roman" w:eastAsia="Times New Roman" w:hAnsi="Times New Roman"/>
          <w:sz w:val="16"/>
          <w:szCs w:val="16"/>
          <w:color w:val="auto"/>
        </w:rPr>
        <w:t>Anything in this Article IX to the contrary notwithstanding, the Trustee or other agent shall deliver or pay to the Company from time to time upon a request of the Company any money or U.S. Government Obligations held by it as provided in Section 9.03(a) which, in the opinion of a nationally recognized firm of independent public accountants expressed in a written certification thereof delivered to the Trustee or other agent, are in excess of the amount thereof which would then be required to be deposited to effect an equivalent Legal Defeasance or Covenant Defeasance.</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9.05. Reinstatement.</w:t>
      </w:r>
    </w:p>
    <w:p>
      <w:pPr>
        <w:spacing w:after="0" w:line="208" w:lineRule="exact"/>
        <w:rPr>
          <w:sz w:val="20"/>
          <w:szCs w:val="20"/>
          <w:color w:val="auto"/>
        </w:rPr>
      </w:pPr>
    </w:p>
    <w:p>
      <w:pPr>
        <w:ind w:right="20" w:firstLine="585"/>
        <w:spacing w:after="0" w:line="261" w:lineRule="auto"/>
        <w:rPr>
          <w:sz w:val="20"/>
          <w:szCs w:val="20"/>
          <w:color w:val="auto"/>
        </w:rPr>
      </w:pPr>
      <w:r>
        <w:rPr>
          <w:rFonts w:ascii="Times New Roman" w:cs="Times New Roman" w:eastAsia="Times New Roman" w:hAnsi="Times New Roman"/>
          <w:sz w:val="16"/>
          <w:szCs w:val="16"/>
          <w:color w:val="auto"/>
        </w:rPr>
        <w:t xml:space="preserve">If the Trustee or Paying Agent is unable to apply any money or U.S. Government Obligations in accordance with Section 9.02 by reason of any legal proceeding or by reason of any order or judgment of any court or U.S. Governmental Authority enjoining, restraining or otherwise prohibiting such application, the Company’s obligations under this Indenture and the applicable Securities shall be revived and reinstated as though no deposit had occurred pursuant to this Article IX until such time as the Trustee or Paying Agent is permitted to apply all such money or U.S. Government Obligations in accordance with Section 9.02;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Company has made any payment of principal of, premium, if any, or accrued interest on any Securities because of the reinstatement of its obligations, the Company shall be subrogated to the rights of the Holders of such Securities to receive such payment from the money or U.S. Government Obligations held by the Trustee or Paying Agent.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9.06. Moneys Held by Paying Agent.</w:t>
      </w:r>
    </w:p>
    <w:p>
      <w:pPr>
        <w:spacing w:after="0" w:line="208" w:lineRule="exact"/>
        <w:rPr>
          <w:sz w:val="20"/>
          <w:szCs w:val="20"/>
          <w:color w:val="auto"/>
        </w:rPr>
      </w:pPr>
    </w:p>
    <w:p>
      <w:pPr>
        <w:ind w:right="300" w:firstLine="585"/>
        <w:spacing w:after="0" w:line="271" w:lineRule="auto"/>
        <w:rPr>
          <w:sz w:val="20"/>
          <w:szCs w:val="20"/>
          <w:color w:val="auto"/>
        </w:rPr>
      </w:pPr>
      <w:r>
        <w:rPr>
          <w:rFonts w:ascii="Times New Roman" w:cs="Times New Roman" w:eastAsia="Times New Roman" w:hAnsi="Times New Roman"/>
          <w:sz w:val="16"/>
          <w:szCs w:val="16"/>
          <w:color w:val="auto"/>
        </w:rPr>
        <w:t>In connection with the satisfaction and discharge of this Indenture, all moneys then held by any Paying Agent under the provisions of this Indenture shall, upon written demand of the Company, be paid to the Trustee, or if sufficient moneys have been deposited pursuant to Section 9.03(a), to the Company upon a request of the Company, and thereupon the Paying Agent shall be released from all further liability with respect to such moneys.</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9.07. Moneys Held by Trustee.</w:t>
      </w:r>
    </w:p>
    <w:p>
      <w:pPr>
        <w:spacing w:after="0" w:line="208" w:lineRule="exact"/>
        <w:rPr>
          <w:sz w:val="20"/>
          <w:szCs w:val="20"/>
          <w:color w:val="auto"/>
        </w:rPr>
      </w:pPr>
    </w:p>
    <w:p>
      <w:pPr>
        <w:ind w:right="40" w:firstLine="585"/>
        <w:spacing w:after="0" w:line="257" w:lineRule="auto"/>
        <w:rPr>
          <w:sz w:val="20"/>
          <w:szCs w:val="20"/>
          <w:color w:val="auto"/>
        </w:rPr>
      </w:pPr>
      <w:r>
        <w:rPr>
          <w:rFonts w:ascii="Times New Roman" w:cs="Times New Roman" w:eastAsia="Times New Roman" w:hAnsi="Times New Roman"/>
          <w:sz w:val="16"/>
          <w:szCs w:val="16"/>
          <w:color w:val="auto"/>
        </w:rPr>
        <w:t xml:space="preserve">Any moneys deposited with the Trustee or any Paying Agent or then held by the Company in trust for the payment of the principal of, or premium, if any, or interest on any Security that are not applied but remain unclaimed by the Holder of such Security for two years after the date upon which the principal of, or premium, if any, or interest on such Security shall have respectively become due and payable shall be repaid to the Company upon a request of the Company, or if such moneys are then held by the Company in trust, such moneys shall be released from such trust; and the Holder of such Security entitled to receive such payment shall thereafter, as an unsecured general creditor, look only to the Company for the payment thereof, and all liability of the Trustee or the Paying Agent with respect to such trust money shall thereupon cease;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Trustee or the Paying Agent, before being required to make any such repayment, may, at the expense of the Company either transmit to each Holder affected, at the address shown in the register of the Securities maintained by the Registrar pursuant to Section 2.05, or cause to be published once a week for two successive weeks, in a newspaper published in the English language, customarily published each Business Day and of general circulation in the City of New York, New York, a notice that such money remains unclaimed and that, after a date specified therein, which shall not be less than 30 days from the date of such transmission or publication, any unclaimed balance of such moneys then remaining will be repaid to the Company. Any money deposited with the Trustee or any Paying Agent, or then held by the Company in trust for the payment of the principal of, or premium, if any, or interest on any Security shall not be subject to claims of the holders of Senior Indebtedness under Section 10.9 or Article XIII. After payment to the Company or the release of any money held in trust by the Company, Holders entitled to the money must look only to the Company for payment as general creditors unless applicable abandoned property law designates another Person.</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ind w:left="580"/>
        <w:spacing w:after="0"/>
        <w:rPr>
          <w:sz w:val="20"/>
          <w:szCs w:val="20"/>
          <w:color w:val="auto"/>
        </w:rPr>
      </w:pPr>
      <w:r>
        <w:rPr>
          <w:rFonts w:ascii="Times New Roman" w:cs="Times New Roman" w:eastAsia="Times New Roman" w:hAnsi="Times New Roman"/>
          <w:sz w:val="16"/>
          <w:szCs w:val="16"/>
          <w:i w:val="1"/>
          <w:iCs w:val="1"/>
          <w:color w:val="auto"/>
        </w:rPr>
        <w:t>Section 9.08. Deposits of Non-U.S. Currencies.</w:t>
      </w:r>
    </w:p>
    <w:p>
      <w:pPr>
        <w:spacing w:after="0" w:line="208" w:lineRule="exact"/>
        <w:rPr>
          <w:sz w:val="20"/>
          <w:szCs w:val="20"/>
          <w:color w:val="auto"/>
        </w:rPr>
      </w:pPr>
    </w:p>
    <w:p>
      <w:pPr>
        <w:ind w:right="220" w:firstLine="585"/>
        <w:spacing w:after="0" w:line="271" w:lineRule="auto"/>
        <w:rPr>
          <w:sz w:val="20"/>
          <w:szCs w:val="20"/>
          <w:color w:val="auto"/>
        </w:rPr>
      </w:pPr>
      <w:r>
        <w:rPr>
          <w:rFonts w:ascii="Times New Roman" w:cs="Times New Roman" w:eastAsia="Times New Roman" w:hAnsi="Times New Roman"/>
          <w:sz w:val="16"/>
          <w:szCs w:val="16"/>
          <w:color w:val="auto"/>
        </w:rPr>
        <w:t>Notwithstanding the foregoing provisions of this Article IX, if the Securities of any series are payable in a Currency other than U.S. Dollars, the Currency or the nature of the government obligations to be deposited with the Trustee under the foregoing provisions of this Article IX shall be as set forth in the Company Order or established in the supplemental indenture under which the Securities of such series are issued.</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GUARANTEES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10.01. Guarantees.</w:t>
      </w:r>
    </w:p>
    <w:p>
      <w:pPr>
        <w:spacing w:after="0" w:line="208" w:lineRule="exact"/>
        <w:rPr>
          <w:sz w:val="20"/>
          <w:szCs w:val="20"/>
          <w:color w:val="auto"/>
        </w:rPr>
      </w:pPr>
    </w:p>
    <w:p>
      <w:pPr>
        <w:jc w:val="both"/>
        <w:ind w:right="40" w:firstLine="582"/>
        <w:spacing w:after="0" w:line="265" w:lineRule="auto"/>
        <w:tabs>
          <w:tab w:leader="none" w:pos="846"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contemplated by Section 2.02 with respect to any series of Securities, if any series of Securities is issued with the benefit of Guarantees, then the provisions of this Article X will be applicable to such Securities. Each reference in this Article X to a “Security” or the “Securities” refers to the Securities of the particular series as to which provision has been made for such Guarantees. If more than one series of Securities as to which such provision has been made are outstanding at any time, the provisions of this Article X shall be applied separately to each series.</w:t>
      </w:r>
    </w:p>
    <w:p>
      <w:pPr>
        <w:spacing w:after="0" w:line="161" w:lineRule="exact"/>
        <w:rPr>
          <w:rFonts w:ascii="Times New Roman" w:cs="Times New Roman" w:eastAsia="Times New Roman" w:hAnsi="Times New Roman"/>
          <w:sz w:val="16"/>
          <w:szCs w:val="16"/>
          <w:color w:val="auto"/>
        </w:rPr>
      </w:pPr>
    </w:p>
    <w:p>
      <w:pPr>
        <w:ind w:right="20" w:firstLine="582"/>
        <w:spacing w:after="0" w:line="259" w:lineRule="auto"/>
        <w:tabs>
          <w:tab w:leader="none" w:pos="855"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Guarantor, hereby jointly and severally, absolutely, unconditionally and irrevocably guarantees the Securities and obligations of the Company hereunder and thereunder, and guarantees to each Holder of a Security authenticated and delivered by the Trustee, and to the Trustee on behalf of such Holder, that (i) the principal of (and premium, if any) and interest on the Securities will be paid in full when due, whether at Stated Maturity, by acceleration or otherwise (including, without limitation, the amount that would become due but for the operation of any automatic stay provision of any Bankruptcy Law), together with interest on the overdue principal, if any, and interest on any overdue interest, to the extent lawful, and all other obligations of the Company to the Holders or the Trustee hereunder or thereunder will be paid in full or performed, all in accordance with the terms hereof and thereof; and (ii) in case of any extension of time of payment or renewal of any Securities or of any such other obligations, the same will be paid in full when due or performed in accordance with the terms of the extension or renewal, whether at Stated Maturity, by acceleration or otherwise, subject, however, in the case of clauses (i) and (ii) above, to the limitations set forth in Section 10.03.</w:t>
      </w:r>
    </w:p>
    <w:p>
      <w:pPr>
        <w:spacing w:after="0" w:line="165" w:lineRule="exact"/>
        <w:rPr>
          <w:sz w:val="20"/>
          <w:szCs w:val="20"/>
          <w:color w:val="auto"/>
        </w:rPr>
      </w:pPr>
    </w:p>
    <w:p>
      <w:pPr>
        <w:jc w:val="both"/>
        <w:ind w:right="80" w:firstLine="585"/>
        <w:spacing w:after="0" w:line="265" w:lineRule="auto"/>
        <w:rPr>
          <w:sz w:val="20"/>
          <w:szCs w:val="20"/>
          <w:color w:val="auto"/>
        </w:rPr>
      </w:pPr>
      <w:r>
        <w:rPr>
          <w:rFonts w:ascii="Times New Roman" w:cs="Times New Roman" w:eastAsia="Times New Roman" w:hAnsi="Times New Roman"/>
          <w:sz w:val="16"/>
          <w:szCs w:val="16"/>
          <w:color w:val="auto"/>
        </w:rPr>
        <w:t>Each Guarantor hereby agrees that its obligations hereunder shall be unconditional, irrespective of the validity, regularity or enforceability of the Securities or this Indenture, the absence of any action to enforce the same, any waiver or consent by any Holder of Securities with respect to any provisions hereof or thereof, any release of any other Guarantor, the recovery of any judgment against the Company, any action to enforce the same or any other circumstance which might otherwise constitute a legal or equitable discharge or defense of a Guarantor.</w:t>
      </w:r>
    </w:p>
    <w:p>
      <w:pPr>
        <w:spacing w:after="0" w:line="162" w:lineRule="exact"/>
        <w:rPr>
          <w:sz w:val="20"/>
          <w:szCs w:val="20"/>
          <w:color w:val="auto"/>
        </w:rPr>
      </w:pPr>
    </w:p>
    <w:p>
      <w:pPr>
        <w:ind w:firstLine="582"/>
        <w:spacing w:after="0" w:line="257" w:lineRule="auto"/>
        <w:tabs>
          <w:tab w:leader="none" w:pos="846"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Guarantor hereby waives (to the extent permitted by law) the benefits of diligence, presentment, demand for payment, filing of claims with a court in the event of insolvency or bankruptcy of the Company, any right to require a proceeding first against the Company or any other Person, protest, notice and all demands whatsoever and covenants that the Guarantee of such Guarantor shall not be discharged as to any series of Securities, as the case may be, except by complete performance of the obligations contained in such Securities, this Indenture and such Guarantee. Each Guarantor acknowledges that the Guarantee is a guarantee of payment and not of collection. Each of the Guarantors hereby agrees that, in the event of a default in payment of principal (or premium, if any) or interest on such Security, whether at its Stated Maturity, by acceleration, purchase or otherwise, legal proceedings may be instituted by the Trustee on behalf of, or by, the Holder of such Security, subject to the terms and conditions set forth in this Indenture, directly against each of the Guarantors to enforce such Guarantor’s Guarantee without first proceeding against the Company or any other Guarantor. Each Guarantor agrees that if, after the occurrence and during the continuance of an Event of Default, the Trustee or any of the Holders are prevented by applicable law from exercising their respective rights to accelerate the maturity of the Securities, to collect interest on the Securities, or to enforce or exercise any other right or remedy with respect to the Securities, such Guarantor will pay to the Trustee for the account of the Holders, upon demand therefor, the amount that would otherwise have been due and payable had such rights and remedies been permitted to be exercised by the Trustee or any of the Holders.</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6" w:name="page167"/>
    <w:bookmarkEnd w:id="166"/>
    <w:p>
      <w:pPr>
        <w:ind w:right="100" w:firstLine="582"/>
        <w:spacing w:after="0" w:line="259" w:lineRule="auto"/>
        <w:tabs>
          <w:tab w:leader="none" w:pos="855"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Holder or the Trustee is required by any court or otherwise to return to the Company or any Guarantor, or any custodian, trustee, liquidator or other similar official acting in relation to either the Company or any Guarantor, any amount paid by any of them to the Trustee or such Holder, the Guarantee of each of the Guarantors, to the extent theretofore discharged, shall be reinstated in full force and effect. Each Guarantor further agrees that, as between each Guarantor, on the one hand, and the Holders and the Trustee, on the other hand, (x) subject to this Article X, the maturity of the obligations guaranteed hereby may be accelerated as provided in Article VI for the purposes of the Guarantee of such Guarantor, notwithstanding any stay, injunction or other prohibition preventing such acceleration in respect of the obligations guaranteed hereby, and (y) in the event of any acceleration of such obligations as provided in Article VI, such obligations (whether or not due and payable) shall forthwith become due and payable by each Guarantor for the purpose of the Guarantee of such Guarantor.</w:t>
      </w:r>
    </w:p>
    <w:p>
      <w:pPr>
        <w:spacing w:after="0" w:line="169" w:lineRule="exact"/>
        <w:rPr>
          <w:rFonts w:ascii="Times New Roman" w:cs="Times New Roman" w:eastAsia="Times New Roman" w:hAnsi="Times New Roman"/>
          <w:sz w:val="16"/>
          <w:szCs w:val="16"/>
          <w:color w:val="auto"/>
        </w:rPr>
      </w:pPr>
    </w:p>
    <w:p>
      <w:pPr>
        <w:ind w:firstLine="582"/>
        <w:spacing w:after="0" w:line="259" w:lineRule="auto"/>
        <w:tabs>
          <w:tab w:leader="none" w:pos="846"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significant part of the Company’s assets, and shall, to the fullest extent permitted by law, continue to be effective or be reinstated, as the case may be, if at any time payment and performance of the Securities are, pursuant to applicable law, rescinded or reduced in amount, or must otherwise be restored or returned by any obligee on the Securities, whether as a “voidable preference,” “fraudulent transfer” or otherwise, all as though such payment or performance had not been made. In the event that any payment, or any part thereof, is rescinded, reduced, restored or returned, the Securities shall, to the fullest extent permitted by law, be reinstated and deemed reduced only by such amount paid and not so rescinded, reduced, restored or returned.</w:t>
      </w:r>
    </w:p>
    <w:p>
      <w:pPr>
        <w:spacing w:after="0" w:line="169" w:lineRule="exact"/>
        <w:rPr>
          <w:rFonts w:ascii="Times New Roman" w:cs="Times New Roman" w:eastAsia="Times New Roman" w:hAnsi="Times New Roman"/>
          <w:sz w:val="16"/>
          <w:szCs w:val="16"/>
          <w:color w:val="auto"/>
        </w:rPr>
      </w:pPr>
    </w:p>
    <w:p>
      <w:pPr>
        <w:ind w:right="20" w:firstLine="582"/>
        <w:spacing w:after="0" w:line="261" w:lineRule="auto"/>
        <w:tabs>
          <w:tab w:leader="none" w:pos="828"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evidence its Guarantee, each Guarantor hereby agrees that a Notation of Guarantee will be endorsed by an Officer of such Guarantor on each Security authenticated and delivered to the Trustee and that this Indenture or a supplemental indenture to this Indenture will be executed on behalf of such Guarantor by one of its Officers. Each Guarantor hereby agrees that its Guarantee will remain in full force and effect notwithstanding any failure to endorse on each Security a Notation of Guarantee. The delivery of any Security by the Trustee, after the authentication thereof hereunder, will be deemed to constitute due delivery of the Notation of Guarantee set forth in this Indenture by the Guarantors. If an Officer whose signature is on this Indenture or on the Notation of Guarantee no longer holds that office at the time the Trustee authenticates the Security on which a Notation of Guarantee is endorsed, the Notation of Guarantee will be valid nevertheless.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10.02. Severability.</w:t>
      </w:r>
    </w:p>
    <w:p>
      <w:pPr>
        <w:spacing w:after="0" w:line="208" w:lineRule="exact"/>
        <w:rPr>
          <w:sz w:val="20"/>
          <w:szCs w:val="20"/>
          <w:color w:val="auto"/>
        </w:rPr>
      </w:pPr>
    </w:p>
    <w:p>
      <w:pPr>
        <w:ind w:right="260" w:firstLine="585"/>
        <w:spacing w:after="0" w:line="288" w:lineRule="auto"/>
        <w:rPr>
          <w:sz w:val="20"/>
          <w:szCs w:val="20"/>
          <w:color w:val="auto"/>
        </w:rPr>
      </w:pPr>
      <w:r>
        <w:rPr>
          <w:rFonts w:ascii="Times New Roman" w:cs="Times New Roman" w:eastAsia="Times New Roman" w:hAnsi="Times New Roman"/>
          <w:sz w:val="16"/>
          <w:szCs w:val="16"/>
          <w:color w:val="auto"/>
        </w:rPr>
        <w:t>In case any provision of any Guarantee shall be invalid, illegal or unenforceable, the validity, legality, and enforceability of the remaining provisions shall not in any way be affected or impaired thereby.</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10.03. Limitation of Liability.</w:t>
      </w:r>
    </w:p>
    <w:p>
      <w:pPr>
        <w:spacing w:after="0" w:line="208" w:lineRule="exact"/>
        <w:rPr>
          <w:sz w:val="20"/>
          <w:szCs w:val="20"/>
          <w:color w:val="auto"/>
        </w:rPr>
      </w:pPr>
    </w:p>
    <w:p>
      <w:pPr>
        <w:ind w:right="20" w:firstLine="585"/>
        <w:spacing w:after="0" w:line="259" w:lineRule="auto"/>
        <w:rPr>
          <w:sz w:val="20"/>
          <w:szCs w:val="20"/>
          <w:color w:val="auto"/>
        </w:rPr>
      </w:pPr>
      <w:r>
        <w:rPr>
          <w:rFonts w:ascii="Times New Roman" w:cs="Times New Roman" w:eastAsia="Times New Roman" w:hAnsi="Times New Roman"/>
          <w:sz w:val="16"/>
          <w:szCs w:val="16"/>
          <w:color w:val="auto"/>
        </w:rPr>
        <w:t>Each Guarantor and by its acceptance hereof each Holder confirms that it is the intention of all such parties that the guarantee by each such Guarantor pursuant to its Guarantee not constitute a fraudulent transfer or conveyance for purposes of the Bankruptcy Law, the Uniform Fraudulent Conveyance Act, the Uniform Fraudulent Transfer Act or any similar federal or state law or the provisions of its local law relating to fraudulent transfer or conveyance. To effectuate the foregoing intention, the Holders and each such Guarantor hereby irrevocably agree that the obligations of such Guarantor under its Guarantee shall be limited to the maximum amount that will not, after giving effect to all other contingent and fixed liabilities of such Guarantor and after giving effect to any collections from or payments made by or on behalf of any other Guarantor in respect of the obligations of such other Guarantor under its Guarantee or pursuant to this Article X, result in the obligations of such Guarantor under its Guarantee constituting such fraudulent transfer or conveyance.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67" w:name="page168"/>
    <w:bookmarkEnd w:id="167"/>
    <w:p>
      <w:pPr>
        <w:ind w:left="580"/>
        <w:spacing w:after="0"/>
        <w:rPr>
          <w:sz w:val="20"/>
          <w:szCs w:val="20"/>
          <w:color w:val="auto"/>
        </w:rPr>
      </w:pPr>
      <w:r>
        <w:rPr>
          <w:rFonts w:ascii="Times New Roman" w:cs="Times New Roman" w:eastAsia="Times New Roman" w:hAnsi="Times New Roman"/>
          <w:sz w:val="16"/>
          <w:szCs w:val="16"/>
          <w:i w:val="1"/>
          <w:iCs w:val="1"/>
          <w:color w:val="auto"/>
        </w:rPr>
        <w:t>Section 10.04. Contribution.</w:t>
      </w:r>
    </w:p>
    <w:p>
      <w:pPr>
        <w:spacing w:after="0" w:line="206" w:lineRule="exact"/>
        <w:rPr>
          <w:sz w:val="20"/>
          <w:szCs w:val="20"/>
          <w:color w:val="auto"/>
        </w:rPr>
      </w:pPr>
    </w:p>
    <w:p>
      <w:pPr>
        <w:jc w:val="both"/>
        <w:ind w:firstLine="585"/>
        <w:spacing w:after="0" w:line="272" w:lineRule="auto"/>
        <w:rPr>
          <w:sz w:val="20"/>
          <w:szCs w:val="20"/>
          <w:color w:val="auto"/>
        </w:rPr>
      </w:pPr>
      <w:r>
        <w:rPr>
          <w:rFonts w:ascii="Times New Roman" w:cs="Times New Roman" w:eastAsia="Times New Roman" w:hAnsi="Times New Roman"/>
          <w:sz w:val="16"/>
          <w:szCs w:val="16"/>
          <w:color w:val="auto"/>
        </w:rPr>
        <w:t xml:space="preserve">In order to provide for just and equitable contribution among the Guarantors, the Guarantors agree, </w:t>
      </w:r>
      <w:r>
        <w:rPr>
          <w:rFonts w:ascii="Times New Roman" w:cs="Times New Roman" w:eastAsia="Times New Roman" w:hAnsi="Times New Roman"/>
          <w:sz w:val="16"/>
          <w:szCs w:val="16"/>
          <w:i w:val="1"/>
          <w:iCs w:val="1"/>
          <w:color w:val="auto"/>
        </w:rPr>
        <w:t>inter se</w:t>
      </w:r>
      <w:r>
        <w:rPr>
          <w:rFonts w:ascii="Times New Roman" w:cs="Times New Roman" w:eastAsia="Times New Roman" w:hAnsi="Times New Roman"/>
          <w:sz w:val="16"/>
          <w:szCs w:val="16"/>
          <w:color w:val="auto"/>
        </w:rPr>
        <w:t xml:space="preserve">, that in the event any payment or distribution is made by any Guarantor under a Guarantee, such Guarantor will be entitled to a contribution from any other Guarantor in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amount based on the net assets of each Guarantor determined in accordance with GAAP.</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10.05. Subrogation.</w:t>
      </w:r>
    </w:p>
    <w:p>
      <w:pPr>
        <w:spacing w:after="0" w:line="208" w:lineRule="exact"/>
        <w:rPr>
          <w:sz w:val="20"/>
          <w:szCs w:val="20"/>
          <w:color w:val="auto"/>
        </w:rPr>
      </w:pPr>
    </w:p>
    <w:p>
      <w:pPr>
        <w:ind w:right="200" w:firstLine="585"/>
        <w:spacing w:after="0" w:line="271" w:lineRule="auto"/>
        <w:rPr>
          <w:sz w:val="20"/>
          <w:szCs w:val="20"/>
          <w:color w:val="auto"/>
        </w:rPr>
      </w:pPr>
      <w:r>
        <w:rPr>
          <w:rFonts w:ascii="Times New Roman" w:cs="Times New Roman" w:eastAsia="Times New Roman" w:hAnsi="Times New Roman"/>
          <w:sz w:val="16"/>
          <w:szCs w:val="16"/>
          <w:color w:val="auto"/>
        </w:rPr>
        <w:t xml:space="preserve">Each Guarantor shall be subrogated to all rights of Holders against the Company in respect of any amounts paid by any Guarantor pursuant to the provisions of Section 10.01;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an Event of Default has occurred and is continuing, no Guarantor shall be entitled to enforce or receive any payments arising out of, or based upon, such right of subrogation until all amounts then due and payable by the Company under this Indenture or the Securities shall have been paid in full.</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10.06. Reinstatement.</w:t>
      </w:r>
    </w:p>
    <w:p>
      <w:pPr>
        <w:spacing w:after="0" w:line="208" w:lineRule="exact"/>
        <w:rPr>
          <w:sz w:val="20"/>
          <w:szCs w:val="20"/>
          <w:color w:val="auto"/>
        </w:rPr>
      </w:pPr>
    </w:p>
    <w:p>
      <w:pPr>
        <w:ind w:right="40" w:firstLine="585"/>
        <w:spacing w:after="0" w:line="271" w:lineRule="auto"/>
        <w:rPr>
          <w:sz w:val="20"/>
          <w:szCs w:val="20"/>
          <w:color w:val="auto"/>
        </w:rPr>
      </w:pPr>
      <w:r>
        <w:rPr>
          <w:rFonts w:ascii="Times New Roman" w:cs="Times New Roman" w:eastAsia="Times New Roman" w:hAnsi="Times New Roman"/>
          <w:sz w:val="16"/>
          <w:szCs w:val="16"/>
          <w:color w:val="auto"/>
        </w:rPr>
        <w:t>Each Guarantor hereby agrees (and each Person who becomes a Guarantor shall agree) that the Guarantee provided for in Section 10.01 shall continue to be effective or be reinstated, as the case may be, if at any time, payment, or any part thereof, of any obligations or interest thereon is rescinded or must otherwise be restored by a Holder to the Company upon the bankruptcy or insolvency of the Company or any Guarantor.</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10.07. Release of a Guarantor.</w:t>
      </w:r>
    </w:p>
    <w:p>
      <w:pPr>
        <w:spacing w:after="0" w:line="208" w:lineRule="exact"/>
        <w:rPr>
          <w:sz w:val="20"/>
          <w:szCs w:val="20"/>
          <w:color w:val="auto"/>
        </w:rPr>
      </w:pPr>
    </w:p>
    <w:p>
      <w:pPr>
        <w:ind w:right="120" w:firstLine="585"/>
        <w:spacing w:after="0" w:line="288" w:lineRule="auto"/>
        <w:rPr>
          <w:sz w:val="20"/>
          <w:szCs w:val="20"/>
          <w:color w:val="auto"/>
        </w:rPr>
      </w:pPr>
      <w:r>
        <w:rPr>
          <w:rFonts w:ascii="Times New Roman" w:cs="Times New Roman" w:eastAsia="Times New Roman" w:hAnsi="Times New Roman"/>
          <w:sz w:val="16"/>
          <w:szCs w:val="16"/>
          <w:color w:val="auto"/>
        </w:rPr>
        <w:t>Any Guarantee issued by any Guarantor under this Indenture shall be automatically and unconditionally terminated and released, without any action on the part of the Trustee, any Holder of the Securities or any other person, upon:</w:t>
      </w:r>
    </w:p>
    <w:p>
      <w:pPr>
        <w:spacing w:after="0" w:line="143" w:lineRule="exact"/>
        <w:rPr>
          <w:sz w:val="20"/>
          <w:szCs w:val="20"/>
          <w:color w:val="auto"/>
        </w:rPr>
      </w:pPr>
    </w:p>
    <w:p>
      <w:pPr>
        <w:ind w:left="1440" w:hanging="273"/>
        <w:spacing w:after="0"/>
        <w:tabs>
          <w:tab w:leader="none" w:pos="144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sale or disposition of such Guarantor in a transaction that complies with this Indenture such that such Guarantor ceases to be a Subsidiary of the</w:t>
      </w:r>
    </w:p>
    <w:p>
      <w:pPr>
        <w:spacing w:after="0" w:line="2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w:t>
      </w:r>
    </w:p>
    <w:p>
      <w:pPr>
        <w:spacing w:after="0" w:line="189" w:lineRule="exact"/>
        <w:rPr>
          <w:rFonts w:ascii="Times New Roman" w:cs="Times New Roman" w:eastAsia="Times New Roman" w:hAnsi="Times New Roman"/>
          <w:sz w:val="16"/>
          <w:szCs w:val="16"/>
          <w:color w:val="auto"/>
        </w:rPr>
      </w:pPr>
    </w:p>
    <w:p>
      <w:pPr>
        <w:ind w:left="580" w:right="40" w:firstLine="587"/>
        <w:spacing w:after="0" w:line="271" w:lineRule="auto"/>
        <w:tabs>
          <w:tab w:leader="none" w:pos="1435"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series of Securities, if the Company exercises its Legal Defeasance option or its Covenant Defeasance option with respect to such series of Securities or if the Company’s obligations under this Indenture are discharged with respect to such series of Securities in accordance with the terms of this Indenture;</w:t>
      </w:r>
    </w:p>
    <w:p>
      <w:pPr>
        <w:spacing w:after="0" w:line="156" w:lineRule="exact"/>
        <w:rPr>
          <w:rFonts w:ascii="Times New Roman" w:cs="Times New Roman" w:eastAsia="Times New Roman" w:hAnsi="Times New Roman"/>
          <w:sz w:val="16"/>
          <w:szCs w:val="16"/>
          <w:color w:val="auto"/>
        </w:rPr>
      </w:pPr>
    </w:p>
    <w:p>
      <w:pPr>
        <w:jc w:val="both"/>
        <w:ind w:left="580" w:right="60" w:firstLine="587"/>
        <w:spacing w:after="0" w:line="288" w:lineRule="auto"/>
        <w:tabs>
          <w:tab w:leader="none" w:pos="1435"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such Guarantor no longer being an issuer or guarantor in respect of (i) Mylan Notes that have an aggregate principal amount in excess of $500.0 million or (ii) any Triggering Indebtedness, in each case, other than in respect of Indebtedness or Guarantees, as applicable, that are being concurrently released; or</w:t>
      </w:r>
    </w:p>
    <w:p>
      <w:pPr>
        <w:spacing w:after="0" w:line="143" w:lineRule="exact"/>
        <w:rPr>
          <w:rFonts w:ascii="Times New Roman" w:cs="Times New Roman" w:eastAsia="Times New Roman" w:hAnsi="Times New Roman"/>
          <w:sz w:val="16"/>
          <w:szCs w:val="16"/>
          <w:color w:val="auto"/>
        </w:rPr>
      </w:pPr>
    </w:p>
    <w:p>
      <w:pPr>
        <w:ind w:left="580" w:right="180" w:firstLine="587"/>
        <w:spacing w:after="0" w:line="288" w:lineRule="auto"/>
        <w:tabs>
          <w:tab w:leader="none" w:pos="1435"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series of Securities, upon receipt of the consent of the Holders of a majority of the aggregate principal amount of the outstanding Securities of such series in accordance with Section 8.02.</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10.08. Benefits Acknowledged.</w:t>
      </w:r>
    </w:p>
    <w:p>
      <w:pPr>
        <w:spacing w:after="0" w:line="208" w:lineRule="exact"/>
        <w:rPr>
          <w:sz w:val="20"/>
          <w:szCs w:val="20"/>
          <w:color w:val="auto"/>
        </w:rPr>
      </w:pPr>
    </w:p>
    <w:p>
      <w:pPr>
        <w:ind w:right="20" w:firstLine="585"/>
        <w:spacing w:after="0" w:line="288" w:lineRule="auto"/>
        <w:rPr>
          <w:sz w:val="20"/>
          <w:szCs w:val="20"/>
          <w:color w:val="auto"/>
        </w:rPr>
      </w:pPr>
      <w:r>
        <w:rPr>
          <w:rFonts w:ascii="Times New Roman" w:cs="Times New Roman" w:eastAsia="Times New Roman" w:hAnsi="Times New Roman"/>
          <w:sz w:val="16"/>
          <w:szCs w:val="16"/>
          <w:color w:val="auto"/>
        </w:rPr>
        <w:t>Each Guarantor acknowledges that it will receive direct and indirect benefits from the financing arrangements contemplated by this Indenture and that its respective Guarantee is knowingly made in contemplation of such benefits.</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10.09. Subordination of Guarantees.</w:t>
      </w:r>
    </w:p>
    <w:p>
      <w:pPr>
        <w:spacing w:after="0" w:line="208" w:lineRule="exact"/>
        <w:rPr>
          <w:sz w:val="20"/>
          <w:szCs w:val="20"/>
          <w:color w:val="auto"/>
        </w:rPr>
      </w:pPr>
    </w:p>
    <w:p>
      <w:pPr>
        <w:ind w:firstLine="585"/>
        <w:spacing w:after="0" w:line="261" w:lineRule="auto"/>
        <w:rPr>
          <w:sz w:val="20"/>
          <w:szCs w:val="20"/>
          <w:color w:val="auto"/>
        </w:rPr>
      </w:pPr>
      <w:r>
        <w:rPr>
          <w:rFonts w:ascii="Times New Roman" w:cs="Times New Roman" w:eastAsia="Times New Roman" w:hAnsi="Times New Roman"/>
          <w:sz w:val="16"/>
          <w:szCs w:val="16"/>
          <w:color w:val="auto"/>
        </w:rPr>
        <w:t>The obligations of each Guarantor under its Guarantee of a series of Securities pursuant to this Article X will be junior and subordinated to the Senior Indebtedness of such Guarantor on the same basis as the Securities of such series are junior and subordinated to Senior Indebtedness of the Company. For the purposes of the foregoing sentence, the Trustee and the Holders will have the right to receive and/or retain payments by each Guarantor only at such times as they may receive and/or retain payments in respect of the Securities of such series pursuant to this Indenture, including Article XIII. Unless otherwise provided with respect to the Guarantee of any series of Securities pursuant to the Company Order or supplemental indenture establishing such series of Securities pursuant to Section 2.02, the provisions of this Section 10.09 shall be applicable to the Guarantee of each series of Securities.</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jc w:val="center"/>
        <w:ind w:right="-39"/>
        <w:spacing w:after="0"/>
        <w:rPr>
          <w:sz w:val="20"/>
          <w:szCs w:val="20"/>
          <w:color w:val="auto"/>
        </w:rPr>
      </w:pPr>
      <w:r>
        <w:rPr>
          <w:rFonts w:ascii="Times New Roman" w:cs="Times New Roman" w:eastAsia="Times New Roman" w:hAnsi="Times New Roman"/>
          <w:sz w:val="16"/>
          <w:szCs w:val="16"/>
          <w:color w:val="auto"/>
        </w:rPr>
        <w:t>ARTICLE XI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SINKING FUNDS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11.01. Applicability of Sinking Fund.</w:t>
      </w:r>
    </w:p>
    <w:p>
      <w:pPr>
        <w:spacing w:after="0" w:line="208" w:lineRule="exact"/>
        <w:rPr>
          <w:sz w:val="20"/>
          <w:szCs w:val="20"/>
          <w:color w:val="auto"/>
        </w:rPr>
      </w:pPr>
    </w:p>
    <w:p>
      <w:pPr>
        <w:ind w:right="60" w:firstLine="582"/>
        <w:spacing w:after="0" w:line="271" w:lineRule="auto"/>
        <w:tabs>
          <w:tab w:leader="none" w:pos="846"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contemplated by Section 2.02 with respect to any series of Securities, redemption of Securities permitted or required pursuant to a sinking fund for the retirement of Securities of a series by the terms of such series of Securities shall be made in accordance with such terms of such series of Securities and this Article XI.</w:t>
      </w:r>
    </w:p>
    <w:p>
      <w:pPr>
        <w:spacing w:after="0" w:line="154" w:lineRule="exact"/>
        <w:rPr>
          <w:rFonts w:ascii="Times New Roman" w:cs="Times New Roman" w:eastAsia="Times New Roman" w:hAnsi="Times New Roman"/>
          <w:sz w:val="16"/>
          <w:szCs w:val="16"/>
          <w:color w:val="auto"/>
        </w:rPr>
      </w:pPr>
    </w:p>
    <w:p>
      <w:pPr>
        <w:ind w:right="160" w:firstLine="582"/>
        <w:spacing w:after="0" w:line="266" w:lineRule="auto"/>
        <w:tabs>
          <w:tab w:leader="none" w:pos="933"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minimum amount of any sinking fund payment provided for by the terms of Securities of any series is herein referred to as a “</w:t>
      </w:r>
      <w:r>
        <w:rPr>
          <w:rFonts w:ascii="Times New Roman" w:cs="Times New Roman" w:eastAsia="Times New Roman" w:hAnsi="Times New Roman"/>
          <w:sz w:val="16"/>
          <w:szCs w:val="16"/>
          <w:i w:val="1"/>
          <w:iCs w:val="1"/>
          <w:color w:val="auto"/>
        </w:rPr>
        <w:t>Mandatory Sinking Fund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Payment</w:t>
      </w:r>
      <w:r>
        <w:rPr>
          <w:rFonts w:ascii="Times New Roman" w:cs="Times New Roman" w:eastAsia="Times New Roman" w:hAnsi="Times New Roman"/>
          <w:sz w:val="16"/>
          <w:szCs w:val="16"/>
          <w:color w:val="auto"/>
        </w:rPr>
        <w:t>,” and any payment in excess of such minimum amount provided for by the terms of Securities of any series is herein referred to as an “</w:t>
      </w:r>
      <w:r>
        <w:rPr>
          <w:rFonts w:ascii="Times New Roman" w:cs="Times New Roman" w:eastAsia="Times New Roman" w:hAnsi="Times New Roman"/>
          <w:sz w:val="16"/>
          <w:szCs w:val="16"/>
          <w:i w:val="1"/>
          <w:iCs w:val="1"/>
          <w:color w:val="auto"/>
        </w:rPr>
        <w:t>Optional Sinking Fund Payment</w:t>
      </w:r>
      <w:r>
        <w:rPr>
          <w:rFonts w:ascii="Times New Roman" w:cs="Times New Roman" w:eastAsia="Times New Roman" w:hAnsi="Times New Roman"/>
          <w:sz w:val="16"/>
          <w:szCs w:val="16"/>
          <w:color w:val="auto"/>
        </w:rPr>
        <w:t>.” If provided for by the terms of Securities of any series, the cash amount of any Mandatory Sinking Fund Payment may be subject to reduction as provided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Section 11.02.</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11.02. Mandatory Sinking Fund Obligation.</w:t>
      </w:r>
    </w:p>
    <w:p>
      <w:pPr>
        <w:spacing w:after="0" w:line="208" w:lineRule="exact"/>
        <w:rPr>
          <w:sz w:val="20"/>
          <w:szCs w:val="20"/>
          <w:color w:val="auto"/>
        </w:rPr>
      </w:pPr>
    </w:p>
    <w:p>
      <w:pPr>
        <w:ind w:firstLine="585"/>
        <w:spacing w:after="0" w:line="258" w:lineRule="auto"/>
        <w:rPr>
          <w:sz w:val="20"/>
          <w:szCs w:val="20"/>
          <w:color w:val="auto"/>
        </w:rPr>
      </w:pPr>
      <w:r>
        <w:rPr>
          <w:rFonts w:ascii="Times New Roman" w:cs="Times New Roman" w:eastAsia="Times New Roman" w:hAnsi="Times New Roman"/>
          <w:sz w:val="16"/>
          <w:szCs w:val="16"/>
          <w:color w:val="auto"/>
        </w:rPr>
        <w:t>The Company may, at its option, satisfy any Mandatory Sinking Fund Payment obligation, in whole or in part, with respect to a particular series of Securities by (a) delivering to the Trustee Securities of such series in transferable form theretofore purchased or otherwise acquired by the Company or redeemed at the election of the Company pursuant to Section 3.04 or (b) receiving credit for Securities of such series (not previously so credited) acquired by the Company and theretofore delivered to the Trustee. The Trustee shall credit such Mandatory Sinking Fund Payment obligation with an amount equal to the Redemption Price specified in such Securities for redemption through operation of the sinking fund and the amount of such Mandatory Sinking Fund Payment shall be reduced accordingly. If the Company shall elect to so satisfy any Mandatory Sinking Fund Payment obligation, it shall deliver to the Trustee not less than 45 days prior to the relevant sinking fund payment date an Officer’s Certificate, which shall designate the Securities (and portions thereof, if any) so delivered or credited and which shall be accompanied by such Securities (to the extent not theretofore delivered) in transferable form. In case of the failure of the Company, at or before the time so required, to give such notice and deliver such Securities, the Mandatory Sinking Fund Payment obligation shall be paid entirely in moneys.</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11.03. Optional Redemption at Sinking Fund Redemption Price.</w:t>
      </w:r>
    </w:p>
    <w:p>
      <w:pPr>
        <w:spacing w:after="0" w:line="208" w:lineRule="exact"/>
        <w:rPr>
          <w:sz w:val="20"/>
          <w:szCs w:val="20"/>
          <w:color w:val="auto"/>
        </w:rPr>
      </w:pPr>
    </w:p>
    <w:p>
      <w:pPr>
        <w:ind w:firstLine="585"/>
        <w:spacing w:after="0" w:line="259" w:lineRule="auto"/>
        <w:rPr>
          <w:sz w:val="20"/>
          <w:szCs w:val="20"/>
          <w:color w:val="auto"/>
        </w:rPr>
      </w:pPr>
      <w:r>
        <w:rPr>
          <w:rFonts w:ascii="Times New Roman" w:cs="Times New Roman" w:eastAsia="Times New Roman" w:hAnsi="Times New Roman"/>
          <w:sz w:val="16"/>
          <w:szCs w:val="16"/>
          <w:color w:val="auto"/>
        </w:rPr>
        <w:t>In addition to the sinking fund requirements of Section 11.02, to the extent, if any, provided for by the terms of a particular series of Securities, the Company may, at its option, make an Optional Sinking Fund Payment with respect to such Securities. Unless otherwise provided by such terms, (a) to the extent that the right of the Company to make such Optional Sinking Fund Payment shall not be exercised in any year, it shall not be cumulative or carried forward to any subsequent year, and (b) such optional payment shall operate to reduce the amount of any Mandatory Sinking Fund Payment obligation as to Securities of the same series. If the Company intends to exercise its right to make such optional payment in any year, it shall deliver to the Trustee not less than 45 days prior to the relevant sinking fund payment date an Officer’s Certificate stating that the Company will exercise such optional right, and specifying the amount which the Company will pay on or before the next succeeding sinking fund payment date. Such Officer’s Certificate shall also state that no Event of Default has occurred and is continuing.</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69" w:name="page170"/>
    <w:bookmarkEnd w:id="169"/>
    <w:p>
      <w:pPr>
        <w:ind w:left="580"/>
        <w:spacing w:after="0"/>
        <w:rPr>
          <w:sz w:val="20"/>
          <w:szCs w:val="20"/>
          <w:color w:val="auto"/>
        </w:rPr>
      </w:pPr>
      <w:r>
        <w:rPr>
          <w:rFonts w:ascii="Times New Roman" w:cs="Times New Roman" w:eastAsia="Times New Roman" w:hAnsi="Times New Roman"/>
          <w:sz w:val="16"/>
          <w:szCs w:val="16"/>
          <w:i w:val="1"/>
          <w:iCs w:val="1"/>
          <w:color w:val="auto"/>
        </w:rPr>
        <w:t>Section 11.04. Application of Sinking Fund Payment.</w:t>
      </w:r>
    </w:p>
    <w:p>
      <w:pPr>
        <w:spacing w:after="0" w:line="208" w:lineRule="exact"/>
        <w:rPr>
          <w:sz w:val="20"/>
          <w:szCs w:val="20"/>
          <w:color w:val="auto"/>
        </w:rPr>
      </w:pPr>
    </w:p>
    <w:p>
      <w:pPr>
        <w:ind w:firstLine="582"/>
        <w:spacing w:after="0" w:line="257" w:lineRule="auto"/>
        <w:tabs>
          <w:tab w:leader="none" w:pos="846"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sinking fund payment or payments made in funds pursuant to either Section 11.02 or 11.03 with respect to a particular series of Securities plus any unused balance of any preceding sinking fund payments made in funds with respect to such series shall exceed $50,000 (or a lesser sum if the Company shall so request, or such equivalent sum for Securities denominated other than in U.S. Dollars), it shall be applied by the Trustee on the sinking fund payment date next following the date of such payment, unless the date of such payment shall be a sinking fund payment date, in which case such payment shall be applied on such sinking fund payment date, to the redemption of Securities of such series at the redemption price specified pursuant to Section 3.04. Upon written direction from the Company (which direction shall confirm the amount to be redeemed), the Trustee shall select, in the manner provided in Section 3.03, for redemption on such sinking fund payment date, a sufficient principal amount of Securities of such series to absorb said funds, as nearly as may be, and shall, at the expense and in the name of the Company, thereupon cause notice of redemption of the Securities to be given in substantially the manner provided in Section 3.04 for the redemption of Securities in part at the option of the Company, except that the notice of redemption shall also state that the Securities are being redeemed for the sinking fund. Any sinking fund moneys not so applied by the Trustee to the redemption of Securities of such series shall be added to the next sinking fund payment received in funds by the Trustee and, together with such payment, shall be applied in accordance with the provisions of this Section 11.04. Any and all sinking fund moneys held by the Trustee on the last sinking fund payment date with respect to Securities of such series, and not held for the payment or redemption of particular Securities of such series, shall be applied by the Trustee to the payment of the principal of the Securities of such series on the Maturity Date.</w:t>
      </w:r>
    </w:p>
    <w:p>
      <w:pPr>
        <w:spacing w:after="0" w:line="166" w:lineRule="exact"/>
        <w:rPr>
          <w:rFonts w:ascii="Times New Roman" w:cs="Times New Roman" w:eastAsia="Times New Roman" w:hAnsi="Times New Roman"/>
          <w:sz w:val="16"/>
          <w:szCs w:val="16"/>
          <w:color w:val="auto"/>
        </w:rPr>
      </w:pPr>
    </w:p>
    <w:p>
      <w:pPr>
        <w:ind w:right="120" w:firstLine="582"/>
        <w:spacing w:after="0" w:line="288" w:lineRule="auto"/>
        <w:tabs>
          <w:tab w:leader="none" w:pos="896"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prior to each sinking fund payment date, the Company shall pay to the Trustee a sum equal to all interest accrued to but not including the date fixed for redemption on Securities to be redeemed on such sinking fund payment date pursuant to this Section 11.04.</w:t>
      </w:r>
    </w:p>
    <w:p>
      <w:pPr>
        <w:spacing w:after="0" w:line="143" w:lineRule="exact"/>
        <w:rPr>
          <w:rFonts w:ascii="Times New Roman" w:cs="Times New Roman" w:eastAsia="Times New Roman" w:hAnsi="Times New Roman"/>
          <w:sz w:val="16"/>
          <w:szCs w:val="16"/>
          <w:color w:val="auto"/>
        </w:rPr>
      </w:pPr>
    </w:p>
    <w:p>
      <w:pPr>
        <w:ind w:right="40" w:firstLine="582"/>
        <w:spacing w:after="0" w:line="259" w:lineRule="auto"/>
        <w:tabs>
          <w:tab w:leader="none" w:pos="846"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Trustee shall not redeem any Securities of a series with sinking fund moneys or send any notice of redemption of Securities of such series by operation of the sinking fund during the continuance of a Default in payment of interest on any Securities of such series or of any Event of Default (other than an Event of Default occurring as a consequence of this paragraph) of which a Responsible Officer of the Trustee has received written notice, except that if the notice of redemption of any Securities of such series shall theretofore have been sent in accordance with the provisions hereof, the Trustee shall redeem such Securities if funds sufficient for that purpose shall be deposited with the Trustee in accordance with the terms of this Article XI. Except as aforesaid, any moneys in the sinking fund at the time any such Default or Event of Default shall occur and any moneys thereafter paid into the sinking fund shall, during the continuance of such Event of Default, be held as security for the payment of all the Securities of such series;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in case such Default or Event of Default shall have been cured or waived as provided herein, such moneys shall thereafter be applied on the next sinking fund payment date on which such moneys are required to be applied pursuant to the provisions of this Section 11.04.</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XII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MISCELLANEOUS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12.01. Trust Indenture Act Controls.</w:t>
      </w:r>
    </w:p>
    <w:p>
      <w:pPr>
        <w:spacing w:after="0" w:line="208" w:lineRule="exact"/>
        <w:rPr>
          <w:sz w:val="20"/>
          <w:szCs w:val="20"/>
          <w:color w:val="auto"/>
        </w:rPr>
      </w:pPr>
    </w:p>
    <w:p>
      <w:pPr>
        <w:ind w:right="320" w:firstLine="585"/>
        <w:spacing w:after="0" w:line="288" w:lineRule="auto"/>
        <w:rPr>
          <w:sz w:val="20"/>
          <w:szCs w:val="20"/>
          <w:color w:val="auto"/>
        </w:rPr>
      </w:pPr>
      <w:r>
        <w:rPr>
          <w:rFonts w:ascii="Times New Roman" w:cs="Times New Roman" w:eastAsia="Times New Roman" w:hAnsi="Times New Roman"/>
          <w:sz w:val="16"/>
          <w:szCs w:val="16"/>
          <w:color w:val="auto"/>
        </w:rPr>
        <w:t>If any provision of this Indenture limits, qualifies or conflicts with another provision which is required to be included in this Indenture by the TIA, the required provision shall control.</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12.02. Notices.</w:t>
      </w:r>
    </w:p>
    <w:p>
      <w:pPr>
        <w:spacing w:after="0" w:line="208" w:lineRule="exact"/>
        <w:rPr>
          <w:sz w:val="20"/>
          <w:szCs w:val="20"/>
          <w:color w:val="auto"/>
        </w:rPr>
      </w:pPr>
    </w:p>
    <w:p>
      <w:pPr>
        <w:ind w:right="340" w:firstLine="585"/>
        <w:spacing w:after="0" w:line="271" w:lineRule="auto"/>
        <w:rPr>
          <w:sz w:val="20"/>
          <w:szCs w:val="20"/>
          <w:color w:val="auto"/>
        </w:rPr>
      </w:pPr>
      <w:r>
        <w:rPr>
          <w:rFonts w:ascii="Times New Roman" w:cs="Times New Roman" w:eastAsia="Times New Roman" w:hAnsi="Times New Roman"/>
          <w:sz w:val="16"/>
          <w:szCs w:val="16"/>
          <w:color w:val="auto"/>
        </w:rPr>
        <w:t>Except for notice or communications to Holders, any notice or communication shall be given in writing and is duly given when received if delivered in person, when receipt is acknowledged if sent electronically, on the next Business Day if timely delivered by a nationally recognized courier service that guarantees overnight delivery or two Business Days after deposit if mailed by first-class mail, postage prepaid, addressed as follows:</w:t>
      </w:r>
    </w:p>
    <w:p>
      <w:pPr>
        <w:spacing w:after="0" w:line="1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If to the Company or any Guarantor:</w:t>
      </w: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Viatris Inc.</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1000 Mylan Boulevard</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Canonsburg, PA 15317</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Attn: Chief Financial Officer, Treasurer and Assistant Secretary</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Email:</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ind w:left="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Cravath, Swaine &amp; Moore LLP</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375 Ninth Avenue</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New York, NY 10001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Attn: Ryan J. Patrone</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Email: rpatrone@cravath.com</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to the Trustee: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41275</wp:posOffset>
            </wp:positionV>
            <wp:extent cx="714565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1" w:name="page172"/>
    <w:bookmarkEnd w:id="171"/>
    <w:p>
      <w:pPr>
        <w:ind w:left="1160"/>
        <w:spacing w:after="0"/>
        <w:rPr>
          <w:sz w:val="20"/>
          <w:szCs w:val="20"/>
          <w:color w:val="auto"/>
        </w:rPr>
      </w:pPr>
      <w:r>
        <w:rPr>
          <w:rFonts w:ascii="Times New Roman" w:cs="Times New Roman" w:eastAsia="Times New Roman" w:hAnsi="Times New Roman"/>
          <w:sz w:val="16"/>
          <w:szCs w:val="16"/>
          <w:color w:val="auto"/>
        </w:rPr>
        <w:t>Mailing Address:</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Bank of New York Mellon</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500 Ross Street, 12th Floor</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Pittsburgh, PA 15262</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Attn: Corporate Trust Administration</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Email:</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Such notices or communications shall be effective when actually received and shall be sufficiently given if so given within the time prescribed in this Indenture.</w:t>
      </w:r>
    </w:p>
    <w:p>
      <w:pPr>
        <w:spacing w:after="0" w:line="206" w:lineRule="exact"/>
        <w:rPr>
          <w:sz w:val="20"/>
          <w:szCs w:val="20"/>
          <w:color w:val="auto"/>
        </w:rPr>
      </w:pPr>
    </w:p>
    <w:p>
      <w:pPr>
        <w:ind w:right="1000" w:firstLine="585"/>
        <w:spacing w:after="0" w:line="288" w:lineRule="auto"/>
        <w:rPr>
          <w:sz w:val="20"/>
          <w:szCs w:val="20"/>
          <w:color w:val="auto"/>
        </w:rPr>
      </w:pPr>
      <w:r>
        <w:rPr>
          <w:rFonts w:ascii="Times New Roman" w:cs="Times New Roman" w:eastAsia="Times New Roman" w:hAnsi="Times New Roman"/>
          <w:sz w:val="16"/>
          <w:szCs w:val="16"/>
          <w:color w:val="auto"/>
        </w:rPr>
        <w:t>The Company, the Guarantors or the Trustee by written notice to the others may designate additional or different addresses for subsequent notices or communications.</w:t>
      </w:r>
    </w:p>
    <w:p>
      <w:pPr>
        <w:spacing w:after="0" w:line="141" w:lineRule="exact"/>
        <w:rPr>
          <w:sz w:val="20"/>
          <w:szCs w:val="20"/>
          <w:color w:val="auto"/>
        </w:rPr>
      </w:pPr>
    </w:p>
    <w:p>
      <w:pPr>
        <w:ind w:firstLine="585"/>
        <w:spacing w:after="0" w:line="256" w:lineRule="auto"/>
        <w:rPr>
          <w:sz w:val="20"/>
          <w:szCs w:val="20"/>
          <w:color w:val="auto"/>
        </w:rPr>
      </w:pPr>
      <w:r>
        <w:rPr>
          <w:rFonts w:ascii="Times New Roman" w:cs="Times New Roman" w:eastAsia="Times New Roman" w:hAnsi="Times New Roman"/>
          <w:sz w:val="16"/>
          <w:szCs w:val="16"/>
          <w:color w:val="auto"/>
        </w:rPr>
        <w:t>The Trustee in any of its capacities hereunder shall have the right to accept and act upon instructions, including funds transfer instructions (“</w:t>
      </w:r>
      <w:r>
        <w:rPr>
          <w:rFonts w:ascii="Times New Roman" w:cs="Times New Roman" w:eastAsia="Times New Roman" w:hAnsi="Times New Roman"/>
          <w:sz w:val="16"/>
          <w:szCs w:val="16"/>
          <w:i w:val="1"/>
          <w:iCs w:val="1"/>
          <w:color w:val="auto"/>
        </w:rPr>
        <w:t>Instructions</w:t>
      </w:r>
      <w:r>
        <w:rPr>
          <w:rFonts w:ascii="Times New Roman" w:cs="Times New Roman" w:eastAsia="Times New Roman" w:hAnsi="Times New Roman"/>
          <w:sz w:val="16"/>
          <w:szCs w:val="16"/>
          <w:color w:val="auto"/>
        </w:rPr>
        <w:t xml:space="preserve">”) given pursuant to this Indenture and delivered using Electronic Means;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Company and/or any Guarantor, as applicable, shall provide to the Trustee an incumbency certificate listing officers with the authority to provide such Instructions (“</w:t>
      </w:r>
      <w:r>
        <w:rPr>
          <w:rFonts w:ascii="Times New Roman" w:cs="Times New Roman" w:eastAsia="Times New Roman" w:hAnsi="Times New Roman"/>
          <w:sz w:val="16"/>
          <w:szCs w:val="16"/>
          <w:i w:val="1"/>
          <w:iCs w:val="1"/>
          <w:color w:val="auto"/>
        </w:rPr>
        <w:t>Authorized Officers</w:t>
      </w:r>
      <w:r>
        <w:rPr>
          <w:rFonts w:ascii="Times New Roman" w:cs="Times New Roman" w:eastAsia="Times New Roman" w:hAnsi="Times New Roman"/>
          <w:sz w:val="16"/>
          <w:szCs w:val="16"/>
          <w:color w:val="auto"/>
        </w:rPr>
        <w:t>”) and containing specimen signatures of such Authorized Officers, which incumbency certificate shall be amended by the Company and/or such Guarantor, as applicable, whenever a person is to be added or deleted from the listing. If the Company and/or any Guarantor, as applicable, elects to give the Trustee Instructions using Electronic Means and the Trustee in its discretion elects to act upon such Instructions, the Trustee’s understanding of such Instructions shall be deemed controlling. The Company and any Guarantor understand and agree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and any Guarantor shall be responsible for ensuring that only Authorized Officers transmit such Instructions to the Trustee and that the Company, any Guarantor and all Authorized Officers are solely responsible to safeguard the use and confidentiality of applicable user and authorization codes, passwords and/or authentication keys upon receipt by the Company and/or such Guarantor, as applicable. The Trustee shall not be liable for any losses, costs or expenses arising directly or indirectly from the Trustee’s reliance upon and compliance with such Instructions notwithstanding such directions conflict or are inconsistent with a subsequent written instruction. The Company and any Guarantor agree: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and/or such Guarantor, as applicable;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3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Any notice or communication transmitted to a Holder shall be transmitted to him or her at his or her address shown on the register kept by the Registrar.</w:t>
      </w:r>
    </w:p>
    <w:p>
      <w:pPr>
        <w:spacing w:after="0" w:line="206" w:lineRule="exact"/>
        <w:rPr>
          <w:sz w:val="20"/>
          <w:szCs w:val="20"/>
          <w:color w:val="auto"/>
        </w:rPr>
      </w:pPr>
    </w:p>
    <w:p>
      <w:pPr>
        <w:ind w:right="920" w:firstLine="585"/>
        <w:spacing w:after="0" w:line="288" w:lineRule="auto"/>
        <w:rPr>
          <w:sz w:val="20"/>
          <w:szCs w:val="20"/>
          <w:color w:val="auto"/>
        </w:rPr>
      </w:pPr>
      <w:r>
        <w:rPr>
          <w:rFonts w:ascii="Times New Roman" w:cs="Times New Roman" w:eastAsia="Times New Roman" w:hAnsi="Times New Roman"/>
          <w:sz w:val="16"/>
          <w:szCs w:val="16"/>
          <w:color w:val="auto"/>
        </w:rPr>
        <w:t>Failure to transmit a notice or communication to a Holder or any defect in it shall not affect its sufficiency with respect to other Holders. If a notice or communication to a Holder is transmitted in the manner provided above, it shall be deemed duly given, whether or not the addressee receives it.</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If the Company transmits a notice or communication to Holders, it will transmit a copy to the Trustee and each Agent at the same time.</w:t>
      </w:r>
    </w:p>
    <w:p>
      <w:pPr>
        <w:spacing w:after="0" w:line="206" w:lineRule="exact"/>
        <w:rPr>
          <w:sz w:val="20"/>
          <w:szCs w:val="20"/>
          <w:color w:val="auto"/>
        </w:rPr>
      </w:pPr>
    </w:p>
    <w:p>
      <w:pPr>
        <w:ind w:right="140" w:firstLine="585"/>
        <w:spacing w:after="0" w:line="288" w:lineRule="auto"/>
        <w:rPr>
          <w:sz w:val="20"/>
          <w:szCs w:val="20"/>
          <w:color w:val="auto"/>
        </w:rPr>
      </w:pPr>
      <w:r>
        <w:rPr>
          <w:rFonts w:ascii="Times New Roman" w:cs="Times New Roman" w:eastAsia="Times New Roman" w:hAnsi="Times New Roman"/>
          <w:sz w:val="16"/>
          <w:szCs w:val="16"/>
          <w:color w:val="auto"/>
        </w:rPr>
        <w:t>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w:t>
      </w:r>
    </w:p>
    <w:p>
      <w:pPr>
        <w:spacing w:after="0" w:line="143" w:lineRule="exact"/>
        <w:rPr>
          <w:sz w:val="20"/>
          <w:szCs w:val="20"/>
          <w:color w:val="auto"/>
        </w:rPr>
      </w:pPr>
    </w:p>
    <w:p>
      <w:pPr>
        <w:ind w:right="200" w:firstLine="585"/>
        <w:spacing w:after="0" w:line="288" w:lineRule="auto"/>
        <w:rPr>
          <w:sz w:val="20"/>
          <w:szCs w:val="20"/>
          <w:color w:val="auto"/>
        </w:rPr>
      </w:pPr>
      <w:r>
        <w:rPr>
          <w:rFonts w:ascii="Times New Roman" w:cs="Times New Roman" w:eastAsia="Times New Roman" w:hAnsi="Times New Roman"/>
          <w:sz w:val="16"/>
          <w:szCs w:val="16"/>
          <w:color w:val="auto"/>
        </w:rPr>
        <w:t>Notwithstanding anything to the contrary contained herein, as long as the Securities of a series are in the form of a Global Security, notice to the Holders of such series may be made electronically in accordance with the applicable procedures of the Depositary.</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72" w:name="page173"/>
    <w:bookmarkEnd w:id="172"/>
    <w:p>
      <w:pPr>
        <w:ind w:left="560"/>
        <w:spacing w:after="0"/>
        <w:rPr>
          <w:sz w:val="20"/>
          <w:szCs w:val="20"/>
          <w:color w:val="auto"/>
        </w:rPr>
      </w:pPr>
      <w:r>
        <w:rPr>
          <w:rFonts w:ascii="Times New Roman" w:cs="Times New Roman" w:eastAsia="Times New Roman" w:hAnsi="Times New Roman"/>
          <w:sz w:val="16"/>
          <w:szCs w:val="16"/>
          <w:i w:val="1"/>
          <w:iCs w:val="1"/>
          <w:color w:val="auto"/>
        </w:rPr>
        <w:t>Section 12.03. Certificate and Opinion as to Conditions Precedent.</w:t>
      </w:r>
    </w:p>
    <w:p>
      <w:pPr>
        <w:spacing w:after="0" w:line="208" w:lineRule="exact"/>
        <w:rPr>
          <w:sz w:val="20"/>
          <w:szCs w:val="20"/>
          <w:color w:val="auto"/>
        </w:rPr>
      </w:pPr>
    </w:p>
    <w:p>
      <w:pPr>
        <w:ind w:left="-20" w:right="420" w:firstLine="582"/>
        <w:spacing w:after="0" w:line="288" w:lineRule="auto"/>
        <w:tabs>
          <w:tab w:leader="none" w:pos="826"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any request or application by the Company to the Trustee to take any action under this Indenture, if so requested by the Trustee, the Company shall furnish to the Trustee:</w:t>
      </w:r>
    </w:p>
    <w:p>
      <w:pPr>
        <w:spacing w:after="0" w:line="143" w:lineRule="exact"/>
        <w:rPr>
          <w:rFonts w:ascii="Times New Roman" w:cs="Times New Roman" w:eastAsia="Times New Roman" w:hAnsi="Times New Roman"/>
          <w:sz w:val="16"/>
          <w:szCs w:val="16"/>
          <w:color w:val="auto"/>
        </w:rPr>
      </w:pPr>
    </w:p>
    <w:p>
      <w:pPr>
        <w:ind w:left="560" w:right="680" w:firstLine="587"/>
        <w:spacing w:after="0" w:line="288" w:lineRule="auto"/>
        <w:tabs>
          <w:tab w:leader="none" w:pos="1415" w:val="left"/>
        </w:tabs>
        <w:numPr>
          <w:ilvl w:val="1"/>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Officer’s Certificate (which must include the statements set forth in Section 12.04) stating that, in the opinion of the signer, all conditions precedent, if any, provided for in this Indenture relating to the proposed action have been complied with; and</w:t>
      </w:r>
    </w:p>
    <w:p>
      <w:pPr>
        <w:spacing w:after="0" w:line="143" w:lineRule="exact"/>
        <w:rPr>
          <w:rFonts w:ascii="Times New Roman" w:cs="Times New Roman" w:eastAsia="Times New Roman" w:hAnsi="Times New Roman"/>
          <w:sz w:val="16"/>
          <w:szCs w:val="16"/>
          <w:color w:val="auto"/>
        </w:rPr>
      </w:pPr>
    </w:p>
    <w:p>
      <w:pPr>
        <w:ind w:left="560" w:right="160" w:firstLine="587"/>
        <w:spacing w:after="0" w:line="288" w:lineRule="auto"/>
        <w:tabs>
          <w:tab w:leader="none" w:pos="1415" w:val="left"/>
        </w:tabs>
        <w:numPr>
          <w:ilvl w:val="1"/>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Opinion of Counsel (which must include the statements set forth in Section 12.04) stating that, in the opinion of such counsel, all such conditions precedent have been complied with.</w:t>
      </w:r>
    </w:p>
    <w:p>
      <w:pPr>
        <w:spacing w:after="0" w:line="143" w:lineRule="exact"/>
        <w:rPr>
          <w:rFonts w:ascii="Times New Roman" w:cs="Times New Roman" w:eastAsia="Times New Roman" w:hAnsi="Times New Roman"/>
          <w:sz w:val="16"/>
          <w:szCs w:val="16"/>
          <w:color w:val="auto"/>
        </w:rPr>
      </w:pPr>
    </w:p>
    <w:p>
      <w:pPr>
        <w:ind w:left="-20" w:right="40" w:firstLine="582"/>
        <w:spacing w:after="0" w:line="261" w:lineRule="auto"/>
        <w:tabs>
          <w:tab w:leader="none" w:pos="867"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certificate, statement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statement or opinion is based are erroneous. Any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unless such counsel knows, or in the exercise of reasonable care should know, that the certificate, statement or opinion or representations with respect to such matters are erroneous.</w:t>
      </w:r>
    </w:p>
    <w:p>
      <w:pPr>
        <w:spacing w:after="0" w:line="163" w:lineRule="exact"/>
        <w:rPr>
          <w:rFonts w:ascii="Times New Roman" w:cs="Times New Roman" w:eastAsia="Times New Roman" w:hAnsi="Times New Roman"/>
          <w:sz w:val="16"/>
          <w:szCs w:val="16"/>
          <w:color w:val="auto"/>
        </w:rPr>
      </w:pPr>
    </w:p>
    <w:p>
      <w:pPr>
        <w:ind w:left="-20" w:right="40" w:firstLine="582"/>
        <w:spacing w:after="0" w:line="262" w:lineRule="auto"/>
        <w:tabs>
          <w:tab w:leader="none" w:pos="826"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certificate, statement or opinion of an officer of the Company or of counsel to the Company may be based, insofar as it relates to accounting matters, upon a certificate or opinion of, or representations by, an accountant or firm of accountants, unless such officer or counsel, as the case may be, knows, or in the exercise of reasonable care should know, that the certificate or opinion or representations with respect to the accounting matters upon which his or her certificate, statement or opinion may be based are erroneous. Any certificate or opinion of any firm of independent registered public accountants filed with the Trustee shall contain a statement that such firm is independent.</w:t>
      </w:r>
    </w:p>
    <w:p>
      <w:pPr>
        <w:spacing w:after="0" w:line="164" w:lineRule="exact"/>
        <w:rPr>
          <w:rFonts w:ascii="Times New Roman" w:cs="Times New Roman" w:eastAsia="Times New Roman" w:hAnsi="Times New Roman"/>
          <w:sz w:val="16"/>
          <w:szCs w:val="16"/>
          <w:color w:val="auto"/>
        </w:rPr>
      </w:pPr>
    </w:p>
    <w:p>
      <w:pPr>
        <w:ind w:left="-20" w:firstLine="582"/>
        <w:spacing w:after="0" w:line="265" w:lineRule="auto"/>
        <w:tabs>
          <w:tab w:leader="none" w:pos="876"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61" w:lineRule="exact"/>
        <w:rPr>
          <w:rFonts w:ascii="Times New Roman" w:cs="Times New Roman" w:eastAsia="Times New Roman" w:hAnsi="Times New Roman"/>
          <w:sz w:val="16"/>
          <w:szCs w:val="16"/>
          <w:color w:val="auto"/>
        </w:rPr>
      </w:pPr>
    </w:p>
    <w:p>
      <w:pPr>
        <w:ind w:left="-20" w:right="360" w:firstLine="582"/>
        <w:spacing w:after="0" w:line="288" w:lineRule="auto"/>
        <w:tabs>
          <w:tab w:leader="none" w:pos="826"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Section 12.04. Statements Required in Certificate and Opinion.</w:t>
      </w:r>
    </w:p>
    <w:p>
      <w:pPr>
        <w:spacing w:after="0" w:line="2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Each certificate or opinion with respect to compliance with a condition or covenant provided for in this Indenture must include:</w:t>
      </w:r>
    </w:p>
    <w:p>
      <w:pPr>
        <w:spacing w:after="0" w:line="206" w:lineRule="exact"/>
        <w:rPr>
          <w:sz w:val="20"/>
          <w:szCs w:val="20"/>
          <w:color w:val="auto"/>
        </w:rPr>
      </w:pPr>
    </w:p>
    <w:p>
      <w:pPr>
        <w:ind w:left="1420" w:hanging="273"/>
        <w:spacing w:after="0"/>
        <w:tabs>
          <w:tab w:leader="none" w:pos="1420"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statement that the Person making such certificate or opinion has read such covenant or condition;</w:t>
      </w:r>
    </w:p>
    <w:p>
      <w:pPr>
        <w:spacing w:after="0" w:line="205" w:lineRule="exact"/>
        <w:rPr>
          <w:rFonts w:ascii="Times New Roman" w:cs="Times New Roman" w:eastAsia="Times New Roman" w:hAnsi="Times New Roman"/>
          <w:sz w:val="16"/>
          <w:szCs w:val="16"/>
          <w:color w:val="auto"/>
        </w:rPr>
      </w:pPr>
    </w:p>
    <w:p>
      <w:pPr>
        <w:ind w:left="560" w:right="100" w:firstLine="587"/>
        <w:spacing w:after="0" w:line="288" w:lineRule="auto"/>
        <w:tabs>
          <w:tab w:leader="none" w:pos="1415"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brief statement as to the nature and scope of the examination or investigation upon which the statements or opinions contained in such certificate or opinion are based;</w:t>
      </w:r>
    </w:p>
    <w:p>
      <w:pPr>
        <w:spacing w:after="0" w:line="143" w:lineRule="exact"/>
        <w:rPr>
          <w:rFonts w:ascii="Times New Roman" w:cs="Times New Roman" w:eastAsia="Times New Roman" w:hAnsi="Times New Roman"/>
          <w:sz w:val="16"/>
          <w:szCs w:val="16"/>
          <w:color w:val="auto"/>
        </w:rPr>
      </w:pPr>
    </w:p>
    <w:p>
      <w:pPr>
        <w:ind w:left="560" w:firstLine="587"/>
        <w:spacing w:after="0" w:line="288" w:lineRule="auto"/>
        <w:tabs>
          <w:tab w:leader="none" w:pos="1415"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143" w:lineRule="exact"/>
        <w:rPr>
          <w:rFonts w:ascii="Times New Roman" w:cs="Times New Roman" w:eastAsia="Times New Roman" w:hAnsi="Times New Roman"/>
          <w:sz w:val="16"/>
          <w:szCs w:val="16"/>
          <w:color w:val="auto"/>
        </w:rPr>
      </w:pPr>
    </w:p>
    <w:p>
      <w:pPr>
        <w:ind w:left="1420" w:hanging="273"/>
        <w:spacing w:after="0"/>
        <w:tabs>
          <w:tab w:leader="none" w:pos="1420"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statement as to whether or not, in the opinion of such Person, such condition or covenant has been complied with.</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33655</wp:posOffset>
            </wp:positionV>
            <wp:extent cx="7145655"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173" w:name="page174"/>
    <w:bookmarkEnd w:id="173"/>
    <w:p>
      <w:pPr>
        <w:ind w:left="580"/>
        <w:spacing w:after="0"/>
        <w:rPr>
          <w:sz w:val="20"/>
          <w:szCs w:val="20"/>
          <w:color w:val="auto"/>
        </w:rPr>
      </w:pPr>
      <w:r>
        <w:rPr>
          <w:rFonts w:ascii="Times New Roman" w:cs="Times New Roman" w:eastAsia="Times New Roman" w:hAnsi="Times New Roman"/>
          <w:sz w:val="16"/>
          <w:szCs w:val="16"/>
          <w:i w:val="1"/>
          <w:iCs w:val="1"/>
          <w:color w:val="auto"/>
        </w:rPr>
        <w:t>Section 12.05. Communications by Holders with Other Holders.</w:t>
      </w:r>
    </w:p>
    <w:p>
      <w:pPr>
        <w:spacing w:after="0" w:line="208" w:lineRule="exact"/>
        <w:rPr>
          <w:sz w:val="20"/>
          <w:szCs w:val="20"/>
          <w:color w:val="auto"/>
        </w:rPr>
      </w:pPr>
    </w:p>
    <w:p>
      <w:pPr>
        <w:ind w:right="520" w:firstLine="585"/>
        <w:spacing w:after="0" w:line="288" w:lineRule="auto"/>
        <w:rPr>
          <w:sz w:val="20"/>
          <w:szCs w:val="20"/>
          <w:color w:val="auto"/>
        </w:rPr>
      </w:pPr>
      <w:r>
        <w:rPr>
          <w:rFonts w:ascii="Times New Roman" w:cs="Times New Roman" w:eastAsia="Times New Roman" w:hAnsi="Times New Roman"/>
          <w:sz w:val="16"/>
          <w:szCs w:val="16"/>
          <w:color w:val="auto"/>
        </w:rPr>
        <w:t>Holders may communicate pursuant to TIA § 312(b) with other Holders with respect to their rights under this Indenture or the Securities. The Company, the Trustee, the Registrar and anyone else shall have the protection of TIA § 312(c).</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12.06. Rules by Trustee and Agents.</w:t>
      </w:r>
    </w:p>
    <w:p>
      <w:pPr>
        <w:spacing w:after="0" w:line="208" w:lineRule="exact"/>
        <w:rPr>
          <w:sz w:val="20"/>
          <w:szCs w:val="20"/>
          <w:color w:val="auto"/>
        </w:rPr>
      </w:pPr>
    </w:p>
    <w:p>
      <w:pPr>
        <w:ind w:right="360" w:firstLine="585"/>
        <w:spacing w:after="0" w:line="288" w:lineRule="auto"/>
        <w:rPr>
          <w:sz w:val="20"/>
          <w:szCs w:val="20"/>
          <w:color w:val="auto"/>
        </w:rPr>
      </w:pPr>
      <w:r>
        <w:rPr>
          <w:rFonts w:ascii="Times New Roman" w:cs="Times New Roman" w:eastAsia="Times New Roman" w:hAnsi="Times New Roman"/>
          <w:sz w:val="16"/>
          <w:szCs w:val="16"/>
          <w:color w:val="auto"/>
        </w:rPr>
        <w:t>The Trustee may make reasonable rules for action by or at a meeting of Holders. The Registrar or Paying Agent may make reasonable rules and set reasonable requirements for its functions.</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12.07. No Personal Liability of Directors, Officers, Employees and Stockholders.</w:t>
      </w:r>
    </w:p>
    <w:p>
      <w:pPr>
        <w:spacing w:after="0" w:line="208" w:lineRule="exact"/>
        <w:rPr>
          <w:sz w:val="20"/>
          <w:szCs w:val="20"/>
          <w:color w:val="auto"/>
        </w:rPr>
      </w:pPr>
    </w:p>
    <w:p>
      <w:pPr>
        <w:ind w:right="140" w:firstLine="585"/>
        <w:spacing w:after="0" w:line="265" w:lineRule="auto"/>
        <w:rPr>
          <w:sz w:val="20"/>
          <w:szCs w:val="20"/>
          <w:color w:val="auto"/>
        </w:rPr>
      </w:pPr>
      <w:r>
        <w:rPr>
          <w:rFonts w:ascii="Times New Roman" w:cs="Times New Roman" w:eastAsia="Times New Roman" w:hAnsi="Times New Roman"/>
          <w:sz w:val="16"/>
          <w:szCs w:val="16"/>
          <w:color w:val="auto"/>
        </w:rPr>
        <w:t>No past, present or future director, board member, member, partner, officer, employee or equityholder of the Company, any Guarantor or any of their respective Subsidiaries will have any liability for any of the Company’s or such Guarantor’s obligations under the Securities or this Indenture or for any claim based on, in respect of, or by reason of, such obligations or their creation (other than the Guarantors in respect of their respective Guarantees and the Company in respect of the Securities). Each Holder of Securities by accepting a Security waives and releases all such liability. The waiver and release are part of the consideration for issuance of the Securities.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12.08. Governing Law; Waiver of Jury Trial; Jurisdiction.</w:t>
      </w:r>
    </w:p>
    <w:p>
      <w:pPr>
        <w:spacing w:after="0" w:line="208" w:lineRule="exact"/>
        <w:rPr>
          <w:sz w:val="20"/>
          <w:szCs w:val="20"/>
          <w:color w:val="auto"/>
        </w:rPr>
      </w:pPr>
    </w:p>
    <w:p>
      <w:pPr>
        <w:ind w:right="100" w:firstLine="585"/>
        <w:spacing w:after="0" w:line="265" w:lineRule="auto"/>
        <w:rPr>
          <w:sz w:val="20"/>
          <w:szCs w:val="20"/>
          <w:color w:val="auto"/>
        </w:rPr>
      </w:pPr>
      <w:r>
        <w:rPr>
          <w:rFonts w:ascii="Times New Roman" w:cs="Times New Roman" w:eastAsia="Times New Roman" w:hAnsi="Times New Roman"/>
          <w:sz w:val="16"/>
          <w:szCs w:val="16"/>
          <w:color w:val="auto"/>
        </w:rPr>
        <w:t>THE INTERNAL LAW OF THE STATE OF NEW YORK (INCLUDING, WITHOUT LIMITATION, SECTION 5-1401 OF THE NEW YORK GENERAL OBLIGATIONS LAW OR ANY SUCCESSOR TO SUCH STATUTE) WILL GOVERN AND BE USED TO CONSTRUE THIS INDENTURE, THE SECURITIES AND THE GUARANTEES WITHOUT GIVING EFFECT TO APPLICABLE PRINCIPLES OF CONFLICTS OF LAW TO THE EXTENT THAT THE APPLICATION OF THE LAWS OF ANOTHER JURISDICTION WOULD BE REQUIRED THEREBY.</w:t>
      </w:r>
    </w:p>
    <w:p>
      <w:pPr>
        <w:spacing w:after="0" w:line="162" w:lineRule="exact"/>
        <w:rPr>
          <w:sz w:val="20"/>
          <w:szCs w:val="20"/>
          <w:color w:val="auto"/>
        </w:rPr>
      </w:pPr>
    </w:p>
    <w:p>
      <w:pPr>
        <w:ind w:right="40" w:firstLine="585"/>
        <w:spacing w:after="0" w:line="271" w:lineRule="auto"/>
        <w:rPr>
          <w:sz w:val="20"/>
          <w:szCs w:val="20"/>
          <w:color w:val="auto"/>
        </w:rPr>
      </w:pPr>
      <w:r>
        <w:rPr>
          <w:rFonts w:ascii="Times New Roman" w:cs="Times New Roman" w:eastAsia="Times New Roman" w:hAnsi="Times New Roman"/>
          <w:sz w:val="16"/>
          <w:szCs w:val="16"/>
          <w:color w:val="auto"/>
        </w:rPr>
        <w:t>EACH PARTY HEREBY, AND EACH HOLDER OF A SECURITY BY ITS ACCEPTANCE THEREOF, WAIVES, TO THE FULLEST EXTENT PERMITTED BY APPLICABLE LAW, ANY RIGHT IT MAY HAVE TO A TRIAL BY JURY IN RESPECT OF ANY LITIGATION DIRECTLY OR INDIRECTLY ARISING OUT OF, OR IN CONNECTION WITH THIS INDENTURE.</w:t>
      </w:r>
    </w:p>
    <w:p>
      <w:pPr>
        <w:spacing w:after="0" w:line="156" w:lineRule="exact"/>
        <w:rPr>
          <w:sz w:val="20"/>
          <w:szCs w:val="20"/>
          <w:color w:val="auto"/>
        </w:rPr>
      </w:pPr>
    </w:p>
    <w:p>
      <w:pPr>
        <w:ind w:firstLine="585"/>
        <w:spacing w:after="0" w:line="256" w:lineRule="auto"/>
        <w:rPr>
          <w:sz w:val="20"/>
          <w:szCs w:val="20"/>
          <w:color w:val="auto"/>
        </w:rPr>
      </w:pPr>
      <w:r>
        <w:rPr>
          <w:rFonts w:ascii="Times New Roman" w:cs="Times New Roman" w:eastAsia="Times New Roman" w:hAnsi="Times New Roman"/>
          <w:sz w:val="16"/>
          <w:szCs w:val="16"/>
          <w:color w:val="auto"/>
        </w:rPr>
        <w:t>ANY LEGAL ACTION OR PROCEEDING WITH RESPECT TO THIS INDENTURE AND ANY ACTION FOR ENFORCEMENT OF ANY JUDGMENT IN RESPECT THEREOF MAY BE BROUGHT IN THE COURTS OF THE STATE OF NEW YORK OR OF THE UNITED STATES OF AMERICA FOR THE SOUTHERN DISTRICT OF NEW YORK, IN EACH CASE RESIDING IN THE COUNTY OF NEW YORK, AND, BY EXECUTION AND DELIVERY OF THIS INDENTURE, EACH OF THE PARTIES HERETO HEREBY ACCEPTS FOR ITSELF AND IN RESPECT OF ITS PROPERTY, GENERALLY AND UNCONDITIONALLY, THE NON-EXCLUSIVE JURISDICTION OF THE AFORESAID COURTS AND APPELLATE COURTS FROM ANY THEREOF. THE COMPANY HEREBY IRREVOCABLY CONSENTS TO THE SERVICE OF PROCESS OUT OF ANY OF THE AFOREMENTIONED COURTS IN ANY SUCH ACTION OR PROCEEDING BY THE MAILING OF COPIES THEREOF BY REGISTERED OR CERTIFIED MAIL, POSTAGE PREPAID, TO THE COMPANY AT ITS ADDRESS REFERRED TO IN SECTION 12.02. EACH OF THE PARTIES HERETO HEREBY IRREVOCABLY WAIVES, TO THE FULLEST EXTENT IT MAY DO SO UNDER APPLICABLE LAW, ANY OBJECTION WHICH IT MAY NOW OR HEREAFTER HAVE TO THE LAYING OF VENUE OF ANY OF THE AFORESAID ACTIONS OR PROCEEDINGS ARISING OUT OF OR IN CONNECTION WITH THIS INDENTURE BROUGHT IN THE COURTS REFERRED TO ABOVE AND TO THE FULLEST EXTENT IT MAY DO SO UNDER APPLICABLE LAW HEREBY FURTHER IRREVOCABLY WAIVES AND AGREES NOT TO PLEAD OR CLAIM IN ANY SUCH COURT THAT ANY SUCH ACTION OR PROCEEDING BROUGHT IN ANY SUCH COURT HAS BEEN BROUGHT IN AN INCONVENIENT FORUM. NOTHING HEREIN SHALL AFFECT THE RIGHT OF ANY PARTY HERETO TO SERVE PROCESS IN ANY OTHER MANNER PERMITTED BY LAW OR TO COMMENCE LEGAL PROCEEDINGS OR OTHERWISE PROCEED IN ANY OTHER JURISDICTION.</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ind w:left="580"/>
        <w:spacing w:after="0"/>
        <w:rPr>
          <w:sz w:val="20"/>
          <w:szCs w:val="20"/>
          <w:color w:val="auto"/>
        </w:rPr>
      </w:pPr>
      <w:r>
        <w:rPr>
          <w:rFonts w:ascii="Times New Roman" w:cs="Times New Roman" w:eastAsia="Times New Roman" w:hAnsi="Times New Roman"/>
          <w:sz w:val="16"/>
          <w:szCs w:val="16"/>
          <w:i w:val="1"/>
          <w:iCs w:val="1"/>
          <w:color w:val="auto"/>
        </w:rPr>
        <w:t>Section 12.09. No Adverse Interpretation of Other Agreements.</w:t>
      </w:r>
    </w:p>
    <w:p>
      <w:pPr>
        <w:spacing w:after="0" w:line="208" w:lineRule="exact"/>
        <w:rPr>
          <w:sz w:val="20"/>
          <w:szCs w:val="20"/>
          <w:color w:val="auto"/>
        </w:rPr>
      </w:pPr>
    </w:p>
    <w:p>
      <w:pPr>
        <w:ind w:right="500" w:firstLine="585"/>
        <w:spacing w:after="0" w:line="288" w:lineRule="auto"/>
        <w:rPr>
          <w:sz w:val="20"/>
          <w:szCs w:val="20"/>
          <w:color w:val="auto"/>
        </w:rPr>
      </w:pPr>
      <w:r>
        <w:rPr>
          <w:rFonts w:ascii="Times New Roman" w:cs="Times New Roman" w:eastAsia="Times New Roman" w:hAnsi="Times New Roman"/>
          <w:sz w:val="16"/>
          <w:szCs w:val="16"/>
          <w:color w:val="auto"/>
        </w:rPr>
        <w:t>This Indenture may not be used to interpret any other indenture, loan or debt agreement of the Company or its Subsidiaries or of any other Person. Any such indenture, loan or debt agreement may not be used to interpret this Indenture.</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12.10. Successors.</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All agreements of the Company in this Indenture and the Securities will bind its successors. All agreements of the Trustee in this Indenture will bind its successors.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agreements of each Guarantor in this Indenture will bind its successors, except as otherwise provided in Section 10.07.</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12.11. Separability.</w:t>
      </w:r>
    </w:p>
    <w:p>
      <w:pPr>
        <w:spacing w:after="0" w:line="208" w:lineRule="exact"/>
        <w:rPr>
          <w:sz w:val="20"/>
          <w:szCs w:val="20"/>
          <w:color w:val="auto"/>
        </w:rPr>
      </w:pPr>
    </w:p>
    <w:p>
      <w:pPr>
        <w:ind w:right="220" w:firstLine="585"/>
        <w:spacing w:after="0" w:line="288" w:lineRule="auto"/>
        <w:rPr>
          <w:sz w:val="20"/>
          <w:szCs w:val="20"/>
          <w:color w:val="auto"/>
        </w:rPr>
      </w:pPr>
      <w:r>
        <w:rPr>
          <w:rFonts w:ascii="Times New Roman" w:cs="Times New Roman" w:eastAsia="Times New Roman" w:hAnsi="Times New Roman"/>
          <w:sz w:val="16"/>
          <w:szCs w:val="16"/>
          <w:color w:val="auto"/>
        </w:rPr>
        <w:t>In case any provision in this Indenture or in the Securities is invalid, illegal or unenforceable, the validity, legality and enforceability of the remaining provisions will not in any way be affected or impaired thereby.</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12.12. Counterpart Originals.</w:t>
      </w:r>
    </w:p>
    <w:p>
      <w:pPr>
        <w:spacing w:after="0" w:line="208" w:lineRule="exact"/>
        <w:rPr>
          <w:sz w:val="20"/>
          <w:szCs w:val="20"/>
          <w:color w:val="auto"/>
        </w:rPr>
      </w:pPr>
    </w:p>
    <w:p>
      <w:pPr>
        <w:ind w:right="280" w:firstLine="585"/>
        <w:spacing w:after="0" w:line="265" w:lineRule="auto"/>
        <w:rPr>
          <w:sz w:val="20"/>
          <w:szCs w:val="20"/>
          <w:color w:val="auto"/>
        </w:rPr>
      </w:pPr>
      <w:r>
        <w:rPr>
          <w:rFonts w:ascii="Times New Roman" w:cs="Times New Roman" w:eastAsia="Times New Roman" w:hAnsi="Times New Roman"/>
          <w:sz w:val="16"/>
          <w:szCs w:val="16"/>
          <w:color w:val="auto"/>
        </w:rPr>
        <w:t>The parties may sign any number of copies of this Indenture. Each signed copy will be an original, but all of them together represent the same agreement. The exchange of copies of this Indenture and of signature pages by electronic format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“pdf” or “tif”) transmission shall constitute effective execution and delivery of this Indenture as to the parties hereto and may be used in lieu of the original Indenture for all purposes. Signatures of the parties hereto transmitted by electronic format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“pdf” or “tif”) shall be deemed to be their original signatures for all purposes.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12.13. Table of Contents, Headings, etc.</w:t>
      </w:r>
    </w:p>
    <w:p>
      <w:pPr>
        <w:spacing w:after="0" w:line="208" w:lineRule="exact"/>
        <w:rPr>
          <w:sz w:val="20"/>
          <w:szCs w:val="20"/>
          <w:color w:val="auto"/>
        </w:rPr>
      </w:pPr>
    </w:p>
    <w:p>
      <w:pPr>
        <w:ind w:right="20" w:firstLine="585"/>
        <w:spacing w:after="0" w:line="288" w:lineRule="auto"/>
        <w:rPr>
          <w:sz w:val="20"/>
          <w:szCs w:val="20"/>
          <w:color w:val="auto"/>
        </w:rPr>
      </w:pPr>
      <w:r>
        <w:rPr>
          <w:rFonts w:ascii="Times New Roman" w:cs="Times New Roman" w:eastAsia="Times New Roman" w:hAnsi="Times New Roman"/>
          <w:sz w:val="16"/>
          <w:szCs w:val="16"/>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12.14. Benefits of Indenture.</w:t>
      </w:r>
    </w:p>
    <w:p>
      <w:pPr>
        <w:spacing w:after="0" w:line="208" w:lineRule="exact"/>
        <w:rPr>
          <w:sz w:val="20"/>
          <w:szCs w:val="20"/>
          <w:color w:val="auto"/>
        </w:rPr>
      </w:pPr>
    </w:p>
    <w:p>
      <w:pPr>
        <w:ind w:right="60" w:firstLine="585"/>
        <w:spacing w:after="0" w:line="262" w:lineRule="auto"/>
        <w:rPr>
          <w:sz w:val="20"/>
          <w:szCs w:val="20"/>
          <w:color w:val="auto"/>
        </w:rPr>
      </w:pPr>
      <w:r>
        <w:rPr>
          <w:rFonts w:ascii="Times New Roman" w:cs="Times New Roman" w:eastAsia="Times New Roman" w:hAnsi="Times New Roman"/>
          <w:sz w:val="16"/>
          <w:szCs w:val="16"/>
          <w:color w:val="auto"/>
        </w:rPr>
        <w:t>Nothing in this Indenture expressed and nothing that may be implied from any of the provisions hereof is intended, or shall be construed, to confer upon, or to give to, any Person other than the parties hereto and their successors and the holders of Senior Indebtedness and the Holders of the Securities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the holders of Senior Indebtedness and the Holders of the Securities.</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12.15. Electronic Delivery.</w:t>
      </w:r>
    </w:p>
    <w:p>
      <w:pPr>
        <w:spacing w:after="0" w:line="208" w:lineRule="exact"/>
        <w:rPr>
          <w:sz w:val="20"/>
          <w:szCs w:val="20"/>
          <w:color w:val="auto"/>
        </w:rPr>
      </w:pPr>
    </w:p>
    <w:p>
      <w:pPr>
        <w:ind w:firstLine="585"/>
        <w:spacing w:after="0" w:line="259" w:lineRule="auto"/>
        <w:rPr>
          <w:sz w:val="20"/>
          <w:szCs w:val="20"/>
          <w:color w:val="auto"/>
        </w:rPr>
      </w:pPr>
      <w:r>
        <w:rPr>
          <w:rFonts w:ascii="Times New Roman" w:cs="Times New Roman" w:eastAsia="Times New Roman" w:hAnsi="Times New Roman"/>
          <w:sz w:val="16"/>
          <w:szCs w:val="16"/>
          <w:color w:val="auto"/>
        </w:rPr>
        <w:t>The parties acknowledge and agree that they may execute this Indenture, and any variation or amendment to the same, and all documents required to be delivered in connection with this Indenture, by electronic instrument. The parties agree that the electronic signatures appearing on this Indenture and on all documents required to be delivered in connection with this Indenture shall have the same effect as handwritten signatures and the use of an electronic signature on this Indenture and on all documents required to be delivered in connection with this Indenture shall have the same validity and legal effect as the use of a signature affixed by hand and is made with the intention of authenticating this Indenture and on all documents required to be delivered in connection with this Indenture, and evidencing the parties’ intention to be bound by the terms and conditions contained herein. For the purposes of using an electronic signature, the parties authorize each other to the lawful processing of personal data of the signers for contract performance and their legitimate interests including contract management.</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12.16. Office of Foreign Assets Control Sanctions Representations.</w:t>
      </w:r>
    </w:p>
    <w:p>
      <w:pPr>
        <w:spacing w:after="0" w:line="208" w:lineRule="exact"/>
        <w:rPr>
          <w:sz w:val="20"/>
          <w:szCs w:val="20"/>
          <w:color w:val="auto"/>
        </w:rPr>
      </w:pPr>
    </w:p>
    <w:p>
      <w:pPr>
        <w:ind w:right="120" w:firstLine="582"/>
        <w:spacing w:after="0" w:line="271" w:lineRule="auto"/>
        <w:tabs>
          <w:tab w:leader="none" w:pos="1171"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represents that neither it nor any of its affiliates, subsidiaries, directors or officers are the target or subject of any sanctions enforced by the U.S. government (including, without limitation, the Office of Foreign Assets Control of the U.S. Department of the Treasury or the U.S. Department of State), the United Nations Security Council, the European Union, His Majesty’s Treasury, or other relevant sanctions authority (collectively “</w:t>
      </w:r>
      <w:r>
        <w:rPr>
          <w:rFonts w:ascii="Times New Roman" w:cs="Times New Roman" w:eastAsia="Times New Roman" w:hAnsi="Times New Roman"/>
          <w:sz w:val="16"/>
          <w:szCs w:val="16"/>
          <w:i w:val="1"/>
          <w:iCs w:val="1"/>
          <w:color w:val="auto"/>
        </w:rPr>
        <w:t>Sanctions</w:t>
      </w:r>
      <w:r>
        <w:rPr>
          <w:rFonts w:ascii="Times New Roman" w:cs="Times New Roman" w:eastAsia="Times New Roman" w:hAnsi="Times New Roman"/>
          <w:sz w:val="16"/>
          <w:szCs w:val="16"/>
          <w:color w:val="auto"/>
        </w:rPr>
        <w: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ind w:right="280" w:firstLine="582"/>
        <w:spacing w:after="0" w:line="265" w:lineRule="auto"/>
        <w:tabs>
          <w:tab w:leader="none" w:pos="118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covenants that neither it nor any of its affiliates, subsidiaries, directors or officers will directly or indirectly use any payments made pursuant to this agreement, (i) to fund or facilitate any activities of or business with any person who, at the time of such funding or facilitation, is the subject or target of Sanctions, (ii) to fund or facilitate any activities of or business with any country or territory that is the target or subject of Sanctions, or (iii) in any other manner that will result in a violation of Sanctions by any person.</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12.17. Foreign Account Tax Compliance Act (FACTA).</w:t>
      </w:r>
    </w:p>
    <w:p>
      <w:pPr>
        <w:spacing w:after="0" w:line="208" w:lineRule="exact"/>
        <w:rPr>
          <w:sz w:val="20"/>
          <w:szCs w:val="20"/>
          <w:color w:val="auto"/>
        </w:rPr>
      </w:pPr>
    </w:p>
    <w:p>
      <w:pPr>
        <w:ind w:right="20" w:firstLine="585"/>
        <w:spacing w:after="0" w:line="259" w:lineRule="auto"/>
        <w:rPr>
          <w:sz w:val="20"/>
          <w:szCs w:val="20"/>
          <w:color w:val="auto"/>
        </w:rPr>
      </w:pPr>
      <w:r>
        <w:rPr>
          <w:rFonts w:ascii="Times New Roman" w:cs="Times New Roman" w:eastAsia="Times New Roman" w:hAnsi="Times New Roman"/>
          <w:sz w:val="16"/>
          <w:szCs w:val="16"/>
          <w:color w:val="auto"/>
        </w:rPr>
        <w:t>In order to comply with applicable tax laws, rules and regulations (inclusive of directives, guidelines and interpretations promulgated by competent authorities) in effect from time to time (“</w:t>
      </w:r>
      <w:r>
        <w:rPr>
          <w:rFonts w:ascii="Times New Roman" w:cs="Times New Roman" w:eastAsia="Times New Roman" w:hAnsi="Times New Roman"/>
          <w:sz w:val="16"/>
          <w:szCs w:val="16"/>
          <w:i w:val="1"/>
          <w:iCs w:val="1"/>
          <w:color w:val="auto"/>
        </w:rPr>
        <w:t>Applicable Law</w:t>
      </w:r>
      <w:r>
        <w:rPr>
          <w:rFonts w:ascii="Times New Roman" w:cs="Times New Roman" w:eastAsia="Times New Roman" w:hAnsi="Times New Roman"/>
          <w:sz w:val="16"/>
          <w:szCs w:val="16"/>
          <w:color w:val="auto"/>
        </w:rPr>
        <w:t>”), the Company agrees (i) to provide to The Bank of New York Mellon sufficient information about Holders or other applicable parties and/or transactions (including any modification to the terms of such transactions), to the extent such information is directly available to the Company, so The Bank of New York Mellon can determine whether it has tax-related obligations under Applicable Law, (ii) that The Bank of New York Mellon shall be entitled to make any withholding or deduction from payments under the Indenture to the extent necessary to comply with Applicable Law for which The Bank of New York Mellon shall not have any liability, and (iii) to hold harmless The Bank of New York Mellon for any losses it may suffer due to the actions it takes to comply with such Applicable Law. The terms of this section shall survive the termination of this Indenture.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XIII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SUBORDINATION OF SECURITIES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13.01. Applicability of Article</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right="240" w:firstLine="585"/>
        <w:spacing w:after="0" w:line="288" w:lineRule="auto"/>
        <w:rPr>
          <w:sz w:val="20"/>
          <w:szCs w:val="20"/>
          <w:color w:val="auto"/>
        </w:rPr>
      </w:pPr>
      <w:r>
        <w:rPr>
          <w:rFonts w:ascii="Times New Roman" w:cs="Times New Roman" w:eastAsia="Times New Roman" w:hAnsi="Times New Roman"/>
          <w:sz w:val="16"/>
          <w:szCs w:val="16"/>
          <w:color w:val="auto"/>
        </w:rPr>
        <w:t>Unless otherwise provided with respect to the Securities of any series in or pursuant to the Company Order or supplemental indenture establishing such series of Securities pursuant to Section 2.02, the provisions of this Article XIII shall be applicable to each series of Securities.</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13.02. Securities Subordinate to Senior Indebtedness</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firstLine="585"/>
        <w:spacing w:after="0" w:line="265" w:lineRule="auto"/>
        <w:rPr>
          <w:sz w:val="20"/>
          <w:szCs w:val="20"/>
          <w:color w:val="auto"/>
        </w:rPr>
      </w:pPr>
      <w:r>
        <w:rPr>
          <w:rFonts w:ascii="Times New Roman" w:cs="Times New Roman" w:eastAsia="Times New Roman" w:hAnsi="Times New Roman"/>
          <w:sz w:val="16"/>
          <w:szCs w:val="16"/>
          <w:color w:val="auto"/>
        </w:rPr>
        <w:t>The Company covenants and agrees, and each Holder of a Security, by his acceptance thereof, likewise covenants and agrees, that, to the extent and in the manner hereinafter set forth in this Article XIII, the payment of the principal of, premium, if any, or interest or any additional amounts on each and all of the Securities of such series is hereby expressly made subordinate and subject in right of payment to the prior payment in full of all Senior Indebtedness of the Company. No provisions of this Article XIII shall prevent the occurrence of any Event of Default.</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13.03. Payment Over of Proceeds Upon Dissolution, Etc</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right="60" w:firstLine="585"/>
        <w:spacing w:after="0" w:line="257" w:lineRule="auto"/>
        <w:rPr>
          <w:sz w:val="20"/>
          <w:szCs w:val="20"/>
          <w:color w:val="auto"/>
        </w:rPr>
      </w:pPr>
      <w:r>
        <w:rPr>
          <w:rFonts w:ascii="Times New Roman" w:cs="Times New Roman" w:eastAsia="Times New Roman" w:hAnsi="Times New Roman"/>
          <w:sz w:val="16"/>
          <w:szCs w:val="16"/>
          <w:color w:val="auto"/>
        </w:rPr>
        <w:t>In the event of (a) any insolvency or bankruptcy case or proceeding, or any receivership, liquidation, reorganization or other similar case or proceeding in connection therewith, relative to the Company or to its creditors, as such, or to its assets, or (b) any liquidation, dissolution or other winding up of the Company, whether voluntary or involuntary and whether or not involving insolvency or bankruptcy, or (c) any assignment for the benefit of creditors or any other marshalling of assets and liabilities of the Company, then and in any such event specified in (a), (b) or (c) above (each such event, if any, herein sometimes referred to as a “</w:t>
      </w:r>
      <w:r>
        <w:rPr>
          <w:rFonts w:ascii="Times New Roman" w:cs="Times New Roman" w:eastAsia="Times New Roman" w:hAnsi="Times New Roman"/>
          <w:sz w:val="16"/>
          <w:szCs w:val="16"/>
          <w:i w:val="1"/>
          <w:iCs w:val="1"/>
          <w:color w:val="auto"/>
        </w:rPr>
        <w:t>Proceeding</w:t>
      </w:r>
      <w:r>
        <w:rPr>
          <w:rFonts w:ascii="Times New Roman" w:cs="Times New Roman" w:eastAsia="Times New Roman" w:hAnsi="Times New Roman"/>
          <w:sz w:val="16"/>
          <w:szCs w:val="16"/>
          <w:color w:val="auto"/>
        </w:rPr>
        <w:t>”), the holders of Senior Indebtedness of the Company shall be entitled to receive payment in full of all amounts due or to become due on or in respect of all Senior Indebtedness of the Company, or provision shall be made for such payment in cash or cash equivalents or otherwise in a manner satisfactory to the holders of Senior Indebtedness of the Company, before the Holders of the Securities are entitled to receive any payment or distribution of any kind or character, whether in cash, property or securities (including any payment or distribution which may be payable or deliverable by reason of the payment of any other Indebtedness of the Company subordinated to the payment of the Securities), on account of principal of, premium, if any or interest or any additional amounts on the Securities or on account of any purchase or other acquisition of Securities by the Company or any Subsidiary of the Company (all such payments, distributions, purchases and acquisitions, other than the payment or distribution of stock or securities of the Company referred to in the second succeeding paragraph, herein referred to, individually and collectively, as a “</w:t>
      </w:r>
      <w:r>
        <w:rPr>
          <w:rFonts w:ascii="Times New Roman" w:cs="Times New Roman" w:eastAsia="Times New Roman" w:hAnsi="Times New Roman"/>
          <w:sz w:val="16"/>
          <w:szCs w:val="16"/>
          <w:i w:val="1"/>
          <w:iCs w:val="1"/>
          <w:color w:val="auto"/>
        </w:rPr>
        <w:t>Securities Payment</w:t>
      </w:r>
      <w:r>
        <w:rPr>
          <w:rFonts w:ascii="Times New Roman" w:cs="Times New Roman" w:eastAsia="Times New Roman" w:hAnsi="Times New Roman"/>
          <w:sz w:val="16"/>
          <w:szCs w:val="16"/>
          <w:color w:val="auto"/>
        </w:rPr>
        <w:t>”), and to that end the holders of Senior Indebtedness of the Company shall be entitled to receive, for application to the payment thereof, any Securities Payment which may be payable or deliverable in respect of the Securities in any such Proceeding.</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6" w:name="page177"/>
    <w:bookmarkEnd w:id="176"/>
    <w:p>
      <w:pPr>
        <w:ind w:right="40" w:firstLine="585"/>
        <w:spacing w:after="0" w:line="259" w:lineRule="auto"/>
        <w:rPr>
          <w:sz w:val="20"/>
          <w:szCs w:val="20"/>
          <w:color w:val="auto"/>
        </w:rPr>
      </w:pPr>
      <w:r>
        <w:rPr>
          <w:rFonts w:ascii="Times New Roman" w:cs="Times New Roman" w:eastAsia="Times New Roman" w:hAnsi="Times New Roman"/>
          <w:sz w:val="16"/>
          <w:szCs w:val="16"/>
          <w:color w:val="auto"/>
        </w:rPr>
        <w:t>In the event that, notwithstanding the foregoing provisions of this Section 13.03, the Trustee or the Holder of any Security shall have received any Securities Payment before all Senior Indebtedness of the Company is paid in full or payment thereof provided for in cash or cash equivalents or otherwise in a manner satisfactory to the holders of Senior Indebtedness of the Company, and if such fact shall, at or prior to the time of such Securities Payment, have been made known to the Trustee or, as the case may be, such Holder, then and in such event such Securities Payment shall be paid over or delivered forthwith to the trustee in bankruptcy, receiver, liquidating trustee, custodian, assignee, agent or other Person making payment or distribution of assets of the Company for application to the payment of all Senior Indebtedness of the Company remaining unpaid, to the extent necessary to pay all Senior Indebtedness of the Company in full, after giving effect to any concurrent payment or distribution to or for the holders of Senior Indebtedness of the Company.</w:t>
      </w:r>
    </w:p>
    <w:p>
      <w:pPr>
        <w:spacing w:after="0" w:line="169" w:lineRule="exact"/>
        <w:rPr>
          <w:sz w:val="20"/>
          <w:szCs w:val="20"/>
          <w:color w:val="auto"/>
        </w:rPr>
      </w:pPr>
    </w:p>
    <w:p>
      <w:pPr>
        <w:ind w:firstLine="585"/>
        <w:spacing w:after="0" w:line="258" w:lineRule="auto"/>
        <w:rPr>
          <w:sz w:val="20"/>
          <w:szCs w:val="20"/>
          <w:color w:val="auto"/>
        </w:rPr>
      </w:pPr>
      <w:r>
        <w:rPr>
          <w:rFonts w:ascii="Times New Roman" w:cs="Times New Roman" w:eastAsia="Times New Roman" w:hAnsi="Times New Roman"/>
          <w:sz w:val="16"/>
          <w:szCs w:val="16"/>
          <w:color w:val="auto"/>
        </w:rPr>
        <w:t>For purposes of this Article XIII only, the words “any payment or distribution of any kind or character, whether in cash, property or securities” shall not be deemed to include a payment or distribution of stock or securities of the Company provided for by a plan of reorganization or readjustment authorized by an order or decree of a court of competent jurisdiction in a reorganization proceeding under any applicable bankruptcy law or of any other corporation provided for by such plan of reorganization or readjustment which stock or securities are subordinated in right of payment to all then outstanding Senior Indebtedness of the Company to substantially the same extent as the Securities are so subordinated as provided in this Article XIII. The consolidation of the Company with, or the merger of the Company into, another Person or the liquidation or dissolution of the Company following the conveyance or other disposition of all or substantially all of its assets to another Person upon the terms and conditions set forth in Article V shall not be deemed a Proceeding for the purposes of this Section 13.03 if the Person formed by such consolidation or into which the Company is merged or the Person that acquires by conveyance or other disposition such assets, as the case may be, shall, as a part of such consolidation, merger, amalgamation, sale or conveyance, comply with the conditions set forth in Article V.</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13.04. No Payment When Senior Indebtedness of the Company in Default</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right="140" w:firstLine="585"/>
        <w:spacing w:after="0" w:line="262" w:lineRule="auto"/>
        <w:rPr>
          <w:sz w:val="20"/>
          <w:szCs w:val="20"/>
          <w:color w:val="auto"/>
        </w:rPr>
      </w:pPr>
      <w:r>
        <w:rPr>
          <w:rFonts w:ascii="Times New Roman" w:cs="Times New Roman" w:eastAsia="Times New Roman" w:hAnsi="Times New Roman"/>
          <w:sz w:val="16"/>
          <w:szCs w:val="16"/>
          <w:color w:val="auto"/>
        </w:rPr>
        <w:t xml:space="preserve">In the event that any Senior Payment Default shall have occurred and be continuing, then no Securities Payment shall be made unless and until such Senior Payment Default shall have been cured or waived or shall have ceased to exist or all amounts then due and payable in respect of Senior Indebtedness of the Company shall have been paid in full, or provision shall have been made for such payment in cash or cash equivalents or otherwise in a manner satisfactory to the holders of Senior Indebtedness of the Company;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nothing in this Section 13.04 shall prevent the satisfaction of any sinking fund payment in accordance with Article XIII by delivering and crediting pursuant to Article XI Securities which have been acquired (upon redemption or otherwise) prior to such Senior Payment Default.</w:t>
      </w:r>
    </w:p>
    <w:p>
      <w:pPr>
        <w:spacing w:after="0" w:line="165" w:lineRule="exact"/>
        <w:rPr>
          <w:sz w:val="20"/>
          <w:szCs w:val="20"/>
          <w:color w:val="auto"/>
        </w:rPr>
      </w:pPr>
    </w:p>
    <w:p>
      <w:pPr>
        <w:ind w:right="20" w:firstLine="585"/>
        <w:spacing w:after="0" w:line="257" w:lineRule="auto"/>
        <w:rPr>
          <w:sz w:val="20"/>
          <w:szCs w:val="20"/>
          <w:color w:val="auto"/>
        </w:rPr>
      </w:pPr>
      <w:r>
        <w:rPr>
          <w:rFonts w:ascii="Times New Roman" w:cs="Times New Roman" w:eastAsia="Times New Roman" w:hAnsi="Times New Roman"/>
          <w:sz w:val="16"/>
          <w:szCs w:val="16"/>
          <w:color w:val="auto"/>
        </w:rPr>
        <w:t>In the event that any Senior Nonmonetary Default shall have occurred and be continuing, then, upon the receipt by the Company and the Trustee of written notice of such Senior Nonmonetary Default from a Representative for the Senior Indebtedness which is the subject of such Senior Nonmonetary Default, no Securities Payment shall be made during the period (the “</w:t>
      </w:r>
      <w:r>
        <w:rPr>
          <w:rFonts w:ascii="Times New Roman" w:cs="Times New Roman" w:eastAsia="Times New Roman" w:hAnsi="Times New Roman"/>
          <w:sz w:val="16"/>
          <w:szCs w:val="16"/>
          <w:i w:val="1"/>
          <w:iCs w:val="1"/>
          <w:color w:val="auto"/>
        </w:rPr>
        <w:t>Payment Blockage Period</w:t>
      </w:r>
      <w:r>
        <w:rPr>
          <w:rFonts w:ascii="Times New Roman" w:cs="Times New Roman" w:eastAsia="Times New Roman" w:hAnsi="Times New Roman"/>
          <w:sz w:val="16"/>
          <w:szCs w:val="16"/>
          <w:color w:val="auto"/>
        </w:rPr>
        <w:t xml:space="preserve">”) commencing on the date of such receipt of such written notice and ending on the earlier of (i) the date on which such Senior Nonmonetary Default shall have been cured or waived or shall have ceased to exist or all Senior Indebtedness that is the subject of such Senior Nonmonetary Default shall have been discharged; or (ii) the date on which the Payment Blockage Period shall have been terminated by written notice to the Company or the Trustee from a Representative for the Senior Indebtedness initiating the Payment Blockage Period;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nothing in this Section 13.04 shall prevent the satisfaction of any sinking fund payment in accordance with Article 11 by delivering and crediting pursuant to Section 11.02 Securities which have been acquired (upon redemption or otherwise) prior to the date of such receipt of such written notice. As used herein, “</w:t>
      </w:r>
      <w:r>
        <w:rPr>
          <w:rFonts w:ascii="Times New Roman" w:cs="Times New Roman" w:eastAsia="Times New Roman" w:hAnsi="Times New Roman"/>
          <w:sz w:val="16"/>
          <w:szCs w:val="16"/>
          <w:i w:val="1"/>
          <w:iCs w:val="1"/>
          <w:color w:val="auto"/>
        </w:rPr>
        <w:t>Representative</w:t>
      </w:r>
      <w:r>
        <w:rPr>
          <w:rFonts w:ascii="Times New Roman" w:cs="Times New Roman" w:eastAsia="Times New Roman" w:hAnsi="Times New Roman"/>
          <w:sz w:val="16"/>
          <w:szCs w:val="16"/>
          <w:color w:val="auto"/>
        </w:rPr>
        <w:t>” means (i) the indenture trustee or other trustee, agent or representative for holders of Senior Indebtedness or (ii) with respect to any Senior Indebtedness that does not have any such trustee, agent or other representative, (a) in the case of such Senior Indebtedness issued pursuant to an agreement providing for voting arrangements as among the holders or owners of such Senior Indebtedness, any holder or owner of such Senior Indebtedness acting with the consent of the required persons necessary to bind such holders or owners of such Senior Indebtedness and (b) in the case of all other such Senior Indebtedness, the holder or owner of such Senior Indebtedness.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7" w:name="page178"/>
    <w:bookmarkEnd w:id="177"/>
    <w:p>
      <w:pPr>
        <w:ind w:right="120" w:firstLine="585"/>
        <w:spacing w:after="0" w:line="271" w:lineRule="auto"/>
        <w:rPr>
          <w:sz w:val="20"/>
          <w:szCs w:val="20"/>
          <w:color w:val="auto"/>
        </w:rPr>
      </w:pPr>
      <w:r>
        <w:rPr>
          <w:rFonts w:ascii="Times New Roman" w:cs="Times New Roman" w:eastAsia="Times New Roman" w:hAnsi="Times New Roman"/>
          <w:sz w:val="16"/>
          <w:szCs w:val="16"/>
          <w:color w:val="auto"/>
        </w:rPr>
        <w:t>In the event that, notwithstanding the foregoing, the Company shall make any Securities Payment to the Trustee or any Holder prohibited by the foregoing provisions of this Section 13.04, and if such fact shall, at or prior to the time of such Securities Payment, have been made known to the Trustee or, as the case may be, such Holder, then and in such event such Securities Payment shall be paid over and delivered forthwith to the Company.</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provisions of this Section 13.04 shall not apply to any Securities Payment with respect to which Section 13.03 would be applicable.</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13.05. Payment Permitted if No Default</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firstLine="585"/>
        <w:spacing w:after="0" w:line="265" w:lineRule="auto"/>
        <w:rPr>
          <w:sz w:val="20"/>
          <w:szCs w:val="20"/>
          <w:color w:val="auto"/>
        </w:rPr>
      </w:pPr>
      <w:r>
        <w:rPr>
          <w:rFonts w:ascii="Times New Roman" w:cs="Times New Roman" w:eastAsia="Times New Roman" w:hAnsi="Times New Roman"/>
          <w:sz w:val="16"/>
          <w:szCs w:val="16"/>
          <w:color w:val="auto"/>
        </w:rPr>
        <w:t>Nothing contained in this Article XIII or elsewhere in this Indenture or in any of the Securities shall prevent (a) the Company, at any time except during the pendency of any Proceeding referred to in Section 13.03 or under the conditions described in Section 13.04, from making Securities Payments, or (b) the application by the Trustee of any money deposited with it hereunder to Securities Payments or the retention of such Securities Payment by the Holders, if, at the time of such application by the Trustee, it did not have knowledge that such Securities Payment would have been prohibited by the provisions of this Article XIII.</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13.06. Subrogation to Rights of Holders of Senior Indebtedness of the Company</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right="60" w:firstLine="585"/>
        <w:spacing w:after="0" w:line="259" w:lineRule="auto"/>
        <w:rPr>
          <w:sz w:val="20"/>
          <w:szCs w:val="20"/>
          <w:color w:val="auto"/>
        </w:rPr>
      </w:pPr>
      <w:r>
        <w:rPr>
          <w:rFonts w:ascii="Times New Roman" w:cs="Times New Roman" w:eastAsia="Times New Roman" w:hAnsi="Times New Roman"/>
          <w:sz w:val="16"/>
          <w:szCs w:val="16"/>
          <w:color w:val="auto"/>
        </w:rPr>
        <w:t>Subject to the payment in full of all amounts due or to become due on or in respect of Senior Indebtedness of the Company, or the provision for such payment in cash or cash equivalents or otherwise in a manner satisfactory to the holders of Senior Indebtedness of the Company, the Holders of the Securities shall be subrogated to the rights of the holders of such Senior Indebtedness of the Company to receive payments and distributions of cash, property and securities applicable to Senior Indebtedness of the Company until the principal of, premium, if any, and interest and any additional amounts on the Securities shall be paid in full. For purposes of such subrogation, no payments or distributions to the holders of Senior Indebtedness of the Company of any cash, property or securities to which the Holders of the Securities or the Trustee would be entitled except for the provisions of this Article XIII, and no payments over pursuant to the provisions of this Article XIII to the holders of Senior Indebtedness of the Company by Holders of the Securities or the Trustee, shall, as among the Company, its creditors other than holders of Senior Indebtedness of the Company and the Holders of the Securities, be deemed to be a payment or distribution by the Company to or on account of Senior Indebtedness of the Company.</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13.07. Provisions Solely to Define Relative Rights</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right="100" w:firstLine="585"/>
        <w:spacing w:after="0" w:line="258" w:lineRule="auto"/>
        <w:rPr>
          <w:sz w:val="20"/>
          <w:szCs w:val="20"/>
          <w:color w:val="auto"/>
        </w:rPr>
      </w:pPr>
      <w:r>
        <w:rPr>
          <w:rFonts w:ascii="Times New Roman" w:cs="Times New Roman" w:eastAsia="Times New Roman" w:hAnsi="Times New Roman"/>
          <w:sz w:val="16"/>
          <w:szCs w:val="16"/>
          <w:color w:val="auto"/>
        </w:rPr>
        <w:t>The provisions of this Article XIII are and are intended solely for the purpose of defining the relative rights of the Holders, on the one hand, and the holders of Senior Indebtedness of the Company, on the other hand. Nothing contained in this Article XIII or elsewhere in this Indenture or in the Securities is intended to or shall (a) impair, as among the Company, its creditors other than holders of Senior Indebtedness of the Company and the Holders of the Securities, the obligation of the Company, which is absolute and unconditional (and which, subject to the rights under this Article XIII of the holders of Senior Indebtedness of the Company, is intended to rank equally with all other general obligations of the Company), to pay to the Holders of the Securities the principal of, premium, if any, and interest and any additional amounts on the Securities as and when the same shall become due and payable in accordance with their terms; or (b) affect the relative rights against the Company of the Holders of the Securities and creditors of the Company other than the holders of Senior Indebtedness of the Company; or (c) prevent the Trustee or the Holder of any Security from exercising all remedies otherwise permitted by applicable law upon default under this Indenture, subject to the rights, if any, under this Article XIII of the holders of Senior Indebtedness of the Company to receive cash, property and securities otherwise payable or deliverable to the Trustee or such Holder.</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13.08. Trustee to Effectuate Subordination</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right="460" w:firstLine="585"/>
        <w:spacing w:after="0" w:line="288" w:lineRule="auto"/>
        <w:rPr>
          <w:sz w:val="20"/>
          <w:szCs w:val="20"/>
          <w:color w:val="auto"/>
        </w:rPr>
      </w:pPr>
      <w:r>
        <w:rPr>
          <w:rFonts w:ascii="Times New Roman" w:cs="Times New Roman" w:eastAsia="Times New Roman" w:hAnsi="Times New Roman"/>
          <w:sz w:val="16"/>
          <w:szCs w:val="16"/>
          <w:color w:val="auto"/>
        </w:rPr>
        <w:t>Each Holder of a Security by his acceptance thereof authorizes and directs the Trustee on his behalf to take such action as may be necessary or appropriate to effectuate the subordination provided in this Article XIII and appoints the Trustee his attorney-in-fact for any and all such purposes.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8" w:name="page179"/>
    <w:bookmarkEnd w:id="178"/>
    <w:p>
      <w:pPr>
        <w:ind w:left="580"/>
        <w:spacing w:after="0"/>
        <w:rPr>
          <w:sz w:val="20"/>
          <w:szCs w:val="20"/>
          <w:color w:val="auto"/>
        </w:rPr>
      </w:pPr>
      <w:r>
        <w:rPr>
          <w:rFonts w:ascii="Times New Roman" w:cs="Times New Roman" w:eastAsia="Times New Roman" w:hAnsi="Times New Roman"/>
          <w:sz w:val="16"/>
          <w:szCs w:val="16"/>
          <w:i w:val="1"/>
          <w:iCs w:val="1"/>
          <w:color w:val="auto"/>
        </w:rPr>
        <w:t>Section 13.09. No Waiver of Subordination Provisions</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right="120" w:firstLine="585"/>
        <w:spacing w:after="0" w:line="271" w:lineRule="auto"/>
        <w:rPr>
          <w:sz w:val="20"/>
          <w:szCs w:val="20"/>
          <w:color w:val="auto"/>
        </w:rPr>
      </w:pPr>
      <w:r>
        <w:rPr>
          <w:rFonts w:ascii="Times New Roman" w:cs="Times New Roman" w:eastAsia="Times New Roman" w:hAnsi="Times New Roman"/>
          <w:sz w:val="16"/>
          <w:szCs w:val="16"/>
          <w:color w:val="auto"/>
        </w:rPr>
        <w:t>No right of any present or future holder of any Senior Indebtedness of the Company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any such holder may have or be otherwise charged with.</w:t>
      </w:r>
    </w:p>
    <w:p>
      <w:pPr>
        <w:spacing w:after="0" w:line="156" w:lineRule="exact"/>
        <w:rPr>
          <w:sz w:val="20"/>
          <w:szCs w:val="20"/>
          <w:color w:val="auto"/>
        </w:rPr>
      </w:pPr>
    </w:p>
    <w:p>
      <w:pPr>
        <w:ind w:right="80" w:firstLine="585"/>
        <w:spacing w:after="0" w:line="259" w:lineRule="auto"/>
        <w:rPr>
          <w:sz w:val="20"/>
          <w:szCs w:val="20"/>
          <w:color w:val="auto"/>
        </w:rPr>
      </w:pPr>
      <w:r>
        <w:rPr>
          <w:rFonts w:ascii="Times New Roman" w:cs="Times New Roman" w:eastAsia="Times New Roman" w:hAnsi="Times New Roman"/>
          <w:sz w:val="16"/>
          <w:szCs w:val="16"/>
          <w:color w:val="auto"/>
        </w:rPr>
        <w:t>Without in any way limiting the generality of the foregoing paragraph, the holders of Senior Indebtedness of the Company may, at any time and from time to time, without the consent of or notice to the Trustee or the Holders of the Securities, without incurring responsibility to the Holders of the Securities and without impairing or releasing the subordination provided in this Article XIII or the obligations hereunder of the Holders of the Securities to the holders of Senior Indebtedness of the Company, do any one or more of the following: (i) change the manner, place or terms of payment or extend the time of payment of, or renew or alter, Senior Indebtedness of the Company, or otherwise amend or supplement in any manner Senior Indebtedness of the Company or any instrument evidencing the same or any agreement under which Senior Indebtedness of the Company is outstanding; (ii) sell, exchange, release or otherwise deal with any property pledged, mortgaged or otherwise securing; (iii) release any Person liable in any manner for the collection of Senior Indebtedness of the Company; and (iv) exercise or refrain from exercising any rights against the Company and any other Person.</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13.10. Notice to Trustee</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right="40" w:firstLine="585"/>
        <w:spacing w:after="0" w:line="258" w:lineRule="auto"/>
        <w:rPr>
          <w:sz w:val="20"/>
          <w:szCs w:val="20"/>
          <w:color w:val="auto"/>
        </w:rPr>
      </w:pPr>
      <w:r>
        <w:rPr>
          <w:rFonts w:ascii="Times New Roman" w:cs="Times New Roman" w:eastAsia="Times New Roman" w:hAnsi="Times New Roman"/>
          <w:sz w:val="16"/>
          <w:szCs w:val="16"/>
          <w:color w:val="auto"/>
        </w:rPr>
        <w:t xml:space="preserve">The Company shall give prompt written notice to the Trustee of any fact known to the Company which would prohibit the making of any payment to or by the Trustee in respect of the Securities. Notwithstanding the provisions of this Article XIII or any other provision of this Indenture, the Trustee shall not be charged with knowledge of the existence of any facts which would prohibit the making of any payment to or by the Trustee in respect of the Securities, unless and until the Trustee shall have received written notice thereof from the Company or a holder of Senior Indebtedness of the Company or from any trustee therefor; and, prior to the receipt of any such written notice, the Trustee, subject to the provisions of Section 7.01, shall be entitled in all respects to assume that no such facts exist;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the Trustee shall not have received the notice provided for in this Section 13.10 at least three Business Days prior to the date upon which by the terms hereof any money may become payable for any purpose (including, without limitation, the payment of the principal of, premium, if any, or interest or any additional amounts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three Business Days prior to such date.</w:t>
      </w:r>
    </w:p>
    <w:p>
      <w:pPr>
        <w:spacing w:after="0" w:line="169" w:lineRule="exact"/>
        <w:rPr>
          <w:sz w:val="20"/>
          <w:szCs w:val="20"/>
          <w:color w:val="auto"/>
        </w:rPr>
      </w:pPr>
    </w:p>
    <w:p>
      <w:pPr>
        <w:ind w:right="40" w:firstLine="585"/>
        <w:spacing w:after="0" w:line="259" w:lineRule="auto"/>
        <w:rPr>
          <w:sz w:val="20"/>
          <w:szCs w:val="20"/>
          <w:color w:val="auto"/>
        </w:rPr>
      </w:pPr>
      <w:r>
        <w:rPr>
          <w:rFonts w:ascii="Times New Roman" w:cs="Times New Roman" w:eastAsia="Times New Roman" w:hAnsi="Times New Roman"/>
          <w:sz w:val="16"/>
          <w:szCs w:val="16"/>
          <w:color w:val="auto"/>
        </w:rPr>
        <w:t>Subject to the provisions of Section 7.01, the Trustee shall be entitled to rely on the delivery to it of a written notice by a Person representing himself to be a holder of Senior Indebtedness of the Company (or a trustee therefor) to establish that such notice has been given by a holder of Senior Indebtedness of the Company (or a trustee therefor). In the event that the Trustee determines in good faith that further evidence is required with respect to the right of any Person as a holder of Senior Indebtedness of the Company to participate in any payment or distribution pursuant to this Article XIII, the Trustee may request such Person to furnish evidence to the reasonable satisfaction of the Trustee as to the amount of Senior Indebtedness of the Company held by such Person, the extent to which such Person is entitled to participate in such payment or distribution and any other facts pertinent to the rights of such Person under this Article XIII, and if such evidence is not furnished, the Trustee may defer any payment to such Person pending judicial determination as to the right of such Person to receive such payment.</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13.11. Reliance on Judicial Order or Certificate of Liquidating Agent</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firstLine="585"/>
        <w:spacing w:after="0" w:line="261" w:lineRule="auto"/>
        <w:rPr>
          <w:sz w:val="20"/>
          <w:szCs w:val="20"/>
          <w:color w:val="auto"/>
        </w:rPr>
      </w:pPr>
      <w:r>
        <w:rPr>
          <w:rFonts w:ascii="Times New Roman" w:cs="Times New Roman" w:eastAsia="Times New Roman" w:hAnsi="Times New Roman"/>
          <w:sz w:val="16"/>
          <w:szCs w:val="16"/>
          <w:color w:val="auto"/>
        </w:rPr>
        <w:t>Upon any payment or distribution of assets of the Company referred to in this Article XIII, the Trustee, subject to the provisions of Section 7.01, and the Holders of the Securities shall be entitled to rely upon any order or decree entered by any court of competent jurisdiction in which such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Senior Indebtedness of the Company and other Indebtedness of the Company, the amount thereof or payable thereon, the amount or amounts paid or distributed thereon and all other facts pertinent thereto or to this Article XIII.</w:t>
      </w: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9" w:name="page180"/>
    <w:bookmarkEnd w:id="179"/>
    <w:p>
      <w:pPr>
        <w:ind w:left="580"/>
        <w:spacing w:after="0"/>
        <w:rPr>
          <w:sz w:val="20"/>
          <w:szCs w:val="20"/>
          <w:color w:val="auto"/>
        </w:rPr>
      </w:pPr>
      <w:r>
        <w:rPr>
          <w:rFonts w:ascii="Times New Roman" w:cs="Times New Roman" w:eastAsia="Times New Roman" w:hAnsi="Times New Roman"/>
          <w:sz w:val="16"/>
          <w:szCs w:val="16"/>
          <w:i w:val="1"/>
          <w:iCs w:val="1"/>
          <w:color w:val="auto"/>
        </w:rPr>
        <w:t>Section 13.12. Trustee Not Fiduciary for Holders of Senior Indebtedness of the Company</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jc w:val="both"/>
        <w:ind w:right="220" w:firstLine="585"/>
        <w:spacing w:after="0" w:line="271" w:lineRule="auto"/>
        <w:rPr>
          <w:sz w:val="20"/>
          <w:szCs w:val="20"/>
          <w:color w:val="auto"/>
        </w:rPr>
      </w:pPr>
      <w:r>
        <w:rPr>
          <w:rFonts w:ascii="Times New Roman" w:cs="Times New Roman" w:eastAsia="Times New Roman" w:hAnsi="Times New Roman"/>
          <w:sz w:val="16"/>
          <w:szCs w:val="16"/>
          <w:color w:val="auto"/>
        </w:rPr>
        <w:t>The Trustee shall not be deemed to owe any fiduciary duty to the holders of Senior Indebtedness of the Company and shall not be liable to any such holders if it shall in good faith mistakenly pay over or distribute to Holders of Securities or to the Company or to any other Person cash, property or securities to which any holders of Senior Indebtedness of the Company shall be entitled by virtue of this Article XIII or otherwise.</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13.13. Rights of Trustee as Holder of Senior Indebtedness of the Company; Preservation of Trustee’s Rights</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firstLine="585"/>
        <w:spacing w:after="0" w:line="271" w:lineRule="auto"/>
        <w:rPr>
          <w:sz w:val="20"/>
          <w:szCs w:val="20"/>
          <w:color w:val="auto"/>
        </w:rPr>
      </w:pPr>
      <w:r>
        <w:rPr>
          <w:rFonts w:ascii="Times New Roman" w:cs="Times New Roman" w:eastAsia="Times New Roman" w:hAnsi="Times New Roman"/>
          <w:sz w:val="16"/>
          <w:szCs w:val="16"/>
          <w:color w:val="auto"/>
        </w:rPr>
        <w:t>The Trustee in its individual capacity shall be entitled to all the rights set forth in this Article XIII with respect to any Senior Indebtedness of the Company which may at any time be held by it, to the same extent as any other holder of Senior Indebtedness of the Company, and nothing in this Indenture shall deprive the Trustee of any of its rights as such holder. Nothing in this Article XIII shall apply to claims of, or payments to, the Trustee under or pursuant to Section 7.06.</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13.14. Article Applicable to Paying Agents</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right="20" w:firstLine="585"/>
        <w:spacing w:after="0" w:line="265" w:lineRule="auto"/>
        <w:rPr>
          <w:sz w:val="20"/>
          <w:szCs w:val="20"/>
          <w:color w:val="auto"/>
        </w:rPr>
      </w:pPr>
      <w:r>
        <w:rPr>
          <w:rFonts w:ascii="Times New Roman" w:cs="Times New Roman" w:eastAsia="Times New Roman" w:hAnsi="Times New Roman"/>
          <w:sz w:val="16"/>
          <w:szCs w:val="16"/>
          <w:color w:val="auto"/>
        </w:rPr>
        <w:t xml:space="preserve">In case at any time any Paying Agent other than the Trustee shall have been appointed by the Company with respect to the Securities and be then acting hereunder, the term “Trustee” as used in this Article XIII shall in such case (unless the context otherwise requires) be construed as extending to and including such Paying Agent within its meaning as fully for all intents and purposes as if such Paying Agent were named in this Article XIII in addition to or in place of the Trustee;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Section 13.13 shall not apply to the Company or any Affiliate of the Company if the Company or one of its Affiliates acts as Paying Agent.</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13.15. Defeasance of this Article XIII</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jc w:val="both"/>
        <w:ind w:right="260" w:firstLine="585"/>
        <w:spacing w:after="0" w:line="271" w:lineRule="auto"/>
        <w:rPr>
          <w:sz w:val="20"/>
          <w:szCs w:val="20"/>
          <w:color w:val="auto"/>
        </w:rPr>
      </w:pPr>
      <w:r>
        <w:rPr>
          <w:rFonts w:ascii="Times New Roman" w:cs="Times New Roman" w:eastAsia="Times New Roman" w:hAnsi="Times New Roman"/>
          <w:sz w:val="16"/>
          <w:szCs w:val="16"/>
          <w:color w:val="auto"/>
        </w:rPr>
        <w:t>The subordination of the Securities of a series provided by this Article XIII is expressly made subject to the provisions for defeasance or covenant defeasance in Article IX and, anything herein to the contrary notwithstanding, upon the effectiveness of any such defeasance or covenant defeasance, the Securities of such series then outstanding shall thereupon cease to be subordinated pursuant to this Article XIII.</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[Signatures on following page]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6"/>
          <w:szCs w:val="16"/>
          <w:color w:val="auto"/>
        </w:rPr>
        <w:t>IN WITNESS WHEREOF, the parties have caused this Indenture to be duly executed as of the date first written above.</w:t>
      </w:r>
    </w:p>
    <w:p>
      <w:pPr>
        <w:spacing w:after="0" w:line="20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VIATRIS INC.</w:t>
      </w:r>
    </w:p>
    <w:p>
      <w:pPr>
        <w:spacing w:after="0" w:line="2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17145</wp:posOffset>
            </wp:positionV>
            <wp:extent cx="3356610"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8">
                      <a:extLst>
                        <a:ext uri="{28A0092B-C50C-407E-A947-70E740481C1C}"/>
                      </a:extLst>
                    </a:blip>
                    <a:srcRect/>
                    <a:stretch>
                      <a:fillRect/>
                    </a:stretch>
                  </pic:blipFill>
                  <pic:spPr bwMode="auto">
                    <a:xfrm>
                      <a:off x="0" y="0"/>
                      <a:ext cx="3356610" cy="15240"/>
                    </a:xfrm>
                    <a:prstGeom prst="rect">
                      <a:avLst/>
                    </a:prstGeom>
                    <a:noFill/>
                  </pic:spPr>
                </pic:pic>
              </a:graphicData>
            </a:graphic>
          </wp:anchor>
        </w:drawing>
      </w:r>
    </w:p>
    <w:p>
      <w:pPr>
        <w:spacing w:after="0" w:line="1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Name:</w:t>
      </w:r>
    </w:p>
    <w:p>
      <w:pPr>
        <w:spacing w:after="0" w:line="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Title:</w:t>
      </w:r>
    </w:p>
    <w:p>
      <w:pPr>
        <w:spacing w:after="0" w:line="19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THE GUARANTORS NAMED ON SCHEDULE A HERETO, as Guarantors,</w:t>
      </w:r>
    </w:p>
    <w:p>
      <w:pPr>
        <w:spacing w:after="0" w:line="2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17145</wp:posOffset>
            </wp:positionV>
            <wp:extent cx="3356610"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9">
                      <a:extLst>
                        <a:ext uri="{28A0092B-C50C-407E-A947-70E740481C1C}"/>
                      </a:extLst>
                    </a:blip>
                    <a:srcRect/>
                    <a:stretch>
                      <a:fillRect/>
                    </a:stretch>
                  </pic:blipFill>
                  <pic:spPr bwMode="auto">
                    <a:xfrm>
                      <a:off x="0" y="0"/>
                      <a:ext cx="3356610" cy="15240"/>
                    </a:xfrm>
                    <a:prstGeom prst="rect">
                      <a:avLst/>
                    </a:prstGeom>
                    <a:noFill/>
                  </pic:spPr>
                </pic:pic>
              </a:graphicData>
            </a:graphic>
          </wp:anchor>
        </w:drawing>
      </w:r>
    </w:p>
    <w:p>
      <w:pPr>
        <w:spacing w:after="0" w:line="1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Name:</w:t>
      </w:r>
    </w:p>
    <w:p>
      <w:pPr>
        <w:spacing w:after="0" w:line="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Title:</w:t>
      </w:r>
    </w:p>
    <w:p>
      <w:pPr>
        <w:spacing w:after="0" w:line="19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THE BANK OF NEW YORK MELLON, as Trustee</w:t>
      </w:r>
    </w:p>
    <w:p>
      <w:pPr>
        <w:spacing w:after="0" w:line="2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25400</wp:posOffset>
            </wp:positionV>
            <wp:extent cx="3356610"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0">
                      <a:extLst>
                        <a:ext uri="{28A0092B-C50C-407E-A947-70E740481C1C}"/>
                      </a:extLst>
                    </a:blip>
                    <a:srcRect/>
                    <a:stretch>
                      <a:fillRect/>
                    </a:stretch>
                  </pic:blipFill>
                  <pic:spPr bwMode="auto">
                    <a:xfrm>
                      <a:off x="0" y="0"/>
                      <a:ext cx="3356610" cy="15240"/>
                    </a:xfrm>
                    <a:prstGeom prst="rect">
                      <a:avLst/>
                    </a:prstGeom>
                    <a:noFill/>
                  </pic:spPr>
                </pic:pic>
              </a:graphicData>
            </a:graphic>
          </wp:anchor>
        </w:drawing>
      </w:r>
    </w:p>
    <w:p>
      <w:pPr>
        <w:spacing w:after="0" w:line="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Name:</w:t>
      </w:r>
    </w:p>
    <w:p>
      <w:pPr>
        <w:spacing w:after="0" w:line="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Title:</w:t>
      </w:r>
    </w:p>
    <w:p>
      <w:pPr>
        <w:spacing w:after="0" w:line="1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[Signature Page to Subordinated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241935</wp:posOffset>
            </wp:positionV>
            <wp:extent cx="7145655"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180"/>
          </w:cols>
          <w:pgMar w:left="900" w:top="123" w:right="819" w:bottom="1440" w:gutter="0" w:footer="0" w:header="0"/>
        </w:sectPr>
      </w:pPr>
    </w:p>
    <w:bookmarkStart w:id="181" w:name="page182"/>
    <w:bookmarkEnd w:id="18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243205</wp:posOffset>
            </wp:positionV>
            <wp:extent cx="7145655"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6"/>
          <w:szCs w:val="16"/>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NOTATION OF GUARANTEE]</w:t>
      </w:r>
    </w:p>
    <w:p>
      <w:pPr>
        <w:spacing w:after="0" w:line="204" w:lineRule="exact"/>
        <w:rPr>
          <w:sz w:val="20"/>
          <w:szCs w:val="20"/>
          <w:color w:val="auto"/>
        </w:rPr>
      </w:pPr>
    </w:p>
    <w:p>
      <w:pPr>
        <w:ind w:right="60" w:firstLine="585"/>
        <w:spacing w:after="0" w:line="261" w:lineRule="auto"/>
        <w:rPr>
          <w:sz w:val="20"/>
          <w:szCs w:val="20"/>
          <w:color w:val="auto"/>
        </w:rPr>
      </w:pPr>
      <w:r>
        <w:rPr>
          <w:rFonts w:ascii="Times New Roman" w:cs="Times New Roman" w:eastAsia="Times New Roman" w:hAnsi="Times New Roman"/>
          <w:sz w:val="16"/>
          <w:szCs w:val="16"/>
          <w:color w:val="auto"/>
        </w:rPr>
        <w:t>Each of the undersigned (collectively, the “</w:t>
      </w:r>
      <w:r>
        <w:rPr>
          <w:rFonts w:ascii="Times New Roman" w:cs="Times New Roman" w:eastAsia="Times New Roman" w:hAnsi="Times New Roman"/>
          <w:sz w:val="16"/>
          <w:szCs w:val="16"/>
          <w:i w:val="1"/>
          <w:iCs w:val="1"/>
          <w:color w:val="auto"/>
        </w:rPr>
        <w:t>Guarantors</w:t>
      </w:r>
      <w:r>
        <w:rPr>
          <w:rFonts w:ascii="Times New Roman" w:cs="Times New Roman" w:eastAsia="Times New Roman" w:hAnsi="Times New Roman"/>
          <w:sz w:val="16"/>
          <w:szCs w:val="16"/>
          <w:color w:val="auto"/>
        </w:rPr>
        <w:t>”) have guaranteed, jointly and severally, fully and unconditionally (such guarantee by each Guarantor being referred to herein as the “</w:t>
      </w:r>
      <w:r>
        <w:rPr>
          <w:rFonts w:ascii="Times New Roman" w:cs="Times New Roman" w:eastAsia="Times New Roman" w:hAnsi="Times New Roman"/>
          <w:sz w:val="16"/>
          <w:szCs w:val="16"/>
          <w:i w:val="1"/>
          <w:iCs w:val="1"/>
          <w:color w:val="auto"/>
        </w:rPr>
        <w:t>Guarantee</w:t>
      </w:r>
      <w:r>
        <w:rPr>
          <w:rFonts w:ascii="Times New Roman" w:cs="Times New Roman" w:eastAsia="Times New Roman" w:hAnsi="Times New Roman"/>
          <w:sz w:val="16"/>
          <w:szCs w:val="16"/>
          <w:color w:val="auto"/>
        </w:rPr>
        <w:t>”) (i) the due and punctual payment of the principal of and interest on the Securities, whether at maturity, by acceleration or otherwise, the due and punctual payment of interest on the overdue principal and interest, if any, on the Securities, to the extent lawful, and the due and punctual performance of all other obligations of the Company to the Holders or the Trustee all in accordance with the terms set forth in Article X of the Indenture and (ii) in case of any extension of time of payment or renewal of any Securities or any of such other obligations, that the same will be promptly paid in full when due or performed in accordance with the terms of the extension or renewal, whether at stated maturity, by acceleration or otherwise.</w:t>
      </w:r>
    </w:p>
    <w:p>
      <w:pPr>
        <w:spacing w:after="0" w:line="166" w:lineRule="exact"/>
        <w:rPr>
          <w:sz w:val="20"/>
          <w:szCs w:val="20"/>
          <w:color w:val="auto"/>
        </w:rPr>
      </w:pPr>
    </w:p>
    <w:p>
      <w:pPr>
        <w:ind w:right="100" w:firstLine="585"/>
        <w:spacing w:after="0" w:line="265" w:lineRule="auto"/>
        <w:rPr>
          <w:sz w:val="20"/>
          <w:szCs w:val="20"/>
          <w:color w:val="auto"/>
        </w:rPr>
      </w:pPr>
      <w:r>
        <w:rPr>
          <w:rFonts w:ascii="Times New Roman" w:cs="Times New Roman" w:eastAsia="Times New Roman" w:hAnsi="Times New Roman"/>
          <w:sz w:val="16"/>
          <w:szCs w:val="16"/>
          <w:color w:val="auto"/>
        </w:rPr>
        <w:t>No past, present or future director, board member, member, partner, officer, employee or equityholder of the Guarantors will have any liability for any of the Guarantor’s obligations under the Guarantee or for any claim based on, in respect of, or by reason of, such obligations or their creation (other than the Guarantors in respect of their respective Guarantees and the Company in respect of the Securities). Each Holder of Securities by accepting a Security waives and releases all such liability. The waiver and release are part of the consideration for issuance of the Guarantees.</w:t>
      </w:r>
    </w:p>
    <w:p>
      <w:pPr>
        <w:spacing w:after="0" w:line="162" w:lineRule="exact"/>
        <w:rPr>
          <w:sz w:val="20"/>
          <w:szCs w:val="20"/>
          <w:color w:val="auto"/>
        </w:rPr>
      </w:pPr>
    </w:p>
    <w:p>
      <w:pPr>
        <w:ind w:right="500" w:firstLine="585"/>
        <w:spacing w:after="0" w:line="288" w:lineRule="auto"/>
        <w:rPr>
          <w:sz w:val="20"/>
          <w:szCs w:val="20"/>
          <w:color w:val="auto"/>
        </w:rPr>
      </w:pPr>
      <w:r>
        <w:rPr>
          <w:rFonts w:ascii="Times New Roman" w:cs="Times New Roman" w:eastAsia="Times New Roman" w:hAnsi="Times New Roman"/>
          <w:sz w:val="16"/>
          <w:szCs w:val="16"/>
          <w:color w:val="auto"/>
        </w:rPr>
        <w:t>Each Holder of a Security by accepting a Security agrees that any Guarantor named below shall have no further liability with respect to its Guarantee if such Guarantor otherwise ceases to be liable in respect of its Guarantee in accordance with the terms of the Indenture.</w:t>
      </w:r>
    </w:p>
    <w:p>
      <w:pPr>
        <w:spacing w:after="0" w:line="143" w:lineRule="exact"/>
        <w:rPr>
          <w:sz w:val="20"/>
          <w:szCs w:val="20"/>
          <w:color w:val="auto"/>
        </w:rPr>
      </w:pPr>
    </w:p>
    <w:p>
      <w:pPr>
        <w:ind w:right="100" w:firstLine="585"/>
        <w:spacing w:after="0" w:line="288" w:lineRule="auto"/>
        <w:rPr>
          <w:sz w:val="20"/>
          <w:szCs w:val="20"/>
          <w:color w:val="auto"/>
        </w:rPr>
      </w:pPr>
      <w:r>
        <w:rPr>
          <w:rFonts w:ascii="Times New Roman" w:cs="Times New Roman" w:eastAsia="Times New Roman" w:hAnsi="Times New Roman"/>
          <w:sz w:val="16"/>
          <w:szCs w:val="16"/>
          <w:color w:val="auto"/>
        </w:rPr>
        <w:t>The Guarantee shall not be valid or obligatory for any purpose until the certificate of authentication on the Securities upon which the Guarantee is noted shall have been executed by the Trustee under the Indenture by the manual signature of one of its authorized officers.</w:t>
      </w:r>
    </w:p>
    <w:p>
      <w:pPr>
        <w:spacing w:after="0" w:line="1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[GUARANTORS]</w:t>
      </w:r>
    </w:p>
    <w:p>
      <w:pPr>
        <w:spacing w:after="0" w:line="2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25400</wp:posOffset>
            </wp:positionV>
            <wp:extent cx="3356610"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3">
                      <a:extLst>
                        <a:ext uri="{28A0092B-C50C-407E-A947-70E740481C1C}"/>
                      </a:extLst>
                    </a:blip>
                    <a:srcRect/>
                    <a:stretch>
                      <a:fillRect/>
                    </a:stretch>
                  </pic:blipFill>
                  <pic:spPr bwMode="auto">
                    <a:xfrm>
                      <a:off x="0" y="0"/>
                      <a:ext cx="3356610" cy="15240"/>
                    </a:xfrm>
                    <a:prstGeom prst="rect">
                      <a:avLst/>
                    </a:prstGeom>
                    <a:noFill/>
                  </pic:spPr>
                </pic:pic>
              </a:graphicData>
            </a:graphic>
          </wp:anchor>
        </w:drawing>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Name: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309245</wp:posOffset>
            </wp:positionV>
            <wp:extent cx="7145655"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11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5">
                      <a:extLst>
                        <a:ext uri="{28A0092B-C50C-407E-A947-70E740481C1C}"/>
                      </a:extLst>
                    </a:blip>
                    <a:srcRect/>
                    <a:stretch>
                      <a:fillRect/>
                    </a:stretch>
                  </pic:blipFill>
                  <pic:spPr bwMode="auto">
                    <a:xfrm>
                      <a:off x="0" y="0"/>
                      <a:ext cx="7145655" cy="31115"/>
                    </a:xfrm>
                    <a:prstGeom prst="rect">
                      <a:avLst/>
                    </a:prstGeom>
                    <a:noFill/>
                  </pic:spPr>
                </pic:pic>
              </a:graphicData>
            </a:graphic>
          </wp:anchor>
        </w:drawing>
        <w:t>Exhibit 4.13</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VIATRIS INC.</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JUNIOR SUBORDINATED INDENTURE</w:t>
      </w:r>
    </w:p>
    <w:p>
      <w:pPr>
        <w:spacing w:after="0" w:line="206" w:lineRule="exact"/>
        <w:rPr>
          <w:sz w:val="20"/>
          <w:szCs w:val="20"/>
          <w:color w:val="auto"/>
        </w:rPr>
      </w:pPr>
    </w:p>
    <w:p>
      <w:pPr>
        <w:ind w:left="3900"/>
        <w:spacing w:after="0"/>
        <w:tabs>
          <w:tab w:leader="none" w:pos="5060" w:val="left"/>
        </w:tabs>
        <w:rPr>
          <w:sz w:val="20"/>
          <w:szCs w:val="20"/>
          <w:color w:val="auto"/>
        </w:rPr>
      </w:pPr>
      <w:r>
        <w:rPr>
          <w:rFonts w:ascii="Times New Roman" w:cs="Times New Roman" w:eastAsia="Times New Roman" w:hAnsi="Times New Roman"/>
          <w:sz w:val="16"/>
          <w:szCs w:val="16"/>
          <w:b w:val="1"/>
          <w:bCs w:val="1"/>
          <w:color w:val="auto"/>
        </w:rPr>
        <w:t>Dated as of</w:t>
      </w:r>
      <w:r>
        <w:rPr>
          <w:sz w:val="20"/>
          <w:szCs w:val="20"/>
          <w:color w:val="auto"/>
        </w:rPr>
        <w:tab/>
      </w:r>
      <w:r>
        <w:rPr>
          <w:rFonts w:ascii="Times New Roman" w:cs="Times New Roman" w:eastAsia="Times New Roman" w:hAnsi="Times New Roman"/>
          <w:sz w:val="16"/>
          <w:szCs w:val="16"/>
          <w:b w:val="1"/>
          <w:bCs w:val="1"/>
          <w:color w:val="auto"/>
        </w:rPr>
        <w:t>,</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THE BANK OF NEW YORK MELLON</w:t>
      </w:r>
    </w:p>
    <w:p>
      <w:pPr>
        <w:spacing w:after="0" w:line="20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243205</wp:posOffset>
            </wp:positionV>
            <wp:extent cx="7145655"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140"/>
          </w:cols>
          <w:pgMar w:left="1440" w:top="255" w:right="31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8180" w:type="dxa"/>
            <w:vAlign w:val="bottom"/>
            <w:gridSpan w:val="3"/>
          </w:tcPr>
          <w:p>
            <w:pPr>
              <w:jc w:val="center"/>
              <w:ind w:right="2759"/>
              <w:spacing w:after="0"/>
              <w:rPr>
                <w:sz w:val="20"/>
                <w:szCs w:val="20"/>
                <w:color w:val="auto"/>
              </w:rPr>
            </w:pPr>
            <w:r>
              <w:rPr>
                <w:rFonts w:ascii="Times New Roman" w:cs="Times New Roman" w:eastAsia="Times New Roman" w:hAnsi="Times New Roman"/>
                <w:sz w:val="16"/>
                <w:szCs w:val="16"/>
                <w:color w:val="auto"/>
              </w:rPr>
              <w:t>Table Showing Reflection in Indenture of Certain</w:t>
            </w:r>
          </w:p>
        </w:tc>
      </w:tr>
      <w:tr>
        <w:trPr>
          <w:trHeight w:val="195"/>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8180" w:type="dxa"/>
            <w:vAlign w:val="bottom"/>
            <w:gridSpan w:val="3"/>
          </w:tcPr>
          <w:p>
            <w:pPr>
              <w:jc w:val="center"/>
              <w:ind w:right="2739"/>
              <w:spacing w:after="0"/>
              <w:rPr>
                <w:sz w:val="20"/>
                <w:szCs w:val="20"/>
                <w:color w:val="auto"/>
              </w:rPr>
            </w:pPr>
            <w:r>
              <w:rPr>
                <w:rFonts w:ascii="Times New Roman" w:cs="Times New Roman" w:eastAsia="Times New Roman" w:hAnsi="Times New Roman"/>
                <w:sz w:val="16"/>
                <w:szCs w:val="16"/>
                <w:color w:val="auto"/>
              </w:rPr>
              <w:t>Provisions of Trust Indenture Act of 1939, as</w:t>
            </w:r>
          </w:p>
        </w:tc>
      </w:tr>
      <w:tr>
        <w:trPr>
          <w:trHeight w:val="211"/>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180" w:type="dxa"/>
            <w:vAlign w:val="bottom"/>
            <w:gridSpan w:val="3"/>
          </w:tcPr>
          <w:p>
            <w:pPr>
              <w:jc w:val="center"/>
              <w:ind w:right="2739"/>
              <w:spacing w:after="0"/>
              <w:rPr>
                <w:sz w:val="20"/>
                <w:szCs w:val="20"/>
                <w:color w:val="auto"/>
              </w:rPr>
            </w:pPr>
            <w:r>
              <w:rPr>
                <w:rFonts w:ascii="Times New Roman" w:cs="Times New Roman" w:eastAsia="Times New Roman" w:hAnsi="Times New Roman"/>
                <w:sz w:val="16"/>
                <w:szCs w:val="16"/>
                <w:color w:val="auto"/>
              </w:rPr>
              <w:t>amended*</w:t>
            </w:r>
          </w:p>
        </w:tc>
      </w:tr>
      <w:tr>
        <w:trPr>
          <w:trHeight w:val="78"/>
        </w:trPr>
        <w:tc>
          <w:tcPr>
            <w:tcW w:w="20" w:type="dxa"/>
            <w:vAlign w:val="bottom"/>
          </w:tcPr>
          <w:p>
            <w:pPr>
              <w:spacing w:after="0"/>
              <w:rPr>
                <w:sz w:val="6"/>
                <w:szCs w:val="6"/>
                <w:color w:val="auto"/>
              </w:rPr>
            </w:pPr>
          </w:p>
        </w:tc>
        <w:tc>
          <w:tcPr>
            <w:tcW w:w="3060" w:type="dxa"/>
            <w:vAlign w:val="bottom"/>
            <w:tcBorders>
              <w:bottom w:val="single" w:sz="8" w:color="auto"/>
            </w:tcBorders>
          </w:tcPr>
          <w:p>
            <w:pPr>
              <w:spacing w:after="0"/>
              <w:rPr>
                <w:sz w:val="6"/>
                <w:szCs w:val="6"/>
                <w:color w:val="auto"/>
              </w:rPr>
            </w:pPr>
          </w:p>
        </w:tc>
        <w:tc>
          <w:tcPr>
            <w:tcW w:w="65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r>
      <w:tr>
        <w:trPr>
          <w:trHeight w:val="90"/>
        </w:trPr>
        <w:tc>
          <w:tcPr>
            <w:tcW w:w="20" w:type="dxa"/>
            <w:vAlign w:val="bottom"/>
          </w:tcPr>
          <w:p>
            <w:pPr>
              <w:spacing w:after="0"/>
              <w:rPr>
                <w:sz w:val="7"/>
                <w:szCs w:val="7"/>
                <w:color w:val="auto"/>
              </w:rPr>
            </w:pPr>
          </w:p>
        </w:tc>
        <w:tc>
          <w:tcPr>
            <w:tcW w:w="3060" w:type="dxa"/>
            <w:vAlign w:val="bottom"/>
            <w:tcBorders>
              <w:bottom w:val="single" w:sz="8" w:color="auto"/>
            </w:tcBorders>
          </w:tcPr>
          <w:p>
            <w:pPr>
              <w:spacing w:after="0"/>
              <w:rPr>
                <w:sz w:val="7"/>
                <w:szCs w:val="7"/>
                <w:color w:val="auto"/>
              </w:rPr>
            </w:pPr>
          </w:p>
        </w:tc>
        <w:tc>
          <w:tcPr>
            <w:tcW w:w="6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r>
      <w:tr>
        <w:trPr>
          <w:trHeight w:val="267"/>
        </w:trPr>
        <w:tc>
          <w:tcPr>
            <w:tcW w:w="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8180" w:type="dxa"/>
            <w:vAlign w:val="bottom"/>
            <w:gridSpan w:val="3"/>
          </w:tcPr>
          <w:p>
            <w:pPr>
              <w:jc w:val="right"/>
              <w:ind w:right="4839"/>
              <w:spacing w:after="0"/>
              <w:rPr>
                <w:sz w:val="20"/>
                <w:szCs w:val="20"/>
                <w:color w:val="auto"/>
              </w:rPr>
            </w:pPr>
            <w:r>
              <w:rPr>
                <w:rFonts w:ascii="Times New Roman" w:cs="Times New Roman" w:eastAsia="Times New Roman" w:hAnsi="Times New Roman"/>
                <w:sz w:val="16"/>
                <w:szCs w:val="16"/>
                <w:color w:val="auto"/>
              </w:rPr>
              <w:t>Reflected in Indenture</w:t>
            </w:r>
          </w:p>
        </w:tc>
      </w:tr>
      <w:tr>
        <w:trPr>
          <w:trHeight w:val="200"/>
        </w:trPr>
        <w:tc>
          <w:tcPr>
            <w:tcW w:w="3080" w:type="dxa"/>
            <w:vAlign w:val="bottom"/>
            <w:gridSpan w:val="2"/>
          </w:tcPr>
          <w:p>
            <w:pPr>
              <w:spacing w:after="0"/>
              <w:rPr>
                <w:sz w:val="17"/>
                <w:szCs w:val="17"/>
                <w:color w:val="auto"/>
              </w:rPr>
            </w:pPr>
          </w:p>
        </w:tc>
        <w:tc>
          <w:tcPr>
            <w:tcW w:w="6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30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Trust Indenture Act Section</w:t>
            </w:r>
          </w:p>
        </w:tc>
        <w:tc>
          <w:tcPr>
            <w:tcW w:w="65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Indenture Section</w:t>
            </w:r>
          </w:p>
        </w:tc>
      </w:tr>
      <w:tr>
        <w:trPr>
          <w:trHeight w:val="195"/>
        </w:trPr>
        <w:tc>
          <w:tcPr>
            <w:tcW w:w="20" w:type="dxa"/>
            <w:vAlign w:val="bottom"/>
          </w:tcPr>
          <w:p>
            <w:pPr>
              <w:spacing w:after="0"/>
              <w:rPr>
                <w:sz w:val="16"/>
                <w:szCs w:val="16"/>
                <w:color w:val="auto"/>
              </w:rPr>
            </w:pPr>
          </w:p>
        </w:tc>
        <w:tc>
          <w:tcPr>
            <w:tcW w:w="3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310 (a) (1)</w:t>
            </w:r>
          </w:p>
        </w:tc>
        <w:tc>
          <w:tcPr>
            <w:tcW w:w="6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7.09</w:t>
            </w:r>
          </w:p>
        </w:tc>
      </w:tr>
      <w:tr>
        <w:trPr>
          <w:trHeight w:val="195"/>
        </w:trPr>
        <w:tc>
          <w:tcPr>
            <w:tcW w:w="20" w:type="dxa"/>
            <w:vAlign w:val="bottom"/>
          </w:tcPr>
          <w:p>
            <w:pPr>
              <w:spacing w:after="0"/>
              <w:rPr>
                <w:sz w:val="16"/>
                <w:szCs w:val="16"/>
                <w:color w:val="auto"/>
              </w:rPr>
            </w:pPr>
          </w:p>
        </w:tc>
        <w:tc>
          <w:tcPr>
            <w:tcW w:w="3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 (2)</w:t>
            </w:r>
          </w:p>
        </w:tc>
        <w:tc>
          <w:tcPr>
            <w:tcW w:w="81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7.09</w:t>
            </w:r>
          </w:p>
        </w:tc>
      </w:tr>
      <w:tr>
        <w:trPr>
          <w:trHeight w:val="195"/>
        </w:trPr>
        <w:tc>
          <w:tcPr>
            <w:tcW w:w="20" w:type="dxa"/>
            <w:vAlign w:val="bottom"/>
          </w:tcPr>
          <w:p>
            <w:pPr>
              <w:spacing w:after="0"/>
              <w:rPr>
                <w:sz w:val="16"/>
                <w:szCs w:val="16"/>
                <w:color w:val="auto"/>
              </w:rPr>
            </w:pPr>
          </w:p>
        </w:tc>
        <w:tc>
          <w:tcPr>
            <w:tcW w:w="3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 (3)</w:t>
            </w:r>
          </w:p>
        </w:tc>
        <w:tc>
          <w:tcPr>
            <w:tcW w:w="6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N.A.</w:t>
            </w:r>
          </w:p>
        </w:tc>
      </w:tr>
      <w:tr>
        <w:trPr>
          <w:trHeight w:val="195"/>
        </w:trPr>
        <w:tc>
          <w:tcPr>
            <w:tcW w:w="20" w:type="dxa"/>
            <w:vAlign w:val="bottom"/>
          </w:tcPr>
          <w:p>
            <w:pPr>
              <w:spacing w:after="0"/>
              <w:rPr>
                <w:sz w:val="16"/>
                <w:szCs w:val="16"/>
                <w:color w:val="auto"/>
              </w:rPr>
            </w:pPr>
          </w:p>
        </w:tc>
        <w:tc>
          <w:tcPr>
            <w:tcW w:w="3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 (4)</w:t>
            </w:r>
          </w:p>
        </w:tc>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N.A.</w:t>
            </w:r>
          </w:p>
        </w:tc>
      </w:tr>
      <w:tr>
        <w:trPr>
          <w:trHeight w:val="195"/>
        </w:trPr>
        <w:tc>
          <w:tcPr>
            <w:tcW w:w="20" w:type="dxa"/>
            <w:vAlign w:val="bottom"/>
          </w:tcPr>
          <w:p>
            <w:pPr>
              <w:spacing w:after="0"/>
              <w:rPr>
                <w:sz w:val="16"/>
                <w:szCs w:val="16"/>
                <w:color w:val="auto"/>
              </w:rPr>
            </w:pPr>
          </w:p>
        </w:tc>
        <w:tc>
          <w:tcPr>
            <w:tcW w:w="3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 (5)</w:t>
            </w:r>
          </w:p>
        </w:tc>
        <w:tc>
          <w:tcPr>
            <w:tcW w:w="818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7.09</w:t>
            </w:r>
          </w:p>
        </w:tc>
      </w:tr>
      <w:tr>
        <w:trPr>
          <w:trHeight w:val="195"/>
        </w:trPr>
        <w:tc>
          <w:tcPr>
            <w:tcW w:w="20" w:type="dxa"/>
            <w:vAlign w:val="bottom"/>
          </w:tcPr>
          <w:p>
            <w:pPr>
              <w:spacing w:after="0"/>
              <w:rPr>
                <w:sz w:val="16"/>
                <w:szCs w:val="16"/>
                <w:color w:val="auto"/>
              </w:rPr>
            </w:pPr>
          </w:p>
        </w:tc>
        <w:tc>
          <w:tcPr>
            <w:tcW w:w="3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(b)</w:t>
            </w:r>
          </w:p>
        </w:tc>
        <w:tc>
          <w:tcPr>
            <w:tcW w:w="81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7.03; 7.09</w:t>
            </w:r>
          </w:p>
        </w:tc>
      </w:tr>
      <w:tr>
        <w:trPr>
          <w:trHeight w:val="195"/>
        </w:trPr>
        <w:tc>
          <w:tcPr>
            <w:tcW w:w="20" w:type="dxa"/>
            <w:vAlign w:val="bottom"/>
          </w:tcPr>
          <w:p>
            <w:pPr>
              <w:spacing w:after="0"/>
              <w:rPr>
                <w:sz w:val="16"/>
                <w:szCs w:val="16"/>
                <w:color w:val="auto"/>
              </w:rPr>
            </w:pPr>
          </w:p>
        </w:tc>
        <w:tc>
          <w:tcPr>
            <w:tcW w:w="3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311 (a)</w:t>
            </w:r>
          </w:p>
        </w:tc>
        <w:tc>
          <w:tcPr>
            <w:tcW w:w="818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7.11</w:t>
            </w:r>
          </w:p>
        </w:tc>
      </w:tr>
      <w:tr>
        <w:trPr>
          <w:trHeight w:val="195"/>
        </w:trPr>
        <w:tc>
          <w:tcPr>
            <w:tcW w:w="20" w:type="dxa"/>
            <w:vAlign w:val="bottom"/>
          </w:tcPr>
          <w:p>
            <w:pPr>
              <w:spacing w:after="0"/>
              <w:rPr>
                <w:sz w:val="16"/>
                <w:szCs w:val="16"/>
                <w:color w:val="auto"/>
              </w:rPr>
            </w:pPr>
          </w:p>
        </w:tc>
        <w:tc>
          <w:tcPr>
            <w:tcW w:w="3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(b)</w:t>
            </w:r>
          </w:p>
        </w:tc>
        <w:tc>
          <w:tcPr>
            <w:tcW w:w="81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7.11</w:t>
            </w:r>
          </w:p>
        </w:tc>
      </w:tr>
      <w:tr>
        <w:trPr>
          <w:trHeight w:val="195"/>
        </w:trPr>
        <w:tc>
          <w:tcPr>
            <w:tcW w:w="20" w:type="dxa"/>
            <w:vAlign w:val="bottom"/>
          </w:tcPr>
          <w:p>
            <w:pPr>
              <w:spacing w:after="0"/>
              <w:rPr>
                <w:sz w:val="16"/>
                <w:szCs w:val="16"/>
                <w:color w:val="auto"/>
              </w:rPr>
            </w:pPr>
          </w:p>
        </w:tc>
        <w:tc>
          <w:tcPr>
            <w:tcW w:w="3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312 (a)</w:t>
            </w:r>
          </w:p>
        </w:tc>
        <w:tc>
          <w:tcPr>
            <w:tcW w:w="818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2.07</w:t>
            </w:r>
          </w:p>
        </w:tc>
      </w:tr>
      <w:tr>
        <w:trPr>
          <w:trHeight w:val="195"/>
        </w:trPr>
        <w:tc>
          <w:tcPr>
            <w:tcW w:w="20" w:type="dxa"/>
            <w:vAlign w:val="bottom"/>
          </w:tcPr>
          <w:p>
            <w:pPr>
              <w:spacing w:after="0"/>
              <w:rPr>
                <w:sz w:val="16"/>
                <w:szCs w:val="16"/>
                <w:color w:val="auto"/>
              </w:rPr>
            </w:pPr>
          </w:p>
        </w:tc>
        <w:tc>
          <w:tcPr>
            <w:tcW w:w="3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(b)</w:t>
            </w:r>
          </w:p>
        </w:tc>
        <w:tc>
          <w:tcPr>
            <w:tcW w:w="81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12.05</w:t>
            </w:r>
          </w:p>
        </w:tc>
      </w:tr>
      <w:tr>
        <w:trPr>
          <w:trHeight w:val="195"/>
        </w:trPr>
        <w:tc>
          <w:tcPr>
            <w:tcW w:w="20" w:type="dxa"/>
            <w:vAlign w:val="bottom"/>
          </w:tcPr>
          <w:p>
            <w:pPr>
              <w:spacing w:after="0"/>
              <w:rPr>
                <w:sz w:val="16"/>
                <w:szCs w:val="16"/>
                <w:color w:val="auto"/>
              </w:rPr>
            </w:pPr>
          </w:p>
        </w:tc>
        <w:tc>
          <w:tcPr>
            <w:tcW w:w="3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w:t>
            </w:r>
          </w:p>
        </w:tc>
        <w:tc>
          <w:tcPr>
            <w:tcW w:w="818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12.05</w:t>
            </w:r>
          </w:p>
        </w:tc>
      </w:tr>
      <w:tr>
        <w:trPr>
          <w:trHeight w:val="195"/>
        </w:trPr>
        <w:tc>
          <w:tcPr>
            <w:tcW w:w="20" w:type="dxa"/>
            <w:vAlign w:val="bottom"/>
          </w:tcPr>
          <w:p>
            <w:pPr>
              <w:spacing w:after="0"/>
              <w:rPr>
                <w:sz w:val="16"/>
                <w:szCs w:val="16"/>
                <w:color w:val="auto"/>
              </w:rPr>
            </w:pPr>
          </w:p>
        </w:tc>
        <w:tc>
          <w:tcPr>
            <w:tcW w:w="3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313 (a)</w:t>
            </w:r>
          </w:p>
        </w:tc>
        <w:tc>
          <w:tcPr>
            <w:tcW w:w="81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7.10</w:t>
            </w:r>
          </w:p>
        </w:tc>
      </w:tr>
      <w:tr>
        <w:trPr>
          <w:trHeight w:val="195"/>
        </w:trPr>
        <w:tc>
          <w:tcPr>
            <w:tcW w:w="20" w:type="dxa"/>
            <w:vAlign w:val="bottom"/>
          </w:tcPr>
          <w:p>
            <w:pPr>
              <w:spacing w:after="0"/>
              <w:rPr>
                <w:sz w:val="16"/>
                <w:szCs w:val="16"/>
                <w:color w:val="auto"/>
              </w:rPr>
            </w:pPr>
          </w:p>
        </w:tc>
        <w:tc>
          <w:tcPr>
            <w:tcW w:w="3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(b) (1)</w:t>
            </w:r>
          </w:p>
        </w:tc>
        <w:tc>
          <w:tcPr>
            <w:tcW w:w="6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N.A.</w:t>
            </w:r>
          </w:p>
        </w:tc>
      </w:tr>
      <w:tr>
        <w:trPr>
          <w:trHeight w:val="195"/>
        </w:trPr>
        <w:tc>
          <w:tcPr>
            <w:tcW w:w="20" w:type="dxa"/>
            <w:vAlign w:val="bottom"/>
          </w:tcPr>
          <w:p>
            <w:pPr>
              <w:spacing w:after="0"/>
              <w:rPr>
                <w:sz w:val="16"/>
                <w:szCs w:val="16"/>
                <w:color w:val="auto"/>
              </w:rPr>
            </w:pPr>
          </w:p>
        </w:tc>
        <w:tc>
          <w:tcPr>
            <w:tcW w:w="3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(b) (2)</w:t>
            </w:r>
          </w:p>
        </w:tc>
        <w:tc>
          <w:tcPr>
            <w:tcW w:w="81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7.10</w:t>
            </w:r>
          </w:p>
        </w:tc>
      </w:tr>
      <w:tr>
        <w:trPr>
          <w:trHeight w:val="195"/>
        </w:trPr>
        <w:tc>
          <w:tcPr>
            <w:tcW w:w="20" w:type="dxa"/>
            <w:vAlign w:val="bottom"/>
          </w:tcPr>
          <w:p>
            <w:pPr>
              <w:spacing w:after="0"/>
              <w:rPr>
                <w:sz w:val="16"/>
                <w:szCs w:val="16"/>
                <w:color w:val="auto"/>
              </w:rPr>
            </w:pPr>
          </w:p>
        </w:tc>
        <w:tc>
          <w:tcPr>
            <w:tcW w:w="3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w:t>
            </w:r>
          </w:p>
        </w:tc>
        <w:tc>
          <w:tcPr>
            <w:tcW w:w="818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7.10</w:t>
            </w:r>
          </w:p>
        </w:tc>
      </w:tr>
      <w:tr>
        <w:trPr>
          <w:trHeight w:val="195"/>
        </w:trPr>
        <w:tc>
          <w:tcPr>
            <w:tcW w:w="20" w:type="dxa"/>
            <w:vAlign w:val="bottom"/>
          </w:tcPr>
          <w:p>
            <w:pPr>
              <w:spacing w:after="0"/>
              <w:rPr>
                <w:sz w:val="16"/>
                <w:szCs w:val="16"/>
                <w:color w:val="auto"/>
              </w:rPr>
            </w:pPr>
          </w:p>
        </w:tc>
        <w:tc>
          <w:tcPr>
            <w:tcW w:w="3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w:t>
            </w:r>
          </w:p>
        </w:tc>
        <w:tc>
          <w:tcPr>
            <w:tcW w:w="81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7.10</w:t>
            </w:r>
          </w:p>
        </w:tc>
      </w:tr>
      <w:tr>
        <w:trPr>
          <w:trHeight w:val="195"/>
        </w:trPr>
        <w:tc>
          <w:tcPr>
            <w:tcW w:w="20" w:type="dxa"/>
            <w:vAlign w:val="bottom"/>
          </w:tcPr>
          <w:p>
            <w:pPr>
              <w:spacing w:after="0"/>
              <w:rPr>
                <w:sz w:val="16"/>
                <w:szCs w:val="16"/>
                <w:color w:val="auto"/>
              </w:rPr>
            </w:pPr>
          </w:p>
        </w:tc>
        <w:tc>
          <w:tcPr>
            <w:tcW w:w="3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314 (a)</w:t>
            </w:r>
          </w:p>
        </w:tc>
        <w:tc>
          <w:tcPr>
            <w:tcW w:w="818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4.03; 12.02; 12.04</w:t>
            </w:r>
          </w:p>
        </w:tc>
      </w:tr>
      <w:tr>
        <w:trPr>
          <w:trHeight w:val="195"/>
        </w:trPr>
        <w:tc>
          <w:tcPr>
            <w:tcW w:w="20" w:type="dxa"/>
            <w:vAlign w:val="bottom"/>
          </w:tcPr>
          <w:p>
            <w:pPr>
              <w:spacing w:after="0"/>
              <w:rPr>
                <w:sz w:val="16"/>
                <w:szCs w:val="16"/>
                <w:color w:val="auto"/>
              </w:rPr>
            </w:pPr>
          </w:p>
        </w:tc>
        <w:tc>
          <w:tcPr>
            <w:tcW w:w="3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(b)</w:t>
            </w:r>
          </w:p>
        </w:tc>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N.A.</w:t>
            </w:r>
          </w:p>
        </w:tc>
      </w:tr>
      <w:tr>
        <w:trPr>
          <w:trHeight w:val="195"/>
        </w:trPr>
        <w:tc>
          <w:tcPr>
            <w:tcW w:w="20" w:type="dxa"/>
            <w:vAlign w:val="bottom"/>
          </w:tcPr>
          <w:p>
            <w:pPr>
              <w:spacing w:after="0"/>
              <w:rPr>
                <w:sz w:val="16"/>
                <w:szCs w:val="16"/>
                <w:color w:val="auto"/>
              </w:rPr>
            </w:pPr>
          </w:p>
        </w:tc>
        <w:tc>
          <w:tcPr>
            <w:tcW w:w="3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 (1)</w:t>
            </w:r>
          </w:p>
        </w:tc>
        <w:tc>
          <w:tcPr>
            <w:tcW w:w="818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12.03</w:t>
            </w:r>
          </w:p>
        </w:tc>
      </w:tr>
      <w:tr>
        <w:trPr>
          <w:trHeight w:val="195"/>
        </w:trPr>
        <w:tc>
          <w:tcPr>
            <w:tcW w:w="20" w:type="dxa"/>
            <w:vAlign w:val="bottom"/>
          </w:tcPr>
          <w:p>
            <w:pPr>
              <w:spacing w:after="0"/>
              <w:rPr>
                <w:sz w:val="16"/>
                <w:szCs w:val="16"/>
                <w:color w:val="auto"/>
              </w:rPr>
            </w:pPr>
          </w:p>
        </w:tc>
        <w:tc>
          <w:tcPr>
            <w:tcW w:w="3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 (2)</w:t>
            </w:r>
          </w:p>
        </w:tc>
        <w:tc>
          <w:tcPr>
            <w:tcW w:w="81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12.03</w:t>
            </w:r>
          </w:p>
        </w:tc>
      </w:tr>
      <w:tr>
        <w:trPr>
          <w:trHeight w:val="195"/>
        </w:trPr>
        <w:tc>
          <w:tcPr>
            <w:tcW w:w="20" w:type="dxa"/>
            <w:vAlign w:val="bottom"/>
          </w:tcPr>
          <w:p>
            <w:pPr>
              <w:spacing w:after="0"/>
              <w:rPr>
                <w:sz w:val="16"/>
                <w:szCs w:val="16"/>
                <w:color w:val="auto"/>
              </w:rPr>
            </w:pPr>
          </w:p>
        </w:tc>
        <w:tc>
          <w:tcPr>
            <w:tcW w:w="3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 (3)</w:t>
            </w:r>
          </w:p>
        </w:tc>
        <w:tc>
          <w:tcPr>
            <w:tcW w:w="6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N.A.</w:t>
            </w:r>
          </w:p>
        </w:tc>
      </w:tr>
      <w:tr>
        <w:trPr>
          <w:trHeight w:val="195"/>
        </w:trPr>
        <w:tc>
          <w:tcPr>
            <w:tcW w:w="20" w:type="dxa"/>
            <w:vAlign w:val="bottom"/>
          </w:tcPr>
          <w:p>
            <w:pPr>
              <w:spacing w:after="0"/>
              <w:rPr>
                <w:sz w:val="16"/>
                <w:szCs w:val="16"/>
                <w:color w:val="auto"/>
              </w:rPr>
            </w:pPr>
          </w:p>
        </w:tc>
        <w:tc>
          <w:tcPr>
            <w:tcW w:w="3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w:t>
            </w:r>
          </w:p>
        </w:tc>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N.A.</w:t>
            </w:r>
          </w:p>
        </w:tc>
      </w:tr>
      <w:tr>
        <w:trPr>
          <w:trHeight w:val="195"/>
        </w:trPr>
        <w:tc>
          <w:tcPr>
            <w:tcW w:w="20" w:type="dxa"/>
            <w:vAlign w:val="bottom"/>
          </w:tcPr>
          <w:p>
            <w:pPr>
              <w:spacing w:after="0"/>
              <w:rPr>
                <w:sz w:val="16"/>
                <w:szCs w:val="16"/>
                <w:color w:val="auto"/>
              </w:rPr>
            </w:pPr>
          </w:p>
        </w:tc>
        <w:tc>
          <w:tcPr>
            <w:tcW w:w="3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(e)</w:t>
            </w:r>
          </w:p>
        </w:tc>
        <w:tc>
          <w:tcPr>
            <w:tcW w:w="818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12.04</w:t>
            </w:r>
          </w:p>
        </w:tc>
      </w:tr>
      <w:tr>
        <w:trPr>
          <w:trHeight w:val="195"/>
        </w:trPr>
        <w:tc>
          <w:tcPr>
            <w:tcW w:w="20" w:type="dxa"/>
            <w:vAlign w:val="bottom"/>
          </w:tcPr>
          <w:p>
            <w:pPr>
              <w:spacing w:after="0"/>
              <w:rPr>
                <w:sz w:val="16"/>
                <w:szCs w:val="16"/>
                <w:color w:val="auto"/>
              </w:rPr>
            </w:pPr>
          </w:p>
        </w:tc>
        <w:tc>
          <w:tcPr>
            <w:tcW w:w="3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(f)</w:t>
            </w:r>
          </w:p>
        </w:tc>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N.A.</w:t>
            </w:r>
          </w:p>
        </w:tc>
      </w:tr>
      <w:tr>
        <w:trPr>
          <w:trHeight w:val="195"/>
        </w:trPr>
        <w:tc>
          <w:tcPr>
            <w:tcW w:w="20" w:type="dxa"/>
            <w:vAlign w:val="bottom"/>
          </w:tcPr>
          <w:p>
            <w:pPr>
              <w:spacing w:after="0"/>
              <w:rPr>
                <w:sz w:val="16"/>
                <w:szCs w:val="16"/>
                <w:color w:val="auto"/>
              </w:rPr>
            </w:pPr>
          </w:p>
        </w:tc>
        <w:tc>
          <w:tcPr>
            <w:tcW w:w="3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315 (a)</w:t>
            </w:r>
          </w:p>
        </w:tc>
        <w:tc>
          <w:tcPr>
            <w:tcW w:w="818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7.01</w:t>
            </w:r>
          </w:p>
        </w:tc>
      </w:tr>
      <w:tr>
        <w:trPr>
          <w:trHeight w:val="195"/>
        </w:trPr>
        <w:tc>
          <w:tcPr>
            <w:tcW w:w="20" w:type="dxa"/>
            <w:vAlign w:val="bottom"/>
          </w:tcPr>
          <w:p>
            <w:pPr>
              <w:spacing w:after="0"/>
              <w:rPr>
                <w:sz w:val="16"/>
                <w:szCs w:val="16"/>
                <w:color w:val="auto"/>
              </w:rPr>
            </w:pPr>
          </w:p>
        </w:tc>
        <w:tc>
          <w:tcPr>
            <w:tcW w:w="3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(b)</w:t>
            </w:r>
          </w:p>
        </w:tc>
        <w:tc>
          <w:tcPr>
            <w:tcW w:w="81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7.05</w:t>
            </w:r>
          </w:p>
        </w:tc>
      </w:tr>
      <w:tr>
        <w:trPr>
          <w:trHeight w:val="195"/>
        </w:trPr>
        <w:tc>
          <w:tcPr>
            <w:tcW w:w="20" w:type="dxa"/>
            <w:vAlign w:val="bottom"/>
          </w:tcPr>
          <w:p>
            <w:pPr>
              <w:spacing w:after="0"/>
              <w:rPr>
                <w:sz w:val="16"/>
                <w:szCs w:val="16"/>
                <w:color w:val="auto"/>
              </w:rPr>
            </w:pPr>
          </w:p>
        </w:tc>
        <w:tc>
          <w:tcPr>
            <w:tcW w:w="3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w:t>
            </w:r>
          </w:p>
        </w:tc>
        <w:tc>
          <w:tcPr>
            <w:tcW w:w="818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7.01</w:t>
            </w:r>
          </w:p>
        </w:tc>
      </w:tr>
      <w:tr>
        <w:trPr>
          <w:trHeight w:val="195"/>
        </w:trPr>
        <w:tc>
          <w:tcPr>
            <w:tcW w:w="20" w:type="dxa"/>
            <w:vAlign w:val="bottom"/>
          </w:tcPr>
          <w:p>
            <w:pPr>
              <w:spacing w:after="0"/>
              <w:rPr>
                <w:sz w:val="16"/>
                <w:szCs w:val="16"/>
                <w:color w:val="auto"/>
              </w:rPr>
            </w:pPr>
          </w:p>
        </w:tc>
        <w:tc>
          <w:tcPr>
            <w:tcW w:w="3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w:t>
            </w:r>
          </w:p>
        </w:tc>
        <w:tc>
          <w:tcPr>
            <w:tcW w:w="81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7.01</w:t>
            </w:r>
          </w:p>
        </w:tc>
      </w:tr>
      <w:tr>
        <w:trPr>
          <w:trHeight w:val="195"/>
        </w:trPr>
        <w:tc>
          <w:tcPr>
            <w:tcW w:w="20" w:type="dxa"/>
            <w:vAlign w:val="bottom"/>
          </w:tcPr>
          <w:p>
            <w:pPr>
              <w:spacing w:after="0"/>
              <w:rPr>
                <w:sz w:val="16"/>
                <w:szCs w:val="16"/>
                <w:color w:val="auto"/>
              </w:rPr>
            </w:pPr>
          </w:p>
        </w:tc>
        <w:tc>
          <w:tcPr>
            <w:tcW w:w="3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(e)</w:t>
            </w:r>
          </w:p>
        </w:tc>
        <w:tc>
          <w:tcPr>
            <w:tcW w:w="818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6.11</w:t>
            </w:r>
          </w:p>
        </w:tc>
      </w:tr>
      <w:tr>
        <w:trPr>
          <w:trHeight w:val="195"/>
        </w:trPr>
        <w:tc>
          <w:tcPr>
            <w:tcW w:w="20" w:type="dxa"/>
            <w:vAlign w:val="bottom"/>
          </w:tcPr>
          <w:p>
            <w:pPr>
              <w:spacing w:after="0"/>
              <w:rPr>
                <w:sz w:val="16"/>
                <w:szCs w:val="16"/>
                <w:color w:val="auto"/>
              </w:rPr>
            </w:pPr>
          </w:p>
        </w:tc>
        <w:tc>
          <w:tcPr>
            <w:tcW w:w="3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 (1) (A)</w:t>
            </w:r>
          </w:p>
        </w:tc>
        <w:tc>
          <w:tcPr>
            <w:tcW w:w="81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6.05</w:t>
            </w:r>
          </w:p>
        </w:tc>
      </w:tr>
      <w:tr>
        <w:trPr>
          <w:trHeight w:val="195"/>
        </w:trPr>
        <w:tc>
          <w:tcPr>
            <w:tcW w:w="20" w:type="dxa"/>
            <w:vAlign w:val="bottom"/>
          </w:tcPr>
          <w:p>
            <w:pPr>
              <w:spacing w:after="0"/>
              <w:rPr>
                <w:sz w:val="16"/>
                <w:szCs w:val="16"/>
                <w:color w:val="auto"/>
              </w:rPr>
            </w:pPr>
          </w:p>
        </w:tc>
        <w:tc>
          <w:tcPr>
            <w:tcW w:w="3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 (1) (B)</w:t>
            </w:r>
          </w:p>
        </w:tc>
        <w:tc>
          <w:tcPr>
            <w:tcW w:w="818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6.04</w:t>
            </w:r>
          </w:p>
        </w:tc>
      </w:tr>
      <w:tr>
        <w:trPr>
          <w:trHeight w:val="195"/>
        </w:trPr>
        <w:tc>
          <w:tcPr>
            <w:tcW w:w="20" w:type="dxa"/>
            <w:vAlign w:val="bottom"/>
          </w:tcPr>
          <w:p>
            <w:pPr>
              <w:spacing w:after="0"/>
              <w:rPr>
                <w:sz w:val="16"/>
                <w:szCs w:val="16"/>
                <w:color w:val="auto"/>
              </w:rPr>
            </w:pPr>
          </w:p>
        </w:tc>
        <w:tc>
          <w:tcPr>
            <w:tcW w:w="3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 (2)</w:t>
            </w:r>
          </w:p>
        </w:tc>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N.A.</w:t>
            </w:r>
          </w:p>
        </w:tc>
      </w:tr>
      <w:tr>
        <w:trPr>
          <w:trHeight w:val="195"/>
        </w:trPr>
        <w:tc>
          <w:tcPr>
            <w:tcW w:w="20" w:type="dxa"/>
            <w:vAlign w:val="bottom"/>
          </w:tcPr>
          <w:p>
            <w:pPr>
              <w:spacing w:after="0"/>
              <w:rPr>
                <w:sz w:val="16"/>
                <w:szCs w:val="16"/>
                <w:color w:val="auto"/>
              </w:rPr>
            </w:pPr>
          </w:p>
        </w:tc>
        <w:tc>
          <w:tcPr>
            <w:tcW w:w="3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316 (a) (last sentence)</w:t>
            </w:r>
          </w:p>
        </w:tc>
        <w:tc>
          <w:tcPr>
            <w:tcW w:w="818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2.11</w:t>
            </w:r>
          </w:p>
        </w:tc>
      </w:tr>
      <w:tr>
        <w:trPr>
          <w:trHeight w:val="195"/>
        </w:trPr>
        <w:tc>
          <w:tcPr>
            <w:tcW w:w="20" w:type="dxa"/>
            <w:vAlign w:val="bottom"/>
          </w:tcPr>
          <w:p>
            <w:pPr>
              <w:spacing w:after="0"/>
              <w:rPr>
                <w:sz w:val="16"/>
                <w:szCs w:val="16"/>
                <w:color w:val="auto"/>
              </w:rPr>
            </w:pPr>
          </w:p>
        </w:tc>
        <w:tc>
          <w:tcPr>
            <w:tcW w:w="3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(b)</w:t>
            </w:r>
          </w:p>
        </w:tc>
        <w:tc>
          <w:tcPr>
            <w:tcW w:w="81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6.07</w:t>
            </w:r>
          </w:p>
        </w:tc>
      </w:tr>
      <w:tr>
        <w:trPr>
          <w:trHeight w:val="195"/>
        </w:trPr>
        <w:tc>
          <w:tcPr>
            <w:tcW w:w="20" w:type="dxa"/>
            <w:vAlign w:val="bottom"/>
          </w:tcPr>
          <w:p>
            <w:pPr>
              <w:spacing w:after="0"/>
              <w:rPr>
                <w:sz w:val="16"/>
                <w:szCs w:val="16"/>
                <w:color w:val="auto"/>
              </w:rPr>
            </w:pPr>
          </w:p>
        </w:tc>
        <w:tc>
          <w:tcPr>
            <w:tcW w:w="3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w:t>
            </w:r>
          </w:p>
        </w:tc>
        <w:tc>
          <w:tcPr>
            <w:tcW w:w="818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8.03</w:t>
            </w:r>
          </w:p>
        </w:tc>
      </w:tr>
      <w:tr>
        <w:trPr>
          <w:trHeight w:val="195"/>
        </w:trPr>
        <w:tc>
          <w:tcPr>
            <w:tcW w:w="20" w:type="dxa"/>
            <w:vAlign w:val="bottom"/>
          </w:tcPr>
          <w:p>
            <w:pPr>
              <w:spacing w:after="0"/>
              <w:rPr>
                <w:sz w:val="16"/>
                <w:szCs w:val="16"/>
                <w:color w:val="auto"/>
              </w:rPr>
            </w:pPr>
          </w:p>
        </w:tc>
        <w:tc>
          <w:tcPr>
            <w:tcW w:w="3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317 (a) (1)</w:t>
            </w:r>
          </w:p>
        </w:tc>
        <w:tc>
          <w:tcPr>
            <w:tcW w:w="81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6.08</w:t>
            </w:r>
          </w:p>
        </w:tc>
      </w:tr>
      <w:tr>
        <w:trPr>
          <w:trHeight w:val="195"/>
        </w:trPr>
        <w:tc>
          <w:tcPr>
            <w:tcW w:w="20" w:type="dxa"/>
            <w:vAlign w:val="bottom"/>
          </w:tcPr>
          <w:p>
            <w:pPr>
              <w:spacing w:after="0"/>
              <w:rPr>
                <w:sz w:val="16"/>
                <w:szCs w:val="16"/>
                <w:color w:val="auto"/>
              </w:rPr>
            </w:pPr>
          </w:p>
        </w:tc>
        <w:tc>
          <w:tcPr>
            <w:tcW w:w="3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 (2)</w:t>
            </w:r>
          </w:p>
        </w:tc>
        <w:tc>
          <w:tcPr>
            <w:tcW w:w="818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6.09</w:t>
            </w:r>
          </w:p>
        </w:tc>
      </w:tr>
      <w:tr>
        <w:trPr>
          <w:trHeight w:val="195"/>
        </w:trPr>
        <w:tc>
          <w:tcPr>
            <w:tcW w:w="20" w:type="dxa"/>
            <w:vAlign w:val="bottom"/>
          </w:tcPr>
          <w:p>
            <w:pPr>
              <w:spacing w:after="0"/>
              <w:rPr>
                <w:sz w:val="16"/>
                <w:szCs w:val="16"/>
                <w:color w:val="auto"/>
              </w:rPr>
            </w:pPr>
          </w:p>
        </w:tc>
        <w:tc>
          <w:tcPr>
            <w:tcW w:w="3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(b)</w:t>
            </w:r>
          </w:p>
        </w:tc>
        <w:tc>
          <w:tcPr>
            <w:tcW w:w="81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2.06</w:t>
            </w:r>
          </w:p>
        </w:tc>
      </w:tr>
      <w:tr>
        <w:trPr>
          <w:trHeight w:val="199"/>
        </w:trPr>
        <w:tc>
          <w:tcPr>
            <w:tcW w:w="20" w:type="dxa"/>
            <w:vAlign w:val="bottom"/>
          </w:tcPr>
          <w:p>
            <w:pPr>
              <w:spacing w:after="0"/>
              <w:rPr>
                <w:sz w:val="17"/>
                <w:szCs w:val="17"/>
                <w:color w:val="auto"/>
              </w:rPr>
            </w:pPr>
          </w:p>
        </w:tc>
        <w:tc>
          <w:tcPr>
            <w:tcW w:w="30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318 (a)</w:t>
            </w:r>
          </w:p>
        </w:tc>
        <w:tc>
          <w:tcPr>
            <w:tcW w:w="8180" w:type="dxa"/>
            <w:vAlign w:val="bottom"/>
            <w:tcBorders>
              <w:bottom w:val="single" w:sz="8" w:color="auto"/>
            </w:tcBorders>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12.01</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 means not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This Cross Reference Table is not part of the Indenture.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740" w:type="dxa"/>
            <w:vAlign w:val="bottom"/>
          </w:tcPr>
          <w:p>
            <w:pPr>
              <w:ind w:left="36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380" w:type="dxa"/>
            <w:vAlign w:val="bottom"/>
          </w:tcPr>
          <w:p>
            <w:pPr>
              <w:ind w:left="186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ARTICLE I</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DEFINITIONS AND INCORPORATION BY REFERENCE</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12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1.01.</w:t>
            </w:r>
          </w:p>
        </w:tc>
        <w:tc>
          <w:tcPr>
            <w:tcW w:w="7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Definitions</w:t>
            </w:r>
          </w:p>
        </w:tc>
        <w:tc>
          <w:tcPr>
            <w:tcW w:w="2380" w:type="dxa"/>
            <w:vAlign w:val="bottom"/>
            <w:shd w:val="clear" w:color="auto" w:fill="CCEEFF"/>
          </w:tcPr>
          <w:p>
            <w:pPr>
              <w:jc w:val="center"/>
              <w:ind w:left="1739"/>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1.02.</w:t>
            </w:r>
          </w:p>
        </w:tc>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Definitions</w:t>
            </w:r>
          </w:p>
        </w:tc>
        <w:tc>
          <w:tcPr>
            <w:tcW w:w="2380" w:type="dxa"/>
            <w:vAlign w:val="bottom"/>
          </w:tcPr>
          <w:p>
            <w:pPr>
              <w:jc w:val="center"/>
              <w:ind w:left="1719"/>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1.03.</w:t>
            </w:r>
          </w:p>
        </w:tc>
        <w:tc>
          <w:tcPr>
            <w:tcW w:w="7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Rules of Construction</w:t>
            </w:r>
          </w:p>
        </w:tc>
        <w:tc>
          <w:tcPr>
            <w:tcW w:w="2380" w:type="dxa"/>
            <w:vAlign w:val="bottom"/>
            <w:shd w:val="clear" w:color="auto" w:fill="CCEEFF"/>
          </w:tcPr>
          <w:p>
            <w:pPr>
              <w:jc w:val="center"/>
              <w:ind w:left="1719"/>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1.04.</w:t>
            </w:r>
          </w:p>
        </w:tc>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Incorporation by Reference of Trust Indenture Act</w:t>
            </w:r>
          </w:p>
        </w:tc>
        <w:tc>
          <w:tcPr>
            <w:tcW w:w="2380" w:type="dxa"/>
            <w:vAlign w:val="bottom"/>
          </w:tcPr>
          <w:p>
            <w:pPr>
              <w:jc w:val="center"/>
              <w:ind w:left="1719"/>
              <w:spacing w:after="0"/>
              <w:rPr>
                <w:sz w:val="20"/>
                <w:szCs w:val="20"/>
                <w:color w:val="auto"/>
              </w:rPr>
            </w:pPr>
            <w:r>
              <w:rPr>
                <w:rFonts w:ascii="Times New Roman" w:cs="Times New Roman" w:eastAsia="Times New Roman" w:hAnsi="Times New Roman"/>
                <w:sz w:val="16"/>
                <w:szCs w:val="16"/>
                <w:color w:val="auto"/>
                <w:w w:val="87"/>
              </w:rPr>
              <w:t>11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74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ARTICLE II</w:t>
            </w: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THE SECURITIES</w:t>
            </w:r>
          </w:p>
        </w:tc>
        <w:tc>
          <w:tcPr>
            <w:tcW w:w="2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12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2.01.</w:t>
            </w:r>
          </w:p>
        </w:tc>
        <w:tc>
          <w:tcPr>
            <w:tcW w:w="7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Terms of the Securities</w:t>
            </w:r>
          </w:p>
        </w:tc>
        <w:tc>
          <w:tcPr>
            <w:tcW w:w="2380" w:type="dxa"/>
            <w:vAlign w:val="bottom"/>
            <w:shd w:val="clear" w:color="auto" w:fill="CCEEFF"/>
          </w:tcPr>
          <w:p>
            <w:pPr>
              <w:jc w:val="center"/>
              <w:ind w:left="1719"/>
              <w:spacing w:after="0"/>
              <w:rPr>
                <w:sz w:val="20"/>
                <w:szCs w:val="20"/>
                <w:color w:val="auto"/>
              </w:rPr>
            </w:pPr>
            <w:r>
              <w:rPr>
                <w:rFonts w:ascii="Times New Roman" w:cs="Times New Roman" w:eastAsia="Times New Roman" w:hAnsi="Times New Roman"/>
                <w:sz w:val="16"/>
                <w:szCs w:val="16"/>
                <w:color w:val="auto"/>
                <w:w w:val="87"/>
              </w:rPr>
              <w:t>11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2.02.</w:t>
            </w:r>
          </w:p>
        </w:tc>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Amount Unlimited; Issuable in Series</w:t>
            </w:r>
          </w:p>
        </w:tc>
        <w:tc>
          <w:tcPr>
            <w:tcW w:w="2380" w:type="dxa"/>
            <w:vAlign w:val="bottom"/>
          </w:tcPr>
          <w:p>
            <w:pPr>
              <w:jc w:val="center"/>
              <w:ind w:left="1719"/>
              <w:spacing w:after="0"/>
              <w:rPr>
                <w:sz w:val="20"/>
                <w:szCs w:val="20"/>
                <w:color w:val="auto"/>
              </w:rPr>
            </w:pPr>
            <w:r>
              <w:rPr>
                <w:rFonts w:ascii="Times New Roman" w:cs="Times New Roman" w:eastAsia="Times New Roman" w:hAnsi="Times New Roman"/>
                <w:sz w:val="16"/>
                <w:szCs w:val="16"/>
                <w:color w:val="auto"/>
                <w:w w:val="87"/>
              </w:rPr>
              <w:t>11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2.03.</w:t>
            </w:r>
          </w:p>
        </w:tc>
        <w:tc>
          <w:tcPr>
            <w:tcW w:w="7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Execution and Authentication</w:t>
            </w:r>
          </w:p>
        </w:tc>
        <w:tc>
          <w:tcPr>
            <w:tcW w:w="2380" w:type="dxa"/>
            <w:vAlign w:val="bottom"/>
            <w:shd w:val="clear" w:color="auto" w:fill="CCEEFF"/>
          </w:tcPr>
          <w:p>
            <w:pPr>
              <w:jc w:val="center"/>
              <w:ind w:left="171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2.04.</w:t>
            </w:r>
          </w:p>
        </w:tc>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Forms of Certificate of Authentication</w:t>
            </w:r>
          </w:p>
        </w:tc>
        <w:tc>
          <w:tcPr>
            <w:tcW w:w="2380" w:type="dxa"/>
            <w:vAlign w:val="bottom"/>
          </w:tcPr>
          <w:p>
            <w:pPr>
              <w:jc w:val="center"/>
              <w:ind w:left="1719"/>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2.05.</w:t>
            </w:r>
          </w:p>
        </w:tc>
        <w:tc>
          <w:tcPr>
            <w:tcW w:w="7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Registrar and Paying Agent</w:t>
            </w:r>
          </w:p>
        </w:tc>
        <w:tc>
          <w:tcPr>
            <w:tcW w:w="2380" w:type="dxa"/>
            <w:vAlign w:val="bottom"/>
            <w:shd w:val="clear" w:color="auto" w:fill="CCEEFF"/>
          </w:tcPr>
          <w:p>
            <w:pPr>
              <w:jc w:val="center"/>
              <w:ind w:left="1719"/>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2.06.</w:t>
            </w:r>
          </w:p>
        </w:tc>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Paying Agent To Hold Money in Trust</w:t>
            </w:r>
          </w:p>
        </w:tc>
        <w:tc>
          <w:tcPr>
            <w:tcW w:w="2380" w:type="dxa"/>
            <w:vAlign w:val="bottom"/>
          </w:tcPr>
          <w:p>
            <w:pPr>
              <w:jc w:val="center"/>
              <w:ind w:left="171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2.07.</w:t>
            </w:r>
          </w:p>
        </w:tc>
        <w:tc>
          <w:tcPr>
            <w:tcW w:w="7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Holder Lists</w:t>
            </w:r>
          </w:p>
        </w:tc>
        <w:tc>
          <w:tcPr>
            <w:tcW w:w="2380" w:type="dxa"/>
            <w:vAlign w:val="bottom"/>
            <w:shd w:val="clear" w:color="auto" w:fill="CCEEFF"/>
          </w:tcPr>
          <w:p>
            <w:pPr>
              <w:jc w:val="center"/>
              <w:ind w:left="171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2.08.</w:t>
            </w:r>
          </w:p>
        </w:tc>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Transfer and Exchange</w:t>
            </w:r>
          </w:p>
        </w:tc>
        <w:tc>
          <w:tcPr>
            <w:tcW w:w="2380" w:type="dxa"/>
            <w:vAlign w:val="bottom"/>
          </w:tcPr>
          <w:p>
            <w:pPr>
              <w:jc w:val="center"/>
              <w:ind w:left="171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2.09.</w:t>
            </w:r>
          </w:p>
        </w:tc>
        <w:tc>
          <w:tcPr>
            <w:tcW w:w="7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Replacement Securities</w:t>
            </w:r>
          </w:p>
        </w:tc>
        <w:tc>
          <w:tcPr>
            <w:tcW w:w="2380" w:type="dxa"/>
            <w:vAlign w:val="bottom"/>
            <w:shd w:val="clear" w:color="auto" w:fill="CCEEFF"/>
          </w:tcPr>
          <w:p>
            <w:pPr>
              <w:jc w:val="center"/>
              <w:ind w:left="1719"/>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2.10.</w:t>
            </w:r>
          </w:p>
        </w:tc>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Outstanding Securities</w:t>
            </w:r>
          </w:p>
        </w:tc>
        <w:tc>
          <w:tcPr>
            <w:tcW w:w="2380" w:type="dxa"/>
            <w:vAlign w:val="bottom"/>
          </w:tcPr>
          <w:p>
            <w:pPr>
              <w:jc w:val="center"/>
              <w:ind w:left="1719"/>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2.11.</w:t>
            </w:r>
          </w:p>
        </w:tc>
        <w:tc>
          <w:tcPr>
            <w:tcW w:w="7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Treasury Securities</w:t>
            </w:r>
          </w:p>
        </w:tc>
        <w:tc>
          <w:tcPr>
            <w:tcW w:w="2380" w:type="dxa"/>
            <w:vAlign w:val="bottom"/>
            <w:shd w:val="clear" w:color="auto" w:fill="CCEEFF"/>
          </w:tcPr>
          <w:p>
            <w:pPr>
              <w:jc w:val="center"/>
              <w:ind w:left="171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2.12.</w:t>
            </w:r>
          </w:p>
        </w:tc>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Temporary Securities</w:t>
            </w:r>
          </w:p>
        </w:tc>
        <w:tc>
          <w:tcPr>
            <w:tcW w:w="2380" w:type="dxa"/>
            <w:vAlign w:val="bottom"/>
          </w:tcPr>
          <w:p>
            <w:pPr>
              <w:jc w:val="center"/>
              <w:ind w:left="171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2.13.</w:t>
            </w:r>
          </w:p>
        </w:tc>
        <w:tc>
          <w:tcPr>
            <w:tcW w:w="7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Cancellation</w:t>
            </w:r>
          </w:p>
        </w:tc>
        <w:tc>
          <w:tcPr>
            <w:tcW w:w="2380" w:type="dxa"/>
            <w:vAlign w:val="bottom"/>
            <w:shd w:val="clear" w:color="auto" w:fill="CCEEFF"/>
          </w:tcPr>
          <w:p>
            <w:pPr>
              <w:jc w:val="center"/>
              <w:ind w:left="171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2.14.</w:t>
            </w:r>
          </w:p>
        </w:tc>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Defaulted Interest</w:t>
            </w:r>
          </w:p>
        </w:tc>
        <w:tc>
          <w:tcPr>
            <w:tcW w:w="2380" w:type="dxa"/>
            <w:vAlign w:val="bottom"/>
          </w:tcPr>
          <w:p>
            <w:pPr>
              <w:jc w:val="center"/>
              <w:ind w:left="171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2.15.</w:t>
            </w:r>
          </w:p>
        </w:tc>
        <w:tc>
          <w:tcPr>
            <w:tcW w:w="7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Identifying Number</w:t>
            </w:r>
          </w:p>
        </w:tc>
        <w:tc>
          <w:tcPr>
            <w:tcW w:w="2380" w:type="dxa"/>
            <w:vAlign w:val="bottom"/>
            <w:shd w:val="clear" w:color="auto" w:fill="CCEEFF"/>
          </w:tcPr>
          <w:p>
            <w:pPr>
              <w:jc w:val="center"/>
              <w:ind w:left="1719"/>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2.16.</w:t>
            </w:r>
          </w:p>
        </w:tc>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Deposit of Moneys</w:t>
            </w:r>
          </w:p>
        </w:tc>
        <w:tc>
          <w:tcPr>
            <w:tcW w:w="2380" w:type="dxa"/>
            <w:vAlign w:val="bottom"/>
          </w:tcPr>
          <w:p>
            <w:pPr>
              <w:jc w:val="center"/>
              <w:ind w:left="1719"/>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2.17.</w:t>
            </w:r>
          </w:p>
        </w:tc>
        <w:tc>
          <w:tcPr>
            <w:tcW w:w="7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Global Securities</w:t>
            </w:r>
          </w:p>
        </w:tc>
        <w:tc>
          <w:tcPr>
            <w:tcW w:w="2380" w:type="dxa"/>
            <w:vAlign w:val="bottom"/>
            <w:shd w:val="clear" w:color="auto" w:fill="CCEEFF"/>
          </w:tcPr>
          <w:p>
            <w:pPr>
              <w:jc w:val="center"/>
              <w:ind w:left="1719"/>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2.18.</w:t>
            </w:r>
          </w:p>
        </w:tc>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Issuance of Additional Securities</w:t>
            </w:r>
          </w:p>
        </w:tc>
        <w:tc>
          <w:tcPr>
            <w:tcW w:w="2380" w:type="dxa"/>
            <w:vAlign w:val="bottom"/>
          </w:tcPr>
          <w:p>
            <w:pPr>
              <w:jc w:val="center"/>
              <w:ind w:left="1719"/>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2.19.</w:t>
            </w:r>
          </w:p>
        </w:tc>
        <w:tc>
          <w:tcPr>
            <w:tcW w:w="7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Computation of Interest</w:t>
            </w:r>
          </w:p>
        </w:tc>
        <w:tc>
          <w:tcPr>
            <w:tcW w:w="2380" w:type="dxa"/>
            <w:vAlign w:val="bottom"/>
            <w:shd w:val="clear" w:color="auto" w:fill="CCEEFF"/>
          </w:tcPr>
          <w:p>
            <w:pPr>
              <w:jc w:val="center"/>
              <w:ind w:left="1719"/>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2.20.</w:t>
            </w:r>
          </w:p>
        </w:tc>
        <w:tc>
          <w:tcPr>
            <w:tcW w:w="7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Currency of Payments in Respect of Securities</w:t>
            </w:r>
          </w:p>
        </w:tc>
        <w:tc>
          <w:tcPr>
            <w:tcW w:w="2380" w:type="dxa"/>
            <w:vAlign w:val="bottom"/>
          </w:tcPr>
          <w:p>
            <w:pPr>
              <w:jc w:val="center"/>
              <w:ind w:left="1719"/>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2.21.</w:t>
            </w:r>
          </w:p>
        </w:tc>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Judgments</w:t>
            </w:r>
          </w:p>
        </w:tc>
        <w:tc>
          <w:tcPr>
            <w:tcW w:w="2380" w:type="dxa"/>
            <w:vAlign w:val="bottom"/>
            <w:shd w:val="clear" w:color="auto" w:fill="CCEEFF"/>
          </w:tcPr>
          <w:p>
            <w:pPr>
              <w:jc w:val="center"/>
              <w:ind w:left="1719"/>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74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ARTICLE III</w:t>
            </w:r>
          </w:p>
        </w:tc>
        <w:tc>
          <w:tcPr>
            <w:tcW w:w="2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REDEMPTION AND PREPAYMENT</w:t>
            </w: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74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3.01.</w:t>
            </w:r>
          </w:p>
        </w:tc>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Applicability of Right of Redemption</w:t>
            </w:r>
          </w:p>
        </w:tc>
        <w:tc>
          <w:tcPr>
            <w:tcW w:w="2380" w:type="dxa"/>
            <w:vAlign w:val="bottom"/>
          </w:tcPr>
          <w:p>
            <w:pPr>
              <w:jc w:val="center"/>
              <w:ind w:left="1719"/>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3.02.</w:t>
            </w:r>
          </w:p>
        </w:tc>
        <w:tc>
          <w:tcPr>
            <w:tcW w:w="7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Election To Redeem; Notices to Trustee</w:t>
            </w:r>
          </w:p>
        </w:tc>
        <w:tc>
          <w:tcPr>
            <w:tcW w:w="2380" w:type="dxa"/>
            <w:vAlign w:val="bottom"/>
            <w:shd w:val="clear" w:color="auto" w:fill="CCEEFF"/>
          </w:tcPr>
          <w:p>
            <w:pPr>
              <w:jc w:val="center"/>
              <w:ind w:left="1719"/>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3.03.</w:t>
            </w:r>
          </w:p>
        </w:tc>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Selection by Trustee of Securities To Be Redeemed</w:t>
            </w:r>
          </w:p>
        </w:tc>
        <w:tc>
          <w:tcPr>
            <w:tcW w:w="2380" w:type="dxa"/>
            <w:vAlign w:val="bottom"/>
          </w:tcPr>
          <w:p>
            <w:pPr>
              <w:jc w:val="center"/>
              <w:ind w:left="1719"/>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3.04.</w:t>
            </w:r>
          </w:p>
        </w:tc>
        <w:tc>
          <w:tcPr>
            <w:tcW w:w="7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Notice of Redemption</w:t>
            </w:r>
          </w:p>
        </w:tc>
        <w:tc>
          <w:tcPr>
            <w:tcW w:w="2380" w:type="dxa"/>
            <w:vAlign w:val="bottom"/>
            <w:shd w:val="clear" w:color="auto" w:fill="CCEEFF"/>
          </w:tcPr>
          <w:p>
            <w:pPr>
              <w:jc w:val="center"/>
              <w:ind w:left="171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3.05.</w:t>
            </w:r>
          </w:p>
        </w:tc>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Effect of Notice of Redemption</w:t>
            </w:r>
          </w:p>
        </w:tc>
        <w:tc>
          <w:tcPr>
            <w:tcW w:w="2380" w:type="dxa"/>
            <w:vAlign w:val="bottom"/>
          </w:tcPr>
          <w:p>
            <w:pPr>
              <w:jc w:val="center"/>
              <w:ind w:left="171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3.06.</w:t>
            </w:r>
          </w:p>
        </w:tc>
        <w:tc>
          <w:tcPr>
            <w:tcW w:w="7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Deposit of Redemption Price</w:t>
            </w:r>
          </w:p>
        </w:tc>
        <w:tc>
          <w:tcPr>
            <w:tcW w:w="2380" w:type="dxa"/>
            <w:vAlign w:val="bottom"/>
            <w:shd w:val="clear" w:color="auto" w:fill="CCEEFF"/>
          </w:tcPr>
          <w:p>
            <w:pPr>
              <w:jc w:val="center"/>
              <w:ind w:left="171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3.07.</w:t>
            </w:r>
          </w:p>
        </w:tc>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Securities Redeemed in Part</w:t>
            </w:r>
          </w:p>
        </w:tc>
        <w:tc>
          <w:tcPr>
            <w:tcW w:w="2380" w:type="dxa"/>
            <w:vAlign w:val="bottom"/>
          </w:tcPr>
          <w:p>
            <w:pPr>
              <w:jc w:val="center"/>
              <w:ind w:left="171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74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ARTICLE IV</w:t>
            </w: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COVENANTS</w:t>
            </w:r>
          </w:p>
        </w:tc>
        <w:tc>
          <w:tcPr>
            <w:tcW w:w="2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12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4.01.</w:t>
            </w:r>
          </w:p>
        </w:tc>
        <w:tc>
          <w:tcPr>
            <w:tcW w:w="7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Payment of Principal, Premium and Interest</w:t>
            </w:r>
          </w:p>
        </w:tc>
        <w:tc>
          <w:tcPr>
            <w:tcW w:w="2380" w:type="dxa"/>
            <w:vAlign w:val="bottom"/>
            <w:shd w:val="clear" w:color="auto" w:fill="CCEEFF"/>
          </w:tcPr>
          <w:p>
            <w:pPr>
              <w:jc w:val="center"/>
              <w:ind w:left="171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4.02.</w:t>
            </w:r>
          </w:p>
        </w:tc>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Maintenance of Office or Agency</w:t>
            </w:r>
          </w:p>
        </w:tc>
        <w:tc>
          <w:tcPr>
            <w:tcW w:w="2380" w:type="dxa"/>
            <w:vAlign w:val="bottom"/>
          </w:tcPr>
          <w:p>
            <w:pPr>
              <w:jc w:val="center"/>
              <w:ind w:left="1719"/>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4.03.</w:t>
            </w:r>
          </w:p>
        </w:tc>
        <w:tc>
          <w:tcPr>
            <w:tcW w:w="7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Reports to Holders</w:t>
            </w:r>
          </w:p>
        </w:tc>
        <w:tc>
          <w:tcPr>
            <w:tcW w:w="2380" w:type="dxa"/>
            <w:vAlign w:val="bottom"/>
            <w:shd w:val="clear" w:color="auto" w:fill="CCEEFF"/>
          </w:tcPr>
          <w:p>
            <w:pPr>
              <w:jc w:val="center"/>
              <w:ind w:left="1719"/>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4.04.</w:t>
            </w: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Additional Guarantees</w:t>
            </w:r>
          </w:p>
        </w:tc>
        <w:tc>
          <w:tcPr>
            <w:tcW w:w="2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4.05.</w:t>
            </w:r>
          </w:p>
        </w:tc>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Compliance Certificate</w:t>
            </w:r>
          </w:p>
        </w:tc>
        <w:tc>
          <w:tcPr>
            <w:tcW w:w="2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9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940" w:type="dxa"/>
            <w:vAlign w:val="bottom"/>
          </w:tcPr>
          <w:p>
            <w:pPr>
              <w:jc w:val="center"/>
              <w:ind w:left="699"/>
              <w:spacing w:after="0"/>
              <w:rPr>
                <w:sz w:val="20"/>
                <w:szCs w:val="20"/>
                <w:color w:val="auto"/>
              </w:rPr>
            </w:pPr>
            <w:r>
              <w:rPr>
                <w:rFonts w:ascii="Times New Roman" w:cs="Times New Roman" w:eastAsia="Times New Roman" w:hAnsi="Times New Roman"/>
                <w:sz w:val="16"/>
                <w:szCs w:val="16"/>
                <w:color w:val="auto"/>
              </w:rPr>
              <w:t>ARTICLE V</w:t>
            </w: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940" w:type="dxa"/>
            <w:vAlign w:val="bottom"/>
            <w:shd w:val="clear" w:color="auto" w:fill="CCEEFF"/>
          </w:tcPr>
          <w:p>
            <w:pPr>
              <w:jc w:val="center"/>
              <w:ind w:left="719"/>
              <w:spacing w:after="0"/>
              <w:rPr>
                <w:sz w:val="20"/>
                <w:szCs w:val="20"/>
                <w:color w:val="auto"/>
              </w:rPr>
            </w:pPr>
            <w:r>
              <w:rPr>
                <w:rFonts w:ascii="Times New Roman" w:cs="Times New Roman" w:eastAsia="Times New Roman" w:hAnsi="Times New Roman"/>
                <w:sz w:val="16"/>
                <w:szCs w:val="16"/>
                <w:color w:val="auto"/>
              </w:rPr>
              <w:t>SUCCESSORS</w:t>
            </w:r>
          </w:p>
        </w:tc>
        <w:tc>
          <w:tcPr>
            <w:tcW w:w="2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96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5.01.</w:t>
            </w: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Consolidation, Merger and Sale of Assets</w:t>
            </w:r>
          </w:p>
        </w:tc>
        <w:tc>
          <w:tcPr>
            <w:tcW w:w="2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940" w:type="dxa"/>
            <w:vAlign w:val="bottom"/>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w w:val="99"/>
              </w:rPr>
              <w:t>ARTICLE VI</w:t>
            </w:r>
          </w:p>
        </w:tc>
        <w:tc>
          <w:tcPr>
            <w:tcW w:w="2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940" w:type="dxa"/>
            <w:vAlign w:val="bottom"/>
          </w:tcPr>
          <w:p>
            <w:pPr>
              <w:jc w:val="center"/>
              <w:ind w:left="699"/>
              <w:spacing w:after="0"/>
              <w:rPr>
                <w:sz w:val="20"/>
                <w:szCs w:val="20"/>
                <w:color w:val="auto"/>
              </w:rPr>
            </w:pPr>
            <w:r>
              <w:rPr>
                <w:rFonts w:ascii="Times New Roman" w:cs="Times New Roman" w:eastAsia="Times New Roman" w:hAnsi="Times New Roman"/>
                <w:sz w:val="16"/>
                <w:szCs w:val="16"/>
                <w:color w:val="auto"/>
                <w:w w:val="99"/>
              </w:rPr>
              <w:t>DEFAULTS AND REMEDIES</w:t>
            </w: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9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6.01.</w:t>
            </w:r>
          </w:p>
        </w:tc>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Events of Default</w:t>
            </w:r>
          </w:p>
        </w:tc>
        <w:tc>
          <w:tcPr>
            <w:tcW w:w="2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6.02.</w:t>
            </w: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Acceleration of Maturity; Rescission</w:t>
            </w:r>
          </w:p>
        </w:tc>
        <w:tc>
          <w:tcPr>
            <w:tcW w:w="2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6.03.</w:t>
            </w:r>
          </w:p>
        </w:tc>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Remedies</w:t>
            </w:r>
          </w:p>
        </w:tc>
        <w:tc>
          <w:tcPr>
            <w:tcW w:w="2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6.04.</w:t>
            </w: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Waiver of Past Defaults and Events of Default</w:t>
            </w:r>
          </w:p>
        </w:tc>
        <w:tc>
          <w:tcPr>
            <w:tcW w:w="2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6.05.</w:t>
            </w:r>
          </w:p>
        </w:tc>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Control by Majority</w:t>
            </w:r>
          </w:p>
        </w:tc>
        <w:tc>
          <w:tcPr>
            <w:tcW w:w="2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6.06.</w:t>
            </w: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Limitation on Suits</w:t>
            </w:r>
          </w:p>
        </w:tc>
        <w:tc>
          <w:tcPr>
            <w:tcW w:w="2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6.07.</w:t>
            </w:r>
          </w:p>
        </w:tc>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Rights of Holders To Receive Payment</w:t>
            </w:r>
          </w:p>
        </w:tc>
        <w:tc>
          <w:tcPr>
            <w:tcW w:w="2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6.08.</w:t>
            </w: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Collection Suit by Trustee</w:t>
            </w:r>
          </w:p>
        </w:tc>
        <w:tc>
          <w:tcPr>
            <w:tcW w:w="2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6.09.</w:t>
            </w:r>
          </w:p>
        </w:tc>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Trustee May File Proofs of Claim</w:t>
            </w:r>
          </w:p>
        </w:tc>
        <w:tc>
          <w:tcPr>
            <w:tcW w:w="2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6.10.</w:t>
            </w: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Priorities</w:t>
            </w:r>
          </w:p>
        </w:tc>
        <w:tc>
          <w:tcPr>
            <w:tcW w:w="2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6.11.</w:t>
            </w:r>
          </w:p>
        </w:tc>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Undertaking for Costs</w:t>
            </w:r>
          </w:p>
        </w:tc>
        <w:tc>
          <w:tcPr>
            <w:tcW w:w="2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6.12.</w:t>
            </w: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Delay or Omission Not Waiver</w:t>
            </w:r>
          </w:p>
        </w:tc>
        <w:tc>
          <w:tcPr>
            <w:tcW w:w="2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940" w:type="dxa"/>
            <w:vAlign w:val="bottom"/>
            <w:shd w:val="clear" w:color="auto" w:fill="CCEEFF"/>
          </w:tcPr>
          <w:p>
            <w:pPr>
              <w:jc w:val="center"/>
              <w:ind w:left="719"/>
              <w:spacing w:after="0"/>
              <w:rPr>
                <w:sz w:val="20"/>
                <w:szCs w:val="20"/>
                <w:color w:val="auto"/>
              </w:rPr>
            </w:pPr>
            <w:r>
              <w:rPr>
                <w:rFonts w:ascii="Times New Roman" w:cs="Times New Roman" w:eastAsia="Times New Roman" w:hAnsi="Times New Roman"/>
                <w:sz w:val="16"/>
                <w:szCs w:val="16"/>
                <w:color w:val="auto"/>
              </w:rPr>
              <w:t>ARTICLE VII</w:t>
            </w:r>
          </w:p>
        </w:tc>
        <w:tc>
          <w:tcPr>
            <w:tcW w:w="2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940" w:type="dxa"/>
            <w:vAlign w:val="bottom"/>
          </w:tcPr>
          <w:p>
            <w:pPr>
              <w:jc w:val="center"/>
              <w:ind w:left="699"/>
              <w:spacing w:after="0"/>
              <w:rPr>
                <w:sz w:val="20"/>
                <w:szCs w:val="20"/>
                <w:color w:val="auto"/>
              </w:rPr>
            </w:pPr>
            <w:r>
              <w:rPr>
                <w:rFonts w:ascii="Times New Roman" w:cs="Times New Roman" w:eastAsia="Times New Roman" w:hAnsi="Times New Roman"/>
                <w:sz w:val="16"/>
                <w:szCs w:val="16"/>
                <w:color w:val="auto"/>
              </w:rPr>
              <w:t>TRUSTEE</w:t>
            </w: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9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7.01.</w:t>
            </w:r>
          </w:p>
        </w:tc>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Duties of Trustee</w:t>
            </w:r>
          </w:p>
        </w:tc>
        <w:tc>
          <w:tcPr>
            <w:tcW w:w="2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7.02.</w:t>
            </w: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Rights of Trustee</w:t>
            </w:r>
          </w:p>
        </w:tc>
        <w:tc>
          <w:tcPr>
            <w:tcW w:w="2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7.03.</w:t>
            </w:r>
          </w:p>
        </w:tc>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Individual Rights of Trustee</w:t>
            </w:r>
          </w:p>
        </w:tc>
        <w:tc>
          <w:tcPr>
            <w:tcW w:w="2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7.04.</w:t>
            </w: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Trustee’s Disclaimer</w:t>
            </w:r>
          </w:p>
        </w:tc>
        <w:tc>
          <w:tcPr>
            <w:tcW w:w="2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7.05.</w:t>
            </w:r>
          </w:p>
        </w:tc>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Notice of Defaults</w:t>
            </w:r>
          </w:p>
        </w:tc>
        <w:tc>
          <w:tcPr>
            <w:tcW w:w="2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7.06.</w:t>
            </w: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Compensation and Indemnity</w:t>
            </w:r>
          </w:p>
        </w:tc>
        <w:tc>
          <w:tcPr>
            <w:tcW w:w="2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7.07.</w:t>
            </w:r>
          </w:p>
        </w:tc>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Replacement of Trustee</w:t>
            </w:r>
          </w:p>
        </w:tc>
        <w:tc>
          <w:tcPr>
            <w:tcW w:w="2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7.08.</w:t>
            </w: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Successor Trustee by Consolidation, Merger, etc.</w:t>
            </w:r>
          </w:p>
        </w:tc>
        <w:tc>
          <w:tcPr>
            <w:tcW w:w="2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7.09.</w:t>
            </w:r>
          </w:p>
        </w:tc>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Eligibility; Disqualification</w:t>
            </w:r>
          </w:p>
        </w:tc>
        <w:tc>
          <w:tcPr>
            <w:tcW w:w="2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7.10.</w:t>
            </w: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Reports by Trustee to Holders</w:t>
            </w:r>
          </w:p>
        </w:tc>
        <w:tc>
          <w:tcPr>
            <w:tcW w:w="2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7.11.</w:t>
            </w:r>
          </w:p>
        </w:tc>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Preferential Collection of Claims Against Company</w:t>
            </w:r>
          </w:p>
        </w:tc>
        <w:tc>
          <w:tcPr>
            <w:tcW w:w="2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7.12.</w:t>
            </w: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Appointment of Authenticating Agent</w:t>
            </w:r>
          </w:p>
        </w:tc>
        <w:tc>
          <w:tcPr>
            <w:tcW w:w="2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940" w:type="dxa"/>
            <w:vAlign w:val="bottom"/>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rPr>
              <w:t>ARTICLE VIII</w:t>
            </w:r>
          </w:p>
        </w:tc>
        <w:tc>
          <w:tcPr>
            <w:tcW w:w="2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940" w:type="dxa"/>
            <w:vAlign w:val="bottom"/>
          </w:tcPr>
          <w:p>
            <w:pPr>
              <w:jc w:val="center"/>
              <w:ind w:left="699"/>
              <w:spacing w:after="0"/>
              <w:rPr>
                <w:sz w:val="20"/>
                <w:szCs w:val="20"/>
                <w:color w:val="auto"/>
              </w:rPr>
            </w:pPr>
            <w:r>
              <w:rPr>
                <w:rFonts w:ascii="Times New Roman" w:cs="Times New Roman" w:eastAsia="Times New Roman" w:hAnsi="Times New Roman"/>
                <w:sz w:val="16"/>
                <w:szCs w:val="16"/>
                <w:color w:val="auto"/>
              </w:rPr>
              <w:t>AMENDMENT, SUPPLEMENT AND WAIVER</w:t>
            </w: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9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8.01.</w:t>
            </w:r>
          </w:p>
        </w:tc>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Without Consent of Holders</w:t>
            </w:r>
          </w:p>
        </w:tc>
        <w:tc>
          <w:tcPr>
            <w:tcW w:w="2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8.02.</w:t>
            </w: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With Consent of Holders</w:t>
            </w:r>
          </w:p>
        </w:tc>
        <w:tc>
          <w:tcPr>
            <w:tcW w:w="2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8.03.</w:t>
            </w:r>
          </w:p>
        </w:tc>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Revocation and Effect of Consents</w:t>
            </w:r>
          </w:p>
        </w:tc>
        <w:tc>
          <w:tcPr>
            <w:tcW w:w="2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8.04.</w:t>
            </w: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Notation on or Exchange of Securities</w:t>
            </w:r>
          </w:p>
        </w:tc>
        <w:tc>
          <w:tcPr>
            <w:tcW w:w="2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8.05.</w:t>
            </w:r>
          </w:p>
        </w:tc>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Trustee To Sign Amendments, etc.</w:t>
            </w:r>
          </w:p>
        </w:tc>
        <w:tc>
          <w:tcPr>
            <w:tcW w:w="2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8.06.</w:t>
            </w: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Compliance with Trust Indenture Act</w:t>
            </w:r>
          </w:p>
        </w:tc>
        <w:tc>
          <w:tcPr>
            <w:tcW w:w="2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8.07.</w:t>
            </w:r>
          </w:p>
        </w:tc>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Effect of Execution of Supplemental Indenture</w:t>
            </w:r>
          </w:p>
        </w:tc>
        <w:tc>
          <w:tcPr>
            <w:tcW w:w="2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8.08.</w:t>
            </w: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Subordination Unimpaired</w:t>
            </w:r>
          </w:p>
        </w:tc>
        <w:tc>
          <w:tcPr>
            <w:tcW w:w="2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87" w:name="page188"/>
    <w:bookmarkEnd w:id="187"/>
    <w:p>
      <w:pPr>
        <w:jc w:val="center"/>
        <w:ind w:right="580"/>
        <w:spacing w:after="0"/>
        <w:rPr>
          <w:sz w:val="20"/>
          <w:szCs w:val="20"/>
          <w:color w:val="auto"/>
        </w:rPr>
      </w:pPr>
      <w:r>
        <w:rPr>
          <w:rFonts w:ascii="Times New Roman" w:cs="Times New Roman" w:eastAsia="Times New Roman" w:hAnsi="Times New Roman"/>
          <w:sz w:val="16"/>
          <w:szCs w:val="16"/>
          <w:color w:val="auto"/>
        </w:rPr>
        <w:t>ARTICLE IX</w:t>
      </w:r>
    </w:p>
    <w:p>
      <w:pPr>
        <w:spacing w:after="0" w:line="2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6"/>
          <w:szCs w:val="16"/>
          <w:color w:val="auto"/>
        </w:rPr>
        <w:t>SATISFACTION AND DISCHARGE OF INDENTURE; DEFEASANCE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9.01.</w:t>
            </w:r>
          </w:p>
        </w:tc>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Applicability of Article</w:t>
            </w:r>
          </w:p>
        </w:tc>
        <w:tc>
          <w:tcPr>
            <w:tcW w:w="1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9.02.</w:t>
            </w:r>
          </w:p>
        </w:tc>
        <w:tc>
          <w:tcPr>
            <w:tcW w:w="8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Satisfaction and Discharge of Liability on Securities; Defeasance</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9.03.</w:t>
            </w:r>
          </w:p>
        </w:tc>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Conditions to Defeasance</w:t>
            </w:r>
          </w:p>
        </w:tc>
        <w:tc>
          <w:tcPr>
            <w:tcW w:w="1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9.04.</w:t>
            </w:r>
          </w:p>
        </w:tc>
        <w:tc>
          <w:tcPr>
            <w:tcW w:w="8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Deposited Money and U.S. Government Obligations To Be Held in Trust; Other Miscellaneous Provisions</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9.05.</w:t>
            </w:r>
          </w:p>
        </w:tc>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Reinstatement</w:t>
            </w:r>
          </w:p>
        </w:tc>
        <w:tc>
          <w:tcPr>
            <w:tcW w:w="1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9.06.</w:t>
            </w:r>
          </w:p>
        </w:tc>
        <w:tc>
          <w:tcPr>
            <w:tcW w:w="8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Moneys Held by Paying Agent</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9.07.</w:t>
            </w:r>
          </w:p>
        </w:tc>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Moneys Held by Trustee</w:t>
            </w:r>
          </w:p>
        </w:tc>
        <w:tc>
          <w:tcPr>
            <w:tcW w:w="1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9.08.</w:t>
            </w:r>
          </w:p>
        </w:tc>
        <w:tc>
          <w:tcPr>
            <w:tcW w:w="8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Deposits of Non-U.S. Currencies</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4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2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ARTICLE X</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42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rPr>
              <w:t>GUARANTEES</w:t>
            </w:r>
          </w:p>
        </w:tc>
        <w:tc>
          <w:tcPr>
            <w:tcW w:w="1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0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10.01.</w:t>
            </w:r>
          </w:p>
        </w:tc>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Guarantees</w:t>
            </w:r>
          </w:p>
        </w:tc>
        <w:tc>
          <w:tcPr>
            <w:tcW w:w="1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10.02.</w:t>
            </w:r>
          </w:p>
        </w:tc>
        <w:tc>
          <w:tcPr>
            <w:tcW w:w="8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Severability</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10.03.</w:t>
            </w:r>
          </w:p>
        </w:tc>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Limitation of Liability</w:t>
            </w:r>
          </w:p>
        </w:tc>
        <w:tc>
          <w:tcPr>
            <w:tcW w:w="1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10.04.</w:t>
            </w:r>
          </w:p>
        </w:tc>
        <w:tc>
          <w:tcPr>
            <w:tcW w:w="8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Contribution</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10.05.</w:t>
            </w:r>
          </w:p>
        </w:tc>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Subrogation</w:t>
            </w:r>
          </w:p>
        </w:tc>
        <w:tc>
          <w:tcPr>
            <w:tcW w:w="1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10.06.</w:t>
            </w:r>
          </w:p>
        </w:tc>
        <w:tc>
          <w:tcPr>
            <w:tcW w:w="8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Reinstatement</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10.07.</w:t>
            </w:r>
          </w:p>
        </w:tc>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Release of a Guarantor</w:t>
            </w:r>
          </w:p>
        </w:tc>
        <w:tc>
          <w:tcPr>
            <w:tcW w:w="1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10.08.</w:t>
            </w:r>
          </w:p>
        </w:tc>
        <w:tc>
          <w:tcPr>
            <w:tcW w:w="8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Benefits Acknowledged</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10.09.</w:t>
            </w:r>
          </w:p>
        </w:tc>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Subordination of Guarantees</w:t>
            </w:r>
          </w:p>
        </w:tc>
        <w:tc>
          <w:tcPr>
            <w:tcW w:w="1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42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ARTICLE XI</w:t>
            </w:r>
          </w:p>
        </w:tc>
        <w:tc>
          <w:tcPr>
            <w:tcW w:w="1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2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SINKING FUNDS</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4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11.01.</w:t>
            </w:r>
          </w:p>
        </w:tc>
        <w:tc>
          <w:tcPr>
            <w:tcW w:w="8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Applicability of Sinking Fund</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11.02.</w:t>
            </w:r>
          </w:p>
        </w:tc>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Mandatory Sinking Fund Obligation</w:t>
            </w:r>
          </w:p>
        </w:tc>
        <w:tc>
          <w:tcPr>
            <w:tcW w:w="1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11.03.</w:t>
            </w:r>
          </w:p>
        </w:tc>
        <w:tc>
          <w:tcPr>
            <w:tcW w:w="8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Optional Redemption at Sinking Fund Redemption Price</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11.04.</w:t>
            </w:r>
          </w:p>
        </w:tc>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Application of Sinking Fund Payment</w:t>
            </w:r>
          </w:p>
        </w:tc>
        <w:tc>
          <w:tcPr>
            <w:tcW w:w="1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42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rPr>
              <w:t>ARTICLE XII</w:t>
            </w:r>
          </w:p>
        </w:tc>
        <w:tc>
          <w:tcPr>
            <w:tcW w:w="1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2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MISCELLANEOUS</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4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12.01.</w:t>
            </w:r>
          </w:p>
        </w:tc>
        <w:tc>
          <w:tcPr>
            <w:tcW w:w="8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Trust Indenture Act Controls</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12.02.</w:t>
            </w:r>
          </w:p>
        </w:tc>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Notices</w:t>
            </w:r>
          </w:p>
        </w:tc>
        <w:tc>
          <w:tcPr>
            <w:tcW w:w="1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12.03.</w:t>
            </w:r>
          </w:p>
        </w:tc>
        <w:tc>
          <w:tcPr>
            <w:tcW w:w="8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Certificate and Opinion as to Conditions Precedent</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12.04.</w:t>
            </w:r>
          </w:p>
        </w:tc>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Statements Required in Certificate and Opinion</w:t>
            </w:r>
          </w:p>
        </w:tc>
        <w:tc>
          <w:tcPr>
            <w:tcW w:w="1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12.05.</w:t>
            </w:r>
          </w:p>
        </w:tc>
        <w:tc>
          <w:tcPr>
            <w:tcW w:w="8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Communications by Holders with Other Holders</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12.06.</w:t>
            </w:r>
          </w:p>
        </w:tc>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Rules by Trustee and Agents</w:t>
            </w:r>
          </w:p>
        </w:tc>
        <w:tc>
          <w:tcPr>
            <w:tcW w:w="1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12.07.</w:t>
            </w:r>
          </w:p>
        </w:tc>
        <w:tc>
          <w:tcPr>
            <w:tcW w:w="8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 Personal Liability of Directors, Officers, Employees and Stockholders</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12.08.</w:t>
            </w:r>
          </w:p>
        </w:tc>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Governing Law; Waiver of Jury Trial; Jurisdiction</w:t>
            </w:r>
          </w:p>
        </w:tc>
        <w:tc>
          <w:tcPr>
            <w:tcW w:w="1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12.09.</w:t>
            </w:r>
          </w:p>
        </w:tc>
        <w:tc>
          <w:tcPr>
            <w:tcW w:w="8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 Adverse Interpretation of Other Agreements</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12.10.</w:t>
            </w:r>
          </w:p>
        </w:tc>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Successors</w:t>
            </w:r>
          </w:p>
        </w:tc>
        <w:tc>
          <w:tcPr>
            <w:tcW w:w="1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12.11.</w:t>
            </w:r>
          </w:p>
        </w:tc>
        <w:tc>
          <w:tcPr>
            <w:tcW w:w="8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Separability</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12.12.</w:t>
            </w:r>
          </w:p>
        </w:tc>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Counterpart Originals</w:t>
            </w:r>
          </w:p>
        </w:tc>
        <w:tc>
          <w:tcPr>
            <w:tcW w:w="1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12.13.</w:t>
            </w:r>
          </w:p>
        </w:tc>
        <w:tc>
          <w:tcPr>
            <w:tcW w:w="8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Table of Contents, Headings, etc.</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12.14.</w:t>
            </w:r>
          </w:p>
        </w:tc>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Benefits of Indenture</w:t>
            </w:r>
          </w:p>
        </w:tc>
        <w:tc>
          <w:tcPr>
            <w:tcW w:w="1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12.15.</w:t>
            </w:r>
          </w:p>
        </w:tc>
        <w:tc>
          <w:tcPr>
            <w:tcW w:w="8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Electronic Delivery</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88" w:name="page189"/>
    <w:bookmarkEnd w:id="188"/>
    <w:p>
      <w:pPr>
        <w:jc w:val="center"/>
        <w:ind w:right="580"/>
        <w:spacing w:after="0"/>
        <w:rPr>
          <w:sz w:val="20"/>
          <w:szCs w:val="20"/>
          <w:color w:val="auto"/>
        </w:rPr>
      </w:pPr>
      <w:r>
        <w:rPr>
          <w:rFonts w:ascii="Times New Roman" w:cs="Times New Roman" w:eastAsia="Times New Roman" w:hAnsi="Times New Roman"/>
          <w:sz w:val="16"/>
          <w:szCs w:val="16"/>
          <w:color w:val="auto"/>
        </w:rPr>
        <w:t>ARTICLE XIII</w:t>
      </w:r>
    </w:p>
    <w:p>
      <w:pPr>
        <w:spacing w:after="0" w:line="2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6"/>
          <w:szCs w:val="16"/>
          <w:color w:val="auto"/>
        </w:rPr>
        <w:t>SUBORDINATION OF SECURITIES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13.01.</w:t>
            </w:r>
          </w:p>
        </w:tc>
        <w:tc>
          <w:tcPr>
            <w:tcW w:w="9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Applicability of Article</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13.02.</w:t>
            </w:r>
          </w:p>
        </w:tc>
        <w:tc>
          <w:tcPr>
            <w:tcW w:w="9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Securities Subordinate to Senior Indebtedness and Subordinated Indebtedness</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13.03.</w:t>
            </w:r>
          </w:p>
        </w:tc>
        <w:tc>
          <w:tcPr>
            <w:tcW w:w="9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Payment Over of Proceeds Upon Dissolution, Etc.</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13.04.</w:t>
            </w:r>
          </w:p>
        </w:tc>
        <w:tc>
          <w:tcPr>
            <w:tcW w:w="9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 Payment When Senior Indebtedness or Subordinated Indebtedness of the Company in Default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13.05.</w:t>
            </w:r>
          </w:p>
        </w:tc>
        <w:tc>
          <w:tcPr>
            <w:tcW w:w="9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Payment Permitted if No Default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13.06.</w:t>
            </w:r>
          </w:p>
        </w:tc>
        <w:tc>
          <w:tcPr>
            <w:tcW w:w="9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Subrogation to Rights of Holders of Senior Indebtedness and Subordinated Indebtedness of the Company</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13.07.</w:t>
            </w:r>
          </w:p>
        </w:tc>
        <w:tc>
          <w:tcPr>
            <w:tcW w:w="9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Provisions Solely to Define Relative Rights</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13.08.</w:t>
            </w:r>
          </w:p>
        </w:tc>
        <w:tc>
          <w:tcPr>
            <w:tcW w:w="9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Trustee to Effectuate Subordination</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13.09.</w:t>
            </w:r>
          </w:p>
        </w:tc>
        <w:tc>
          <w:tcPr>
            <w:tcW w:w="9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 Waiver of Subordination Provisions</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13.10.</w:t>
            </w:r>
          </w:p>
        </w:tc>
        <w:tc>
          <w:tcPr>
            <w:tcW w:w="9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Notice to Trustee</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13.11.</w:t>
            </w:r>
          </w:p>
        </w:tc>
        <w:tc>
          <w:tcPr>
            <w:tcW w:w="9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Reliance on Judicial Order or Certificate of Liquidating Agent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13.12.</w:t>
            </w:r>
          </w:p>
        </w:tc>
        <w:tc>
          <w:tcPr>
            <w:tcW w:w="9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Trustee Not Fiduciary for Holders of Senior Indebtedness or Subordinated Indebtedness of the Company</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13.13.</w:t>
            </w:r>
          </w:p>
        </w:tc>
        <w:tc>
          <w:tcPr>
            <w:tcW w:w="9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Rights of Trustee as Holder of Senior Indebtedness or Subordinated Indebtedness of the Company; Preservation of Trustee’s Rights</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13.14.</w:t>
            </w:r>
          </w:p>
        </w:tc>
        <w:tc>
          <w:tcPr>
            <w:tcW w:w="9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Article Applicable to Paying Agents</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Section 13.15.</w:t>
            </w:r>
          </w:p>
        </w:tc>
        <w:tc>
          <w:tcPr>
            <w:tcW w:w="9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Defeasance of this Article XIII</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020" w:type="dxa"/>
            <w:vAlign w:val="bottom"/>
          </w:tcPr>
          <w:p>
            <w:pPr>
              <w:spacing w:after="0"/>
              <w:rPr>
                <w:sz w:val="16"/>
                <w:szCs w:val="16"/>
                <w:color w:val="auto"/>
              </w:rPr>
            </w:pPr>
          </w:p>
        </w:tc>
        <w:tc>
          <w:tcPr>
            <w:tcW w:w="9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EXHIBIT A</w:t>
            </w:r>
          </w:p>
        </w:tc>
        <w:tc>
          <w:tcPr>
            <w:tcW w:w="9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FORM OF NOTATION OF GUARANTEE</w:t>
            </w: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89" w:name="page190"/>
    <w:bookmarkEnd w:id="189"/>
    <w:p>
      <w:pPr>
        <w:ind w:right="180" w:firstLine="585"/>
        <w:spacing w:after="0" w:line="288" w:lineRule="auto"/>
        <w:rPr>
          <w:sz w:val="20"/>
          <w:szCs w:val="20"/>
          <w:color w:val="auto"/>
        </w:rPr>
      </w:pPr>
      <w:r>
        <w:rPr>
          <w:rFonts w:ascii="Times New Roman" w:cs="Times New Roman" w:eastAsia="Times New Roman" w:hAnsi="Times New Roman"/>
          <w:sz w:val="16"/>
          <w:szCs w:val="16"/>
          <w:color w:val="auto"/>
        </w:rPr>
        <w:t>JUNIOR SUBORDINATED INDENTURE, dated as of , , among Viatris Inc., a Delaware corporation, as issuer, the Guarantors (as defined in Section 1.01) and The Bank of New York Mellon, a New York banking corporation, as trustee.</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Each party agrees as follows for the benefit of the other parties and for the equal and ratable benefit of the Holders of the Securities.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DEFINITIONS AND INCORPORATION BY REFERENCE</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1.01. Definitions.</w:t>
      </w:r>
    </w:p>
    <w:p>
      <w:pPr>
        <w:spacing w:after="0" w:line="206" w:lineRule="exact"/>
        <w:rPr>
          <w:sz w:val="20"/>
          <w:szCs w:val="20"/>
          <w:color w:val="auto"/>
        </w:rPr>
      </w:pPr>
    </w:p>
    <w:p>
      <w:pPr>
        <w:ind w:right="42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Additional Securities</w:t>
      </w:r>
      <w:r>
        <w:rPr>
          <w:rFonts w:ascii="Times New Roman" w:cs="Times New Roman" w:eastAsia="Times New Roman" w:hAnsi="Times New Roman"/>
          <w:sz w:val="16"/>
          <w:szCs w:val="16"/>
          <w:color w:val="auto"/>
        </w:rPr>
        <w:t>” means, with respect to a series of Securities, additional Securities of such series (other than the Initial Securities of such series) issued hereunder from time to time in accordance with Sections 2.02 and 2.18, as part of the same or a different series as the Initial Securities of such series.</w:t>
      </w:r>
    </w:p>
    <w:p>
      <w:pPr>
        <w:spacing w:after="0" w:line="138" w:lineRule="exact"/>
        <w:rPr>
          <w:sz w:val="20"/>
          <w:szCs w:val="20"/>
          <w:color w:val="auto"/>
        </w:rPr>
      </w:pPr>
    </w:p>
    <w:p>
      <w:pPr>
        <w:ind w:right="100" w:firstLine="585"/>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Affiliate</w:t>
      </w:r>
      <w:r>
        <w:rPr>
          <w:rFonts w:ascii="Times New Roman" w:cs="Times New Roman" w:eastAsia="Times New Roman" w:hAnsi="Times New Roman"/>
          <w:sz w:val="16"/>
          <w:szCs w:val="16"/>
          <w:color w:val="auto"/>
        </w:rPr>
        <w:t>” means, with respect to any specified Person,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ownership of voting securities, by contract or otherwise; and the terms “controlling” and “controlled” have meanings correlative to the foregoing. No Person (other than the Company or any Subsidiary of the Company) in whom a Receivables Entity makes an Investment in connection with a Qualified Receivables Transaction will be deemed to be an Affiliate of the Company or any of its Subsidiaries solely by reason of such Investment.</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Agent</w:t>
      </w:r>
      <w:r>
        <w:rPr>
          <w:rFonts w:ascii="Times New Roman" w:cs="Times New Roman" w:eastAsia="Times New Roman" w:hAnsi="Times New Roman"/>
          <w:sz w:val="16"/>
          <w:szCs w:val="16"/>
          <w:color w:val="auto"/>
        </w:rPr>
        <w:t>” means any Registrar, co-Registrar or Paying Agent.</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amend</w:t>
      </w:r>
      <w:r>
        <w:rPr>
          <w:rFonts w:ascii="Times New Roman" w:cs="Times New Roman" w:eastAsia="Times New Roman" w:hAnsi="Times New Roman"/>
          <w:sz w:val="16"/>
          <w:szCs w:val="16"/>
          <w:color w:val="auto"/>
        </w:rPr>
        <w:t>” means amend, modify, supplement, restate or amend and restate, including successively; and “</w:t>
      </w:r>
      <w:r>
        <w:rPr>
          <w:rFonts w:ascii="Times New Roman" w:cs="Times New Roman" w:eastAsia="Times New Roman" w:hAnsi="Times New Roman"/>
          <w:sz w:val="16"/>
          <w:szCs w:val="16"/>
          <w:i w:val="1"/>
          <w:iCs w:val="1"/>
          <w:color w:val="auto"/>
        </w:rPr>
        <w:t>amending</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amended</w:t>
      </w:r>
      <w:r>
        <w:rPr>
          <w:rFonts w:ascii="Times New Roman" w:cs="Times New Roman" w:eastAsia="Times New Roman" w:hAnsi="Times New Roman"/>
          <w:sz w:val="16"/>
          <w:szCs w:val="16"/>
          <w:color w:val="auto"/>
        </w:rPr>
        <w:t>” have correlative meanings.</w:t>
      </w:r>
    </w:p>
    <w:p>
      <w:pPr>
        <w:spacing w:after="0" w:line="206" w:lineRule="exact"/>
        <w:rPr>
          <w:sz w:val="20"/>
          <w:szCs w:val="20"/>
          <w:color w:val="auto"/>
        </w:rPr>
      </w:pPr>
    </w:p>
    <w:p>
      <w:pPr>
        <w:ind w:firstLine="585"/>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Attributable Debt</w:t>
      </w:r>
      <w:r>
        <w:rPr>
          <w:rFonts w:ascii="Times New Roman" w:cs="Times New Roman" w:eastAsia="Times New Roman" w:hAnsi="Times New Roman"/>
          <w:sz w:val="16"/>
          <w:szCs w:val="16"/>
          <w:color w:val="auto"/>
        </w:rPr>
        <w:t xml:space="preserve">” in respect of a Sale Leaseback Transaction means, as at the time of determination, the present value (discounted at the interest rate implicit in the lease, compounded annually) of the total obligations of the lessee for rental payments during the remaining term of the lease included in such Sale Leaseback Transaction (including any period for which such lease has been extended);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such Sale Leaseback Transaction results in a Capital Lease Obligation, the amount of Indebtedness represented thereby will be determined in accordance with the definition of “Capital Lease Obligations.”</w:t>
      </w:r>
    </w:p>
    <w:p>
      <w:pPr>
        <w:spacing w:after="0" w:line="159" w:lineRule="exact"/>
        <w:rPr>
          <w:sz w:val="20"/>
          <w:szCs w:val="20"/>
          <w:color w:val="auto"/>
        </w:rPr>
      </w:pPr>
    </w:p>
    <w:p>
      <w:pPr>
        <w:ind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Attributable Receivables Indebtedness</w:t>
      </w:r>
      <w:r>
        <w:rPr>
          <w:rFonts w:ascii="Times New Roman" w:cs="Times New Roman" w:eastAsia="Times New Roman" w:hAnsi="Times New Roman"/>
          <w:sz w:val="16"/>
          <w:szCs w:val="16"/>
          <w:color w:val="auto"/>
        </w:rPr>
        <w:t>” at any time means the principal amount of Indebtedness which (i) if a Qualified Receivables Transaction is structured as a secured lending agreement, would constitute the principal amount of such Indebtedness or (ii) if a Qualified Receivables Transaction is structured as a purchase agreement, would be outstanding at such time under the Qualified Receivables Transaction if the same were structured as a secured lending agreement rather than a purchase agreement.</w:t>
      </w:r>
    </w:p>
    <w:p>
      <w:pPr>
        <w:spacing w:after="0" w:line="154" w:lineRule="exact"/>
        <w:rPr>
          <w:sz w:val="20"/>
          <w:szCs w:val="20"/>
          <w:color w:val="auto"/>
        </w:rPr>
      </w:pPr>
    </w:p>
    <w:p>
      <w:pPr>
        <w:ind w:right="10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Bankruptcy Law</w:t>
      </w:r>
      <w:r>
        <w:rPr>
          <w:rFonts w:ascii="Times New Roman" w:cs="Times New Roman" w:eastAsia="Times New Roman" w:hAnsi="Times New Roman"/>
          <w:sz w:val="16"/>
          <w:szCs w:val="16"/>
          <w:color w:val="auto"/>
        </w:rPr>
        <w:t>” means Title 11, United States Code, or any similar U.S. Federal or state law, the Netherlands Bankruptcy Act (</w:t>
      </w:r>
      <w:r>
        <w:rPr>
          <w:rFonts w:ascii="Times New Roman" w:cs="Times New Roman" w:eastAsia="Times New Roman" w:hAnsi="Times New Roman"/>
          <w:sz w:val="16"/>
          <w:szCs w:val="16"/>
          <w:i w:val="1"/>
          <w:iCs w:val="1"/>
          <w:color w:val="auto"/>
        </w:rPr>
        <w:t>Faillissementswet</w:t>
      </w:r>
      <w:r>
        <w:rPr>
          <w:rFonts w:ascii="Times New Roman" w:cs="Times New Roman" w:eastAsia="Times New Roman" w:hAnsi="Times New Roman"/>
          <w:sz w:val="16"/>
          <w:szCs w:val="16"/>
          <w:color w:val="auto"/>
        </w:rPr>
        <w:t>) or law of any other jurisdiction relating to bankruptcy, insolvency, winding-up, liquidation, reorganization or relief of debtors.</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Board of Directors</w:t>
      </w:r>
      <w:r>
        <w:rPr>
          <w:rFonts w:ascii="Times New Roman" w:cs="Times New Roman" w:eastAsia="Times New Roman" w:hAnsi="Times New Roman"/>
          <w:sz w:val="16"/>
          <w:szCs w:val="16"/>
          <w:color w:val="auto"/>
        </w:rPr>
        <w:t>” means the board of directors of the Company or any duly authorized committee thereof.</w:t>
      </w:r>
    </w:p>
    <w:p>
      <w:pPr>
        <w:spacing w:after="0" w:line="206" w:lineRule="exact"/>
        <w:rPr>
          <w:sz w:val="20"/>
          <w:szCs w:val="20"/>
          <w:color w:val="auto"/>
        </w:rPr>
      </w:pPr>
    </w:p>
    <w:p>
      <w:pPr>
        <w:ind w:right="32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Business Day</w:t>
      </w:r>
      <w:r>
        <w:rPr>
          <w:rFonts w:ascii="Times New Roman" w:cs="Times New Roman" w:eastAsia="Times New Roman" w:hAnsi="Times New Roman"/>
          <w:sz w:val="16"/>
          <w:szCs w:val="16"/>
          <w:color w:val="auto"/>
        </w:rPr>
        <w:t>” means each Monday, Tuesday, Wednesday, Thursday and Friday which is not a day on which banking institutions in the place of payment for a series of Securities are authorized or obligated by law or executive order to close.</w:t>
      </w:r>
    </w:p>
    <w:p>
      <w:pPr>
        <w:spacing w:after="0" w:line="138" w:lineRule="exact"/>
        <w:rPr>
          <w:sz w:val="20"/>
          <w:szCs w:val="20"/>
          <w:color w:val="auto"/>
        </w:rPr>
      </w:pPr>
    </w:p>
    <w:p>
      <w:pPr>
        <w:ind w:right="280" w:firstLine="585"/>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Capital Lease Obligations</w:t>
      </w:r>
      <w:r>
        <w:rPr>
          <w:rFonts w:ascii="Times New Roman" w:cs="Times New Roman" w:eastAsia="Times New Roman" w:hAnsi="Times New Roman"/>
          <w:sz w:val="16"/>
          <w:szCs w:val="16"/>
          <w:color w:val="auto"/>
        </w:rPr>
        <w:t>” means, with respect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Indenture, the amount of such obligations at any time shall be the capitalized amount thereof at such time determined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212725</wp:posOffset>
            </wp:positionV>
            <wp:extent cx="7145655"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0" w:name="page191"/>
    <w:bookmarkEnd w:id="190"/>
    <w:p>
      <w:pPr>
        <w:ind w:firstLine="585"/>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Capital Stock</w:t>
      </w:r>
      <w:r>
        <w:rPr>
          <w:rFonts w:ascii="Times New Roman" w:cs="Times New Roman" w:eastAsia="Times New Roman" w:hAnsi="Times New Roman"/>
          <w:sz w:val="16"/>
          <w:szCs w:val="16"/>
          <w:color w:val="auto"/>
        </w:rPr>
        <w:t>” of any Person means any and all shares, interests, participations, rights in or other equivalents (however designated) of such Person’s capital stock, other equity interests whether now outstanding or issued after the Issue Date, partnership interests (whether general or limited), limited liability company interests, any other interest or participation that confers on a Person the right to receive a share of the profits and losses of, or distributions of assets of, the issuing Person, including any Preferred Stock, and any rights (other than debt securities convertible into, or exchangeable for or valued by reference to, Capital Stock until and unless any such debt security is converted into Capital Stock), warrants or options exchangeable for or convertible into such Capital Stock.</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Commission</w:t>
      </w:r>
      <w:r>
        <w:rPr>
          <w:rFonts w:ascii="Times New Roman" w:cs="Times New Roman" w:eastAsia="Times New Roman" w:hAnsi="Times New Roman"/>
          <w:sz w:val="16"/>
          <w:szCs w:val="16"/>
          <w:color w:val="auto"/>
        </w:rPr>
        <w:t>” means the U.S. Securities and Exchange Commission.</w:t>
      </w:r>
    </w:p>
    <w:p>
      <w:pPr>
        <w:spacing w:after="0" w:line="206" w:lineRule="exact"/>
        <w:rPr>
          <w:sz w:val="20"/>
          <w:szCs w:val="20"/>
          <w:color w:val="auto"/>
        </w:rPr>
      </w:pPr>
    </w:p>
    <w:p>
      <w:pPr>
        <w:ind w:right="18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Commodity Price Protection Agreement</w:t>
      </w:r>
      <w:r>
        <w:rPr>
          <w:rFonts w:ascii="Times New Roman" w:cs="Times New Roman" w:eastAsia="Times New Roman" w:hAnsi="Times New Roman"/>
          <w:sz w:val="16"/>
          <w:szCs w:val="16"/>
          <w:color w:val="auto"/>
        </w:rPr>
        <w:t>” means any forward contract, commodity swap, commodity option or other similar financial agreement or arrangement relating to, or the value of which is dependent upon, fluctuations in commodity prices.</w:t>
      </w:r>
    </w:p>
    <w:p>
      <w:pPr>
        <w:spacing w:after="0" w:line="138" w:lineRule="exact"/>
        <w:rPr>
          <w:sz w:val="20"/>
          <w:szCs w:val="20"/>
          <w:color w:val="auto"/>
        </w:rPr>
      </w:pPr>
    </w:p>
    <w:p>
      <w:pPr>
        <w:ind w:right="22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Company</w:t>
      </w:r>
      <w:r>
        <w:rPr>
          <w:rFonts w:ascii="Times New Roman" w:cs="Times New Roman" w:eastAsia="Times New Roman" w:hAnsi="Times New Roman"/>
          <w:sz w:val="16"/>
          <w:szCs w:val="16"/>
          <w:color w:val="auto"/>
        </w:rPr>
        <w:t>” means Viatris Inc., a Delaware corporation, until a successor replaces it in accordance with the applicable provisions of this Indenture and thereafter means the successor serving hereunder and any and all successors thereto hereunder.</w:t>
      </w:r>
    </w:p>
    <w:p>
      <w:pPr>
        <w:spacing w:after="0" w:line="138" w:lineRule="exact"/>
        <w:rPr>
          <w:sz w:val="20"/>
          <w:szCs w:val="20"/>
          <w:color w:val="auto"/>
        </w:rPr>
      </w:pPr>
    </w:p>
    <w:p>
      <w:pPr>
        <w:jc w:val="both"/>
        <w:ind w:right="36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Company Order</w:t>
      </w:r>
      <w:r>
        <w:rPr>
          <w:rFonts w:ascii="Times New Roman" w:cs="Times New Roman" w:eastAsia="Times New Roman" w:hAnsi="Times New Roman"/>
          <w:sz w:val="16"/>
          <w:szCs w:val="16"/>
          <w:color w:val="auto"/>
        </w:rPr>
        <w:t>” means a written request or order signed in the name of the Company by its chairman or executive chairman, as applicable, of the Board of Directors, its chief executive officer or chief financial officer, its president or a vice president, a treasurer, an assistant treasurer, its controller, an assistant controller, its secretary or an assistant secretary, or any other officer designated in an Officer’s Certificate, and delivered to the Trustee.</w:t>
      </w:r>
    </w:p>
    <w:p>
      <w:pPr>
        <w:spacing w:after="0" w:line="154" w:lineRule="exact"/>
        <w:rPr>
          <w:sz w:val="20"/>
          <w:szCs w:val="20"/>
          <w:color w:val="auto"/>
        </w:rPr>
      </w:pPr>
    </w:p>
    <w:p>
      <w:pPr>
        <w:ind w:firstLine="585"/>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Company’s Indenture Obligations</w:t>
      </w:r>
      <w:r>
        <w:rPr>
          <w:rFonts w:ascii="Times New Roman" w:cs="Times New Roman" w:eastAsia="Times New Roman" w:hAnsi="Times New Roman"/>
          <w:sz w:val="16"/>
          <w:szCs w:val="16"/>
          <w:color w:val="auto"/>
        </w:rPr>
        <w:t>” means, with respect to any series of Securities, the Obligations with respect to the Securities of such series of the Company and any other obligor under this Indenture or under the Securities of such series to pay principal, premium, if any, and interest when due and payable, and all other amounts due or to become due, under or in connection with this Indenture and the Securities of such series, and the performance of all other Obligations with respect to the Securities of such series, to the Trustee and to the Holders of the Securities of such series under this Indenture and the Securities of such series, in each case according to the respective terms thereof.</w:t>
      </w:r>
    </w:p>
    <w:p>
      <w:pPr>
        <w:spacing w:after="0" w:line="161" w:lineRule="exact"/>
        <w:rPr>
          <w:sz w:val="20"/>
          <w:szCs w:val="20"/>
          <w:color w:val="auto"/>
        </w:rPr>
      </w:pPr>
    </w:p>
    <w:p>
      <w:pPr>
        <w:jc w:val="both"/>
        <w:ind w:right="20" w:firstLine="585"/>
        <w:spacing w:after="0" w:line="21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Corporate Trust Office</w:t>
      </w:r>
      <w:r>
        <w:rPr>
          <w:rFonts w:ascii="Times New Roman" w:cs="Times New Roman" w:eastAsia="Times New Roman" w:hAnsi="Times New Roman"/>
          <w:sz w:val="16"/>
          <w:szCs w:val="16"/>
          <w:color w:val="auto"/>
        </w:rPr>
        <w:t>” means the office of the Trustee at which at any particular time its corporate trust business in Pittsburgh, Pennsylvania shall be principally administered, which office as of the date of this Indenture is located at 500 Ross Street, 12</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Floor, Pittsburgh, PA 15262, Attention: Corporate Trust Administration, or such other address as the Trustee may designate from time to time by notice to the Holders and the Company.</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corporation</w:t>
      </w:r>
      <w:r>
        <w:rPr>
          <w:rFonts w:ascii="Times New Roman" w:cs="Times New Roman" w:eastAsia="Times New Roman" w:hAnsi="Times New Roman"/>
          <w:sz w:val="16"/>
          <w:szCs w:val="16"/>
          <w:color w:val="auto"/>
        </w:rPr>
        <w:t>” includes corporations, associations, companies (including any limited liability company), business trusts and limited partnerships.</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Currency</w:t>
      </w:r>
      <w:r>
        <w:rPr>
          <w:rFonts w:ascii="Times New Roman" w:cs="Times New Roman" w:eastAsia="Times New Roman" w:hAnsi="Times New Roman"/>
          <w:sz w:val="16"/>
          <w:szCs w:val="16"/>
          <w:color w:val="auto"/>
        </w:rPr>
        <w:t>” means U.S. Dollars or any Foreign Currency.</w:t>
      </w:r>
    </w:p>
    <w:p>
      <w:pPr>
        <w:spacing w:after="0" w:line="206" w:lineRule="exact"/>
        <w:rPr>
          <w:sz w:val="20"/>
          <w:szCs w:val="20"/>
          <w:color w:val="auto"/>
        </w:rPr>
      </w:pPr>
    </w:p>
    <w:p>
      <w:pPr>
        <w:ind w:right="60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Currency Agreement</w:t>
      </w:r>
      <w:r>
        <w:rPr>
          <w:rFonts w:ascii="Times New Roman" w:cs="Times New Roman" w:eastAsia="Times New Roman" w:hAnsi="Times New Roman"/>
          <w:sz w:val="16"/>
          <w:szCs w:val="16"/>
          <w:color w:val="auto"/>
        </w:rPr>
        <w:t>” means one or more of the following agreements which shall be entered into by one or more financial institutions: foreign exchange contracts, currency swap agreements or other similar agreements or arrangements designed to protect against the fluctuations in currency values.</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Custodian</w:t>
      </w:r>
      <w:r>
        <w:rPr>
          <w:rFonts w:ascii="Times New Roman" w:cs="Times New Roman" w:eastAsia="Times New Roman" w:hAnsi="Times New Roman"/>
          <w:sz w:val="16"/>
          <w:szCs w:val="16"/>
          <w:color w:val="auto"/>
        </w:rPr>
        <w:t>” means any receiver, interim receiver, receiver and manager, trustee, assignee, liquidator, custodian, curator or similar official under any Bankruptcy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Law.</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Default</w:t>
      </w:r>
      <w:r>
        <w:rPr>
          <w:rFonts w:ascii="Times New Roman" w:cs="Times New Roman" w:eastAsia="Times New Roman" w:hAnsi="Times New Roman"/>
          <w:sz w:val="16"/>
          <w:szCs w:val="16"/>
          <w:color w:val="auto"/>
        </w:rPr>
        <w:t>” means any event which is, or after notice or passage of time or both would be, an Event of Default.</w:t>
      </w:r>
    </w:p>
    <w:p>
      <w:pPr>
        <w:spacing w:after="0" w:line="206" w:lineRule="exact"/>
        <w:rPr>
          <w:sz w:val="20"/>
          <w:szCs w:val="20"/>
          <w:color w:val="auto"/>
        </w:rPr>
      </w:pPr>
    </w:p>
    <w:p>
      <w:pPr>
        <w:ind w:right="40" w:firstLine="585"/>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Depositary</w:t>
      </w:r>
      <w:r>
        <w:rPr>
          <w:rFonts w:ascii="Times New Roman" w:cs="Times New Roman" w:eastAsia="Times New Roman" w:hAnsi="Times New Roman"/>
          <w:sz w:val="16"/>
          <w:szCs w:val="16"/>
          <w:color w:val="auto"/>
        </w:rPr>
        <w:t>” means, with respect to the Securities issued in the form of one or more Global Securities, the Person designated as the Depositary by the Company pursuant to Section 2.02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Domestic Subsidiary</w:t>
      </w:r>
      <w:r>
        <w:rPr>
          <w:rFonts w:ascii="Times New Roman" w:cs="Times New Roman" w:eastAsia="Times New Roman" w:hAnsi="Times New Roman"/>
          <w:sz w:val="16"/>
          <w:szCs w:val="16"/>
          <w:color w:val="auto"/>
        </w:rPr>
        <w:t>” means any Subsidiary that is not a Foreign Subsidiary.</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1" w:name="page192"/>
    <w:bookmarkEnd w:id="191"/>
    <w:p>
      <w:pPr>
        <w:ind w:right="24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Electronic Means</w:t>
      </w:r>
      <w:r>
        <w:rPr>
          <w:rFonts w:ascii="Times New Roman" w:cs="Times New Roman" w:eastAsia="Times New Roman" w:hAnsi="Times New Roman"/>
          <w:sz w:val="16"/>
          <w:szCs w:val="16"/>
          <w:color w:val="auto"/>
        </w:rPr>
        <w:t>” means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38" w:lineRule="exact"/>
        <w:rPr>
          <w:sz w:val="20"/>
          <w:szCs w:val="20"/>
          <w:color w:val="auto"/>
        </w:rPr>
      </w:pPr>
    </w:p>
    <w:p>
      <w:pPr>
        <w:ind w:right="16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Exchange Act</w:t>
      </w:r>
      <w:r>
        <w:rPr>
          <w:rFonts w:ascii="Times New Roman" w:cs="Times New Roman" w:eastAsia="Times New Roman" w:hAnsi="Times New Roman"/>
          <w:sz w:val="16"/>
          <w:szCs w:val="16"/>
          <w:color w:val="auto"/>
        </w:rPr>
        <w:t>” means the Securities Exchange Act of 1934, as amended, or any successor statute, and the rules and regulations promulgated by the Commission thereunder.</w:t>
      </w:r>
    </w:p>
    <w:p>
      <w:pPr>
        <w:spacing w:after="0" w:line="138" w:lineRule="exact"/>
        <w:rPr>
          <w:sz w:val="20"/>
          <w:szCs w:val="20"/>
          <w:color w:val="auto"/>
        </w:rPr>
      </w:pPr>
    </w:p>
    <w:p>
      <w:pPr>
        <w:ind w:right="80" w:firstLine="585"/>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Fair Market Value</w:t>
      </w:r>
      <w:r>
        <w:rPr>
          <w:rFonts w:ascii="Times New Roman" w:cs="Times New Roman" w:eastAsia="Times New Roman" w:hAnsi="Times New Roman"/>
          <w:sz w:val="16"/>
          <w:szCs w:val="16"/>
          <w:color w:val="auto"/>
        </w:rPr>
        <w:t>” means, with respect to any asset or property, the sale value that would be obtained in an arm’s-length free market transaction between an informed and willing seller under no compulsion to sell and an informed and willing buyer under no compulsion to buy less any present or future taxes, duties, assessments or governmental charges of whatever nature payable as a result of or arising out of the disposition of such asset or property. Fair Market Value shall be determined in good faith by the Company.</w:t>
      </w:r>
    </w:p>
    <w:p>
      <w:pPr>
        <w:spacing w:after="0" w:line="159" w:lineRule="exact"/>
        <w:rPr>
          <w:sz w:val="20"/>
          <w:szCs w:val="20"/>
          <w:color w:val="auto"/>
        </w:rPr>
      </w:pPr>
    </w:p>
    <w:p>
      <w:pPr>
        <w:ind w:right="60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Foreign Currency</w:t>
      </w:r>
      <w:r>
        <w:rPr>
          <w:rFonts w:ascii="Times New Roman" w:cs="Times New Roman" w:eastAsia="Times New Roman" w:hAnsi="Times New Roman"/>
          <w:sz w:val="16"/>
          <w:szCs w:val="16"/>
          <w:color w:val="auto"/>
        </w:rPr>
        <w:t>” means a currency issued by the government of any country other than the United States or a composite currency, the value of which is determined by reference to the values of the currencies of any group of countries.</w:t>
      </w:r>
    </w:p>
    <w:p>
      <w:pPr>
        <w:spacing w:after="0" w:line="138" w:lineRule="exact"/>
        <w:rPr>
          <w:sz w:val="20"/>
          <w:szCs w:val="20"/>
          <w:color w:val="auto"/>
        </w:rPr>
      </w:pPr>
    </w:p>
    <w:p>
      <w:pPr>
        <w:ind w:right="32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Foreign Subsidiary</w:t>
      </w:r>
      <w:r>
        <w:rPr>
          <w:rFonts w:ascii="Times New Roman" w:cs="Times New Roman" w:eastAsia="Times New Roman" w:hAnsi="Times New Roman"/>
          <w:sz w:val="16"/>
          <w:szCs w:val="16"/>
          <w:color w:val="auto"/>
        </w:rPr>
        <w:t>” means a Subsidiary that is not organized, incorporated or existing under the laws of the United States of America or any state or territory thereof or the District of Columbia or is a Subsidiary of such Foreign Subsidiary.</w:t>
      </w:r>
    </w:p>
    <w:p>
      <w:pPr>
        <w:spacing w:after="0" w:line="138" w:lineRule="exact"/>
        <w:rPr>
          <w:sz w:val="20"/>
          <w:szCs w:val="20"/>
          <w:color w:val="auto"/>
        </w:rPr>
      </w:pPr>
    </w:p>
    <w:p>
      <w:pPr>
        <w:ind w:right="16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GAAP</w:t>
      </w:r>
      <w:r>
        <w:rPr>
          <w:rFonts w:ascii="Times New Roman" w:cs="Times New Roman" w:eastAsia="Times New Roman" w:hAnsi="Times New Roman"/>
          <w:sz w:val="16"/>
          <w:szCs w:val="16"/>
          <w:color w:val="auto"/>
        </w:rPr>
        <w:t>” means generally accepted accounting principles in the United States of America as in effect from time to time (except with respect to accounting for capital leases, as to which such principles in effect on December 31, 2018 shall apply), including, without limitation, those set forth in the Financial Accounting Standards Board’s “Accounting Standards Codification” or in such other statements by such other entity as approved by a significant segment of the accounting profession.</w:t>
      </w:r>
    </w:p>
    <w:p>
      <w:pPr>
        <w:spacing w:after="0" w:line="154" w:lineRule="exact"/>
        <w:rPr>
          <w:sz w:val="20"/>
          <w:szCs w:val="20"/>
          <w:color w:val="auto"/>
        </w:rPr>
      </w:pPr>
    </w:p>
    <w:p>
      <w:pPr>
        <w:ind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Global Security</w:t>
      </w:r>
      <w:r>
        <w:rPr>
          <w:rFonts w:ascii="Times New Roman" w:cs="Times New Roman" w:eastAsia="Times New Roman" w:hAnsi="Times New Roman"/>
          <w:sz w:val="16"/>
          <w:szCs w:val="16"/>
          <w:color w:val="auto"/>
        </w:rPr>
        <w:t>” means any Security that evidences all or part of a series of Securities, issued in fully-registered certificated form to the Depositary for such series in accordance with Section 2.17 and bearing the legend prescribed in Section 2.17(a).</w:t>
      </w:r>
    </w:p>
    <w:p>
      <w:pPr>
        <w:spacing w:after="0" w:line="138" w:lineRule="exact"/>
        <w:rPr>
          <w:sz w:val="20"/>
          <w:szCs w:val="20"/>
          <w:color w:val="auto"/>
        </w:rPr>
      </w:pPr>
    </w:p>
    <w:p>
      <w:pPr>
        <w:ind w:right="6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Governmental Authority</w:t>
      </w:r>
      <w:r>
        <w:rPr>
          <w:rFonts w:ascii="Times New Roman" w:cs="Times New Roman" w:eastAsia="Times New Roman" w:hAnsi="Times New Roman"/>
          <w:sz w:val="16"/>
          <w:szCs w:val="16"/>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54" w:lineRule="exact"/>
        <w:rPr>
          <w:sz w:val="20"/>
          <w:szCs w:val="20"/>
          <w:color w:val="auto"/>
        </w:rPr>
      </w:pPr>
    </w:p>
    <w:p>
      <w:pPr>
        <w:ind w:right="50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Guarantee</w:t>
      </w:r>
      <w:r>
        <w:rPr>
          <w:rFonts w:ascii="Times New Roman" w:cs="Times New Roman" w:eastAsia="Times New Roman" w:hAnsi="Times New Roman"/>
          <w:sz w:val="16"/>
          <w:szCs w:val="16"/>
          <w:color w:val="auto"/>
        </w:rPr>
        <w:t>” means any obligation, contingent or otherwise, of any Person directly or indirectly guaranteeing any Indebtedness of any other Person and any obligation, direct or indirect, contingent or otherwise, of such Person:</w:t>
      </w:r>
    </w:p>
    <w:p>
      <w:pPr>
        <w:spacing w:after="0" w:line="140" w:lineRule="exact"/>
        <w:rPr>
          <w:sz w:val="20"/>
          <w:szCs w:val="20"/>
          <w:color w:val="auto"/>
        </w:rPr>
      </w:pPr>
    </w:p>
    <w:p>
      <w:pPr>
        <w:ind w:left="660" w:right="20" w:firstLine="506"/>
        <w:spacing w:after="0" w:line="271" w:lineRule="auto"/>
        <w:tabs>
          <w:tab w:leader="none" w:pos="1761"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156" w:lineRule="exact"/>
        <w:rPr>
          <w:rFonts w:ascii="Times New Roman" w:cs="Times New Roman" w:eastAsia="Times New Roman" w:hAnsi="Times New Roman"/>
          <w:sz w:val="16"/>
          <w:szCs w:val="16"/>
          <w:color w:val="auto"/>
        </w:rPr>
      </w:pPr>
    </w:p>
    <w:p>
      <w:pPr>
        <w:ind w:left="1760" w:hanging="594"/>
        <w:spacing w:after="0"/>
        <w:tabs>
          <w:tab w:leader="none" w:pos="1760"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entered into for the purpose of assuring in any other manner the obligee against loss in respect thereof (in whole or in part);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the term “Guarantee” shall not include:</w:t>
      </w:r>
    </w:p>
    <w:p>
      <w:pPr>
        <w:spacing w:after="0" w:line="208" w:lineRule="exact"/>
        <w:rPr>
          <w:sz w:val="20"/>
          <w:szCs w:val="20"/>
          <w:color w:val="auto"/>
        </w:rPr>
      </w:pPr>
    </w:p>
    <w:p>
      <w:pPr>
        <w:ind w:left="1760" w:hanging="594"/>
        <w:spacing w:after="0"/>
        <w:tabs>
          <w:tab w:leader="none" w:pos="1760"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endorsements for collection or deposit in the ordinary course of business; or</w:t>
      </w:r>
    </w:p>
    <w:p>
      <w:pPr>
        <w:spacing w:after="0" w:line="205" w:lineRule="exact"/>
        <w:rPr>
          <w:rFonts w:ascii="Times New Roman" w:cs="Times New Roman" w:eastAsia="Times New Roman" w:hAnsi="Times New Roman"/>
          <w:sz w:val="16"/>
          <w:szCs w:val="16"/>
          <w:color w:val="auto"/>
        </w:rPr>
      </w:pPr>
    </w:p>
    <w:p>
      <w:pPr>
        <w:ind w:left="1760" w:hanging="594"/>
        <w:spacing w:after="0"/>
        <w:tabs>
          <w:tab w:leader="none" w:pos="1760"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contractual commitment by one Person to invest in another Person.</w:t>
      </w:r>
    </w:p>
    <w:p>
      <w:pPr>
        <w:spacing w:after="0" w:line="204"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i w:val="1"/>
          <w:iCs w:val="1"/>
          <w:color w:val="auto"/>
        </w:rPr>
        <w:t>Guarantee</w:t>
      </w:r>
      <w:r>
        <w:rPr>
          <w:rFonts w:ascii="Times New Roman" w:cs="Times New Roman" w:eastAsia="Times New Roman" w:hAnsi="Times New Roman"/>
          <w:sz w:val="16"/>
          <w:szCs w:val="16"/>
          <w:color w:val="auto"/>
        </w:rPr>
        <w:t>” used as a verb has a corresponding meaning. The term “</w:t>
      </w:r>
      <w:r>
        <w:rPr>
          <w:rFonts w:ascii="Times New Roman" w:cs="Times New Roman" w:eastAsia="Times New Roman" w:hAnsi="Times New Roman"/>
          <w:sz w:val="16"/>
          <w:szCs w:val="16"/>
          <w:i w:val="1"/>
          <w:iCs w:val="1"/>
          <w:color w:val="auto"/>
        </w:rPr>
        <w:t>Guarantor</w:t>
      </w:r>
      <w:r>
        <w:rPr>
          <w:rFonts w:ascii="Times New Roman" w:cs="Times New Roman" w:eastAsia="Times New Roman" w:hAnsi="Times New Roman"/>
          <w:sz w:val="16"/>
          <w:szCs w:val="16"/>
          <w:color w:val="auto"/>
        </w:rPr>
        <w:t xml:space="preserve">” means (i) initially on the execution of this Indenture, each of the entities, if any, listed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attached hereto, and (ii) any other Subsidiary of the Company that Guarantees the Company’s Indenture Obligations from time to time, in each case during such periods that such entity Guarantees the Company’s Indenture Obligations in accordance with the terms of this Indenture.</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2" w:name="page193"/>
    <w:bookmarkEnd w:id="192"/>
    <w:p>
      <w:pPr>
        <w:ind w:right="40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Hedging Obligations</w:t>
      </w:r>
      <w:r>
        <w:rPr>
          <w:rFonts w:ascii="Times New Roman" w:cs="Times New Roman" w:eastAsia="Times New Roman" w:hAnsi="Times New Roman"/>
          <w:sz w:val="16"/>
          <w:szCs w:val="16"/>
          <w:color w:val="auto"/>
        </w:rPr>
        <w:t>” of any Person means the obligations of such Person pursuant to any Interest Rate Agreement, Currency Agreement, Commodity Price Protection Agreement or any other similar agreement or arrangement.</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Holder</w:t>
      </w:r>
      <w:r>
        <w:rPr>
          <w:rFonts w:ascii="Times New Roman" w:cs="Times New Roman" w:eastAsia="Times New Roman" w:hAnsi="Times New Roman"/>
          <w:sz w:val="16"/>
          <w:szCs w:val="16"/>
          <w:color w:val="auto"/>
        </w:rPr>
        <w:t>” means the Person in whose name a Security is registered on the Security register.</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Indebtedness</w:t>
      </w:r>
      <w:r>
        <w:rPr>
          <w:rFonts w:ascii="Times New Roman" w:cs="Times New Roman" w:eastAsia="Times New Roman" w:hAnsi="Times New Roman"/>
          <w:sz w:val="16"/>
          <w:szCs w:val="16"/>
          <w:color w:val="auto"/>
        </w:rPr>
        <w:t>” means, with respect to any Person on any date of determination (without duplication):</w:t>
      </w:r>
    </w:p>
    <w:p>
      <w:pPr>
        <w:spacing w:after="0" w:line="208" w:lineRule="exact"/>
        <w:rPr>
          <w:sz w:val="20"/>
          <w:szCs w:val="20"/>
          <w:color w:val="auto"/>
        </w:rPr>
      </w:pPr>
    </w:p>
    <w:p>
      <w:pPr>
        <w:jc w:val="both"/>
        <w:ind w:left="660" w:right="160" w:firstLine="506"/>
        <w:spacing w:after="0" w:line="271" w:lineRule="auto"/>
        <w:tabs>
          <w:tab w:leader="none" w:pos="177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in respect of (A) indebtedness of such Person for money borrowed and (B) indebtedness evidenced by notes, debentures, bonds or other similar instruments for the payment of which such Person is responsible or liable, including, in each case, any premium on such indebtedness to the extent such premium has become due and payable;</w:t>
      </w:r>
    </w:p>
    <w:p>
      <w:pPr>
        <w:spacing w:after="0" w:line="156" w:lineRule="exact"/>
        <w:rPr>
          <w:rFonts w:ascii="Times New Roman" w:cs="Times New Roman" w:eastAsia="Times New Roman" w:hAnsi="Times New Roman"/>
          <w:sz w:val="16"/>
          <w:szCs w:val="16"/>
          <w:color w:val="auto"/>
        </w:rPr>
      </w:pPr>
    </w:p>
    <w:p>
      <w:pPr>
        <w:ind w:left="1760" w:hanging="594"/>
        <w:spacing w:after="0"/>
        <w:tabs>
          <w:tab w:leader="none" w:pos="176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Capital Lease Obligations of such Person and all Attributable Debt in respect of Sale Leaseback Transactions entered into by such Person;</w:t>
      </w:r>
    </w:p>
    <w:p>
      <w:pPr>
        <w:spacing w:after="0" w:line="205" w:lineRule="exact"/>
        <w:rPr>
          <w:rFonts w:ascii="Times New Roman" w:cs="Times New Roman" w:eastAsia="Times New Roman" w:hAnsi="Times New Roman"/>
          <w:sz w:val="16"/>
          <w:szCs w:val="16"/>
          <w:color w:val="auto"/>
        </w:rPr>
      </w:pPr>
    </w:p>
    <w:p>
      <w:pPr>
        <w:ind w:left="660" w:right="20" w:firstLine="506"/>
        <w:spacing w:after="0" w:line="271" w:lineRule="auto"/>
        <w:tabs>
          <w:tab w:leader="none" w:pos="177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obligations of such Person issued or assumed as the deferred purchase price of Property, all conditional sale obligations of such Person and all obligations of such Person under any title retention agreement (but excluding any accounts payable or other liability to trade creditors arising in the ordinary course of business);</w:t>
      </w:r>
    </w:p>
    <w:p>
      <w:pPr>
        <w:spacing w:after="0" w:line="156" w:lineRule="exact"/>
        <w:rPr>
          <w:rFonts w:ascii="Times New Roman" w:cs="Times New Roman" w:eastAsia="Times New Roman" w:hAnsi="Times New Roman"/>
          <w:sz w:val="16"/>
          <w:szCs w:val="16"/>
          <w:color w:val="auto"/>
        </w:rPr>
      </w:pPr>
    </w:p>
    <w:p>
      <w:pPr>
        <w:jc w:val="both"/>
        <w:ind w:left="660" w:firstLine="506"/>
        <w:spacing w:after="0" w:line="265" w:lineRule="auto"/>
        <w:tabs>
          <w:tab w:leader="none" w:pos="177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obligations of such Person for the reimbursement of any obligor on any letter of credit, bankers’ acceptance or similar credit transaction (other than obligations with respect to letters of credit securing obligations (other than obligations described in clauses (1) through (3) above) entered into in the ordinary course of business of such Person to the extent such letters of credit are not drawn upon or, if and to the extent drawn upon, such drawing is reimbursed no later than the 30th day following payment on the letter of credit);</w:t>
      </w:r>
    </w:p>
    <w:p>
      <w:pPr>
        <w:spacing w:after="0" w:line="161" w:lineRule="exact"/>
        <w:rPr>
          <w:rFonts w:ascii="Times New Roman" w:cs="Times New Roman" w:eastAsia="Times New Roman" w:hAnsi="Times New Roman"/>
          <w:sz w:val="16"/>
          <w:szCs w:val="16"/>
          <w:color w:val="auto"/>
        </w:rPr>
      </w:pPr>
    </w:p>
    <w:p>
      <w:pPr>
        <w:ind w:left="1760" w:hanging="594"/>
        <w:spacing w:after="0"/>
        <w:tabs>
          <w:tab w:leader="none" w:pos="176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not otherwise included in this definition, Hedging Obligations of such Person;</w:t>
      </w:r>
    </w:p>
    <w:p>
      <w:pPr>
        <w:spacing w:after="0" w:line="205" w:lineRule="exact"/>
        <w:rPr>
          <w:rFonts w:ascii="Times New Roman" w:cs="Times New Roman" w:eastAsia="Times New Roman" w:hAnsi="Times New Roman"/>
          <w:sz w:val="16"/>
          <w:szCs w:val="16"/>
          <w:color w:val="auto"/>
        </w:rPr>
      </w:pPr>
    </w:p>
    <w:p>
      <w:pPr>
        <w:ind w:left="1760" w:hanging="594"/>
        <w:spacing w:after="0"/>
        <w:tabs>
          <w:tab w:leader="none" w:pos="176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Attributable Receivables Indebtedness;</w:t>
      </w:r>
    </w:p>
    <w:p>
      <w:pPr>
        <w:spacing w:after="0" w:line="205" w:lineRule="exact"/>
        <w:rPr>
          <w:rFonts w:ascii="Times New Roman" w:cs="Times New Roman" w:eastAsia="Times New Roman" w:hAnsi="Times New Roman"/>
          <w:sz w:val="16"/>
          <w:szCs w:val="16"/>
          <w:color w:val="auto"/>
        </w:rPr>
      </w:pPr>
    </w:p>
    <w:p>
      <w:pPr>
        <w:jc w:val="both"/>
        <w:ind w:left="660" w:right="360" w:firstLine="506"/>
        <w:spacing w:after="0" w:line="288" w:lineRule="auto"/>
        <w:tabs>
          <w:tab w:leader="none" w:pos="177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obligations of the type referred to in clauses (1) through (6) above of other Persons and all dividends of other Persons for the payment of which, in either case, such Person is responsible or liable, directly or indirectly, as obligor, guarantor or otherwise, including by means of any Guarantee; and</w:t>
      </w:r>
    </w:p>
    <w:p>
      <w:pPr>
        <w:spacing w:after="0" w:line="143" w:lineRule="exact"/>
        <w:rPr>
          <w:rFonts w:ascii="Times New Roman" w:cs="Times New Roman" w:eastAsia="Times New Roman" w:hAnsi="Times New Roman"/>
          <w:sz w:val="16"/>
          <w:szCs w:val="16"/>
          <w:color w:val="auto"/>
        </w:rPr>
      </w:pPr>
    </w:p>
    <w:p>
      <w:pPr>
        <w:ind w:left="660" w:right="100" w:firstLine="506"/>
        <w:spacing w:after="0" w:line="271" w:lineRule="auto"/>
        <w:tabs>
          <w:tab w:leader="none" w:pos="177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obligations of the type referred to in clauses (1) through (7) above of other Persons secured by any Lien on any property or asset of such Person (whether or not such obligation is assumed by such Person), the amount of such obligation being deemed to be the lesser of the Fair Market Value of such property or assets and the amount of the obligation so secured.</w:t>
      </w:r>
    </w:p>
    <w:p>
      <w:pPr>
        <w:spacing w:after="0" w:line="156" w:lineRule="exact"/>
        <w:rPr>
          <w:sz w:val="20"/>
          <w:szCs w:val="20"/>
          <w:color w:val="auto"/>
        </w:rPr>
      </w:pPr>
    </w:p>
    <w:p>
      <w:pPr>
        <w:ind w:right="60" w:firstLine="585"/>
        <w:spacing w:after="0" w:line="262" w:lineRule="auto"/>
        <w:rPr>
          <w:sz w:val="20"/>
          <w:szCs w:val="20"/>
          <w:color w:val="auto"/>
        </w:rPr>
      </w:pPr>
      <w:r>
        <w:rPr>
          <w:rFonts w:ascii="Times New Roman" w:cs="Times New Roman" w:eastAsia="Times New Roman" w:hAnsi="Times New Roman"/>
          <w:sz w:val="16"/>
          <w:szCs w:val="16"/>
          <w:color w:val="auto"/>
        </w:rPr>
        <w:t xml:space="preserve">Notwithstanding the foregoing, in connection with the purchase by the Company or any Subsidiary of the Company of any business, the term “Indebtedness” will exclude indemnification, purchase price adjustment, earn-outs, holdbacks, milestones and contingency payment obligations to which the seller may become entitled to the extent such payment is determined by a final closing balance sheet or such payment depends on the performance of such business after the closing;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at the time of closing, the amount of any such payment is not determinable and, to the extent such payment thereafter becomes fixed and determined, the amount is paid within 60 days thereafter.</w:t>
      </w:r>
    </w:p>
    <w:p>
      <w:pPr>
        <w:spacing w:after="0" w:line="163" w:lineRule="exact"/>
        <w:rPr>
          <w:sz w:val="20"/>
          <w:szCs w:val="20"/>
          <w:color w:val="auto"/>
        </w:rPr>
      </w:pPr>
    </w:p>
    <w:p>
      <w:pPr>
        <w:ind w:right="20" w:firstLine="585"/>
        <w:spacing w:after="0" w:line="291" w:lineRule="auto"/>
        <w:rPr>
          <w:sz w:val="20"/>
          <w:szCs w:val="20"/>
          <w:color w:val="auto"/>
        </w:rPr>
      </w:pPr>
      <w:r>
        <w:rPr>
          <w:rFonts w:ascii="Times New Roman" w:cs="Times New Roman" w:eastAsia="Times New Roman" w:hAnsi="Times New Roman"/>
          <w:sz w:val="16"/>
          <w:szCs w:val="16"/>
          <w:color w:val="auto"/>
        </w:rPr>
        <w:t xml:space="preserve">The amount of Indebtedness of any Person at any date shall be the outstanding balance at such date of all obligations as described above;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in the case of Indebtedness sold at a discount, the amount of such Indebtedness at any time will be the accreted value thereof at such time.</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3" w:name="page194"/>
    <w:bookmarkEnd w:id="193"/>
    <w:p>
      <w:pPr>
        <w:ind w:firstLine="585"/>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Indenture</w:t>
      </w:r>
      <w:r>
        <w:rPr>
          <w:rFonts w:ascii="Times New Roman" w:cs="Times New Roman" w:eastAsia="Times New Roman" w:hAnsi="Times New Roman"/>
          <w:sz w:val="16"/>
          <w:szCs w:val="16"/>
          <w:color w:val="auto"/>
        </w:rPr>
        <w:t xml:space="preserve">” means this instrument as originally executed or as it may from time to time be supplemented or amended by one or more indentures supplemental hereto entered into pursuant to the applicable provisions hereof, including, for all purposes of this instrument and any such supplemental indenture, the provisions of the TIA that are deemed to be a part of and govern this instrument and any such supplemental indenture, respectively. The term “Indenture” shall also include the terms of particular series of Securities established as contemplated by Section 2.02;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2.02,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169" w:lineRule="exact"/>
        <w:rPr>
          <w:sz w:val="20"/>
          <w:szCs w:val="20"/>
          <w:color w:val="auto"/>
        </w:rPr>
      </w:pPr>
    </w:p>
    <w:p>
      <w:pPr>
        <w:ind w:right="18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Individual Securities</w:t>
      </w:r>
      <w:r>
        <w:rPr>
          <w:rFonts w:ascii="Times New Roman" w:cs="Times New Roman" w:eastAsia="Times New Roman" w:hAnsi="Times New Roman"/>
          <w:sz w:val="16"/>
          <w:szCs w:val="16"/>
          <w:color w:val="auto"/>
        </w:rPr>
        <w:t>” means a Security that is substantially in the form attached to the supplemental indenture or Company Order authorizing such Security and that is not a Global Security.</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Initial Securities</w:t>
      </w:r>
      <w:r>
        <w:rPr>
          <w:rFonts w:ascii="Times New Roman" w:cs="Times New Roman" w:eastAsia="Times New Roman" w:hAnsi="Times New Roman"/>
          <w:sz w:val="16"/>
          <w:szCs w:val="16"/>
          <w:color w:val="auto"/>
        </w:rPr>
        <w:t>” means, for a series of Securities, the first Securities of such series issued under this Indenture.</w:t>
      </w:r>
    </w:p>
    <w:p>
      <w:pPr>
        <w:spacing w:after="0" w:line="206" w:lineRule="exact"/>
        <w:rPr>
          <w:sz w:val="20"/>
          <w:szCs w:val="20"/>
          <w:color w:val="auto"/>
        </w:rPr>
      </w:pPr>
    </w:p>
    <w:p>
      <w:pPr>
        <w:jc w:val="both"/>
        <w:ind w:right="8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interest</w:t>
      </w:r>
      <w:r>
        <w:rPr>
          <w:rFonts w:ascii="Times New Roman" w:cs="Times New Roman" w:eastAsia="Times New Roman" w:hAnsi="Times New Roman"/>
          <w:sz w:val="16"/>
          <w:szCs w:val="16"/>
          <w:color w:val="auto"/>
        </w:rPr>
        <w:t>” means, unless the context otherwise requires, interest payable on any Securities, and with respect to an Original Issue Discount Security that by its terms bears interest only after the Maturity Date, interest payable after the Maturity Date.</w:t>
      </w:r>
    </w:p>
    <w:p>
      <w:pPr>
        <w:spacing w:after="0" w:line="138" w:lineRule="exact"/>
        <w:rPr>
          <w:sz w:val="20"/>
          <w:szCs w:val="20"/>
          <w:color w:val="auto"/>
        </w:rPr>
      </w:pPr>
    </w:p>
    <w:p>
      <w:pPr>
        <w:ind w:right="64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Interest Payment Date</w:t>
      </w:r>
      <w:r>
        <w:rPr>
          <w:rFonts w:ascii="Times New Roman" w:cs="Times New Roman" w:eastAsia="Times New Roman" w:hAnsi="Times New Roman"/>
          <w:sz w:val="16"/>
          <w:szCs w:val="16"/>
          <w:color w:val="auto"/>
        </w:rPr>
        <w:t>” means, with respect to any Securities, the date specified in such Securities for the payment of any installment of interest on those Securities.</w:t>
      </w:r>
    </w:p>
    <w:p>
      <w:pPr>
        <w:spacing w:after="0" w:line="138" w:lineRule="exact"/>
        <w:rPr>
          <w:sz w:val="20"/>
          <w:szCs w:val="20"/>
          <w:color w:val="auto"/>
        </w:rPr>
      </w:pPr>
    </w:p>
    <w:p>
      <w:pPr>
        <w:jc w:val="both"/>
        <w:ind w:right="6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Interest Rate Agreement</w:t>
      </w:r>
      <w:r>
        <w:rPr>
          <w:rFonts w:ascii="Times New Roman" w:cs="Times New Roman" w:eastAsia="Times New Roman" w:hAnsi="Times New Roman"/>
          <w:sz w:val="16"/>
          <w:szCs w:val="16"/>
          <w:color w:val="auto"/>
        </w:rPr>
        <w:t>” means one or more of the following agreements which shall be entered into by one or more financial institutions: interest rate protection agreements (including, without limitation, interest rate swaps, caps, floors, collars and similar agreements) and/or other types of interest rate hedging agreements from time to time.</w:t>
      </w:r>
    </w:p>
    <w:p>
      <w:pPr>
        <w:spacing w:after="0" w:line="154" w:lineRule="exact"/>
        <w:rPr>
          <w:sz w:val="20"/>
          <w:szCs w:val="20"/>
          <w:color w:val="auto"/>
        </w:rPr>
      </w:pPr>
    </w:p>
    <w:p>
      <w:pPr>
        <w:ind w:right="240" w:firstLine="585"/>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Investment</w:t>
      </w:r>
      <w:r>
        <w:rPr>
          <w:rFonts w:ascii="Times New Roman" w:cs="Times New Roman" w:eastAsia="Times New Roman" w:hAnsi="Times New Roman"/>
          <w:sz w:val="16"/>
          <w:szCs w:val="16"/>
          <w:color w:val="auto"/>
        </w:rPr>
        <w:t>” means, with respect to any Person, directly or indirectly, (i) any advance, loan (including guarantees), or other extension of credit or capital contribution to (by means of any transfer of cash or other property to others), (ii) any payment for property or services for the account or use of others, (iii) any purchase, acquisition or ownership by such Person of any Capital Stock, bonds, notes, debentures or other securities issued by any other Person, or (iv) any other item to the extent required to be reflected as an investment on a consolidated balance sheet of such Person prepared in accordance with GAAP.</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Issue Date</w:t>
      </w:r>
      <w:r>
        <w:rPr>
          <w:rFonts w:ascii="Times New Roman" w:cs="Times New Roman" w:eastAsia="Times New Roman" w:hAnsi="Times New Roman"/>
          <w:sz w:val="16"/>
          <w:szCs w:val="16"/>
          <w:color w:val="auto"/>
        </w:rPr>
        <w:t>” means, with respect to a series of Securities, the date on which such Securities are initially issued.</w:t>
      </w:r>
    </w:p>
    <w:p>
      <w:pPr>
        <w:spacing w:after="0" w:line="206" w:lineRule="exact"/>
        <w:rPr>
          <w:sz w:val="20"/>
          <w:szCs w:val="20"/>
          <w:color w:val="auto"/>
        </w:rPr>
      </w:pPr>
    </w:p>
    <w:p>
      <w:pPr>
        <w:ind w:right="12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Lien</w:t>
      </w:r>
      <w:r>
        <w:rPr>
          <w:rFonts w:ascii="Times New Roman" w:cs="Times New Roman" w:eastAsia="Times New Roman" w:hAnsi="Times New Roman"/>
          <w:sz w:val="16"/>
          <w:szCs w:val="16"/>
          <w:color w:val="auto"/>
        </w:rPr>
        <w:t>” means any mortgage, pledge, security interest, encumbrance, lien or charge of any kind (including any conditional sale or other title retention agreement or lease in the nature thereof).</w:t>
      </w:r>
    </w:p>
    <w:p>
      <w:pPr>
        <w:spacing w:after="0" w:line="138" w:lineRule="exact"/>
        <w:rPr>
          <w:sz w:val="20"/>
          <w:szCs w:val="20"/>
          <w:color w:val="auto"/>
        </w:rPr>
      </w:pPr>
    </w:p>
    <w:p>
      <w:pPr>
        <w:ind w:right="26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Maturity Date</w:t>
      </w:r>
      <w:r>
        <w:rPr>
          <w:rFonts w:ascii="Times New Roman" w:cs="Times New Roman" w:eastAsia="Times New Roman" w:hAnsi="Times New Roman"/>
          <w:sz w:val="16"/>
          <w:szCs w:val="16"/>
          <w:color w:val="auto"/>
        </w:rPr>
        <w:t>,” when used with respect to any Security, means the date on which the principal amount of such Security becomes due and payable as therein or herein provided.</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Mylan Indentures</w:t>
      </w:r>
      <w:r>
        <w:rPr>
          <w:rFonts w:ascii="Times New Roman" w:cs="Times New Roman" w:eastAsia="Times New Roman" w:hAnsi="Times New Roman"/>
          <w:sz w:val="16"/>
          <w:szCs w:val="16"/>
          <w:color w:val="auto"/>
        </w:rPr>
        <w:t>” means the following:</w:t>
      </w:r>
    </w:p>
    <w:p>
      <w:pPr>
        <w:spacing w:after="0" w:line="208" w:lineRule="exact"/>
        <w:rPr>
          <w:sz w:val="20"/>
          <w:szCs w:val="20"/>
          <w:color w:val="auto"/>
        </w:rPr>
      </w:pPr>
    </w:p>
    <w:p>
      <w:pPr>
        <w:ind w:left="1760" w:hanging="593"/>
        <w:spacing w:after="0"/>
        <w:tabs>
          <w:tab w:leader="none" w:pos="1760" w:val="left"/>
        </w:tabs>
        <w:numPr>
          <w:ilvl w:val="0"/>
          <w:numId w:val="18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Indenture dated as of November 29, 2013, between Mylan Inc., as issuer, and The Bank of New York Mellon, as trustee;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p>
      <w:pPr>
        <w:ind w:left="580" w:right="20" w:firstLine="587"/>
        <w:spacing w:after="0" w:line="288" w:lineRule="auto"/>
        <w:tabs>
          <w:tab w:leader="none" w:pos="1760" w:val="left"/>
        </w:tabs>
        <w:numPr>
          <w:ilvl w:val="0"/>
          <w:numId w:val="18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First supplemental indenture dated as of November 29, 2013, between Mylan Inc., as issuer, and The Bank of New York Mellon, as trustee, to the indenture dated as of November 29, 2013;</w:t>
      </w:r>
    </w:p>
    <w:p>
      <w:pPr>
        <w:spacing w:after="0" w:line="143" w:lineRule="exact"/>
        <w:rPr>
          <w:rFonts w:ascii="Times New Roman" w:cs="Times New Roman" w:eastAsia="Times New Roman" w:hAnsi="Times New Roman"/>
          <w:sz w:val="16"/>
          <w:szCs w:val="16"/>
          <w:color w:val="010000"/>
        </w:rPr>
      </w:pPr>
    </w:p>
    <w:p>
      <w:pPr>
        <w:ind w:left="580" w:right="320" w:firstLine="587"/>
        <w:spacing w:after="0" w:line="288" w:lineRule="auto"/>
        <w:tabs>
          <w:tab w:leader="none" w:pos="1760" w:val="left"/>
        </w:tabs>
        <w:numPr>
          <w:ilvl w:val="0"/>
          <w:numId w:val="18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Second supplemental indenture dated as of February 27, 2015, among Mylan Inc., as issuer, Mylan N.V., as guarantor, and The Bank of New York Mellon, as trustee, to the indenture dated as of November 29, 2013;</w:t>
      </w:r>
    </w:p>
    <w:p>
      <w:pPr>
        <w:spacing w:after="0" w:line="143" w:lineRule="exact"/>
        <w:rPr>
          <w:rFonts w:ascii="Times New Roman" w:cs="Times New Roman" w:eastAsia="Times New Roman" w:hAnsi="Times New Roman"/>
          <w:sz w:val="16"/>
          <w:szCs w:val="16"/>
          <w:color w:val="010000"/>
        </w:rPr>
      </w:pPr>
    </w:p>
    <w:p>
      <w:pPr>
        <w:ind w:left="580" w:right="460" w:firstLine="587"/>
        <w:spacing w:after="0" w:line="288" w:lineRule="auto"/>
        <w:tabs>
          <w:tab w:leader="none" w:pos="1757" w:val="left"/>
        </w:tabs>
        <w:numPr>
          <w:ilvl w:val="0"/>
          <w:numId w:val="18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Third supplemental indenture dated as of March 12, 2015, among Mylan Inc., as issuer, Mylan N.V., as parent, and The Bank of New York Mellon, as trustee, to the indenture dated as of November 29, 2013;</w:t>
      </w:r>
    </w:p>
    <w:p>
      <w:pPr>
        <w:spacing w:after="0" w:line="143" w:lineRule="exact"/>
        <w:rPr>
          <w:rFonts w:ascii="Times New Roman" w:cs="Times New Roman" w:eastAsia="Times New Roman" w:hAnsi="Times New Roman"/>
          <w:sz w:val="16"/>
          <w:szCs w:val="16"/>
          <w:color w:val="010000"/>
        </w:rPr>
      </w:pPr>
    </w:p>
    <w:p>
      <w:pPr>
        <w:ind w:left="580" w:firstLine="587"/>
        <w:spacing w:after="0" w:line="288" w:lineRule="auto"/>
        <w:tabs>
          <w:tab w:leader="none" w:pos="1760" w:val="left"/>
        </w:tabs>
        <w:numPr>
          <w:ilvl w:val="0"/>
          <w:numId w:val="18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Fourth supplemental indenture dated as of November 16, 2020, among Mylan Inc., Viatris Inc., Utah Acquisition Sub Inc., Mylan II B.V. and The Bank of New York Mellon, as trustee, to the indenture dated as of November 29, 2013;</w:t>
      </w:r>
    </w:p>
    <w:p>
      <w:pPr>
        <w:spacing w:after="0" w:line="143" w:lineRule="exact"/>
        <w:rPr>
          <w:rFonts w:ascii="Times New Roman" w:cs="Times New Roman" w:eastAsia="Times New Roman" w:hAnsi="Times New Roman"/>
          <w:sz w:val="16"/>
          <w:szCs w:val="16"/>
          <w:color w:val="010000"/>
        </w:rPr>
      </w:pPr>
    </w:p>
    <w:p>
      <w:pPr>
        <w:ind w:left="1760" w:hanging="593"/>
        <w:spacing w:after="0"/>
        <w:tabs>
          <w:tab w:leader="none" w:pos="1760" w:val="left"/>
        </w:tabs>
        <w:numPr>
          <w:ilvl w:val="0"/>
          <w:numId w:val="18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Indenture dated as of June 9, 2016, among Mylan N.V., as issuer, Mylan Inc., as guarantor, and The Bank of New York Mellon, as trustee;</w:t>
      </w:r>
    </w:p>
    <w:p>
      <w:pPr>
        <w:spacing w:after="0" w:line="205" w:lineRule="exact"/>
        <w:rPr>
          <w:rFonts w:ascii="Times New Roman" w:cs="Times New Roman" w:eastAsia="Times New Roman" w:hAnsi="Times New Roman"/>
          <w:sz w:val="16"/>
          <w:szCs w:val="16"/>
          <w:color w:val="010000"/>
        </w:rPr>
      </w:pPr>
    </w:p>
    <w:p>
      <w:pPr>
        <w:ind w:left="580" w:right="140" w:firstLine="587"/>
        <w:spacing w:after="0" w:line="288" w:lineRule="auto"/>
        <w:tabs>
          <w:tab w:leader="none" w:pos="1760" w:val="left"/>
        </w:tabs>
        <w:numPr>
          <w:ilvl w:val="0"/>
          <w:numId w:val="18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First supplemental indenture dated as of November 16, 2020, among Viatris Inc., Utah Acquisition Sub Inc., Mylan II B.V., Mylan Inc. and The Bank of New York Mellon, as trustee, to the indenture dated as of June 9, 2016;</w:t>
      </w:r>
    </w:p>
    <w:p>
      <w:pPr>
        <w:spacing w:after="0" w:line="143" w:lineRule="exact"/>
        <w:rPr>
          <w:rFonts w:ascii="Times New Roman" w:cs="Times New Roman" w:eastAsia="Times New Roman" w:hAnsi="Times New Roman"/>
          <w:sz w:val="16"/>
          <w:szCs w:val="16"/>
          <w:color w:val="010000"/>
        </w:rPr>
      </w:pPr>
    </w:p>
    <w:p>
      <w:pPr>
        <w:ind w:left="1760" w:hanging="593"/>
        <w:spacing w:after="0"/>
        <w:tabs>
          <w:tab w:leader="none" w:pos="1760" w:val="left"/>
        </w:tabs>
        <w:numPr>
          <w:ilvl w:val="0"/>
          <w:numId w:val="18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Indenture dated as of November 22, 2016, among Mylan N.V., as issuer, Mylan Inc., as guarantor, and Citibank, N.A., London Branch, as trustee;</w:t>
      </w:r>
    </w:p>
    <w:p>
      <w:pPr>
        <w:spacing w:after="0" w:line="205" w:lineRule="exact"/>
        <w:rPr>
          <w:rFonts w:ascii="Times New Roman" w:cs="Times New Roman" w:eastAsia="Times New Roman" w:hAnsi="Times New Roman"/>
          <w:sz w:val="16"/>
          <w:szCs w:val="16"/>
          <w:color w:val="010000"/>
        </w:rPr>
      </w:pPr>
    </w:p>
    <w:p>
      <w:pPr>
        <w:ind w:left="580" w:right="440" w:firstLine="587"/>
        <w:spacing w:after="0" w:line="288" w:lineRule="auto"/>
        <w:tabs>
          <w:tab w:leader="none" w:pos="1760" w:val="left"/>
        </w:tabs>
        <w:numPr>
          <w:ilvl w:val="0"/>
          <w:numId w:val="18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First supplemental indenture dated as of November 16, 2020, among Viatris Inc., Utah Acquisition Sub Inc., Mylan II B.V., Mylan Inc. and Citibank, N.A., London Branch, as trustee, to the indenture dated as of November 22, 2016;</w:t>
      </w:r>
    </w:p>
    <w:p>
      <w:pPr>
        <w:spacing w:after="0" w:line="143" w:lineRule="exact"/>
        <w:rPr>
          <w:rFonts w:ascii="Times New Roman" w:cs="Times New Roman" w:eastAsia="Times New Roman" w:hAnsi="Times New Roman"/>
          <w:sz w:val="16"/>
          <w:szCs w:val="16"/>
          <w:color w:val="010000"/>
        </w:rPr>
      </w:pPr>
    </w:p>
    <w:p>
      <w:pPr>
        <w:ind w:left="1760" w:hanging="593"/>
        <w:spacing w:after="0"/>
        <w:tabs>
          <w:tab w:leader="none" w:pos="1760" w:val="left"/>
        </w:tabs>
        <w:numPr>
          <w:ilvl w:val="0"/>
          <w:numId w:val="18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Indenture dated as of April 9, 2018, among Mylan Inc., as issuer, Mylan N.V., as guarantor, and The Bank of New York Mellon, as trustee; and</w:t>
      </w:r>
    </w:p>
    <w:p>
      <w:pPr>
        <w:spacing w:after="0" w:line="205" w:lineRule="exact"/>
        <w:rPr>
          <w:rFonts w:ascii="Times New Roman" w:cs="Times New Roman" w:eastAsia="Times New Roman" w:hAnsi="Times New Roman"/>
          <w:sz w:val="16"/>
          <w:szCs w:val="16"/>
          <w:color w:val="010000"/>
        </w:rPr>
      </w:pPr>
    </w:p>
    <w:p>
      <w:pPr>
        <w:ind w:left="580" w:right="140" w:firstLine="587"/>
        <w:spacing w:after="0" w:line="288" w:lineRule="auto"/>
        <w:tabs>
          <w:tab w:leader="none" w:pos="1754" w:val="left"/>
        </w:tabs>
        <w:numPr>
          <w:ilvl w:val="0"/>
          <w:numId w:val="18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First supplemental indenture dated as of November 16, 2020, among Mylan Inc., Viatris Inc., Utah Acquisition Sub Inc., Mylan II B.V. and The Bank of New York Mellon, as trustee, to the indenture dated as of April 9, 2018.</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Mylan Notes</w:t>
      </w:r>
      <w:r>
        <w:rPr>
          <w:rFonts w:ascii="Times New Roman" w:cs="Times New Roman" w:eastAsia="Times New Roman" w:hAnsi="Times New Roman"/>
          <w:sz w:val="16"/>
          <w:szCs w:val="16"/>
          <w:color w:val="auto"/>
        </w:rPr>
        <w:t>” means any senior notes issued under the Mylan Indentures and that remain outstanding on the applicable Issue Date.</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Notation of Guarantee</w:t>
      </w:r>
      <w:r>
        <w:rPr>
          <w:rFonts w:ascii="Times New Roman" w:cs="Times New Roman" w:eastAsia="Times New Roman" w:hAnsi="Times New Roman"/>
          <w:sz w:val="16"/>
          <w:szCs w:val="16"/>
          <w:color w:val="auto"/>
        </w:rPr>
        <w:t xml:space="preserve">” means a notation of guarantee substantially in the form attached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w:t>
      </w:r>
    </w:p>
    <w:p>
      <w:pPr>
        <w:spacing w:after="0" w:line="206" w:lineRule="exact"/>
        <w:rPr>
          <w:sz w:val="20"/>
          <w:szCs w:val="20"/>
          <w:color w:val="auto"/>
        </w:rPr>
      </w:pPr>
    </w:p>
    <w:p>
      <w:pPr>
        <w:ind w:right="4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Obligations</w:t>
      </w:r>
      <w:r>
        <w:rPr>
          <w:rFonts w:ascii="Times New Roman" w:cs="Times New Roman" w:eastAsia="Times New Roman" w:hAnsi="Times New Roman"/>
          <w:sz w:val="16"/>
          <w:szCs w:val="16"/>
          <w:color w:val="auto"/>
        </w:rPr>
        <w:t>” means, with respect to any Indebtedness, all obligations for principal, premium, interest, penalties, fees, indemnifications, reimbursements, and other amounts payable pursuant to the documentation governing such Indebtedness.</w:t>
      </w:r>
    </w:p>
    <w:p>
      <w:pPr>
        <w:spacing w:after="0" w:line="138" w:lineRule="exact"/>
        <w:rPr>
          <w:sz w:val="20"/>
          <w:szCs w:val="20"/>
          <w:color w:val="auto"/>
        </w:rPr>
      </w:pPr>
    </w:p>
    <w:p>
      <w:pPr>
        <w:ind w:right="18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Officer</w:t>
      </w:r>
      <w:r>
        <w:rPr>
          <w:rFonts w:ascii="Times New Roman" w:cs="Times New Roman" w:eastAsia="Times New Roman" w:hAnsi="Times New Roman"/>
          <w:sz w:val="16"/>
          <w:szCs w:val="16"/>
          <w:color w:val="auto"/>
        </w:rPr>
        <w:t>” means the chief executive officer, the president, the chief financial officer or any vice president, any treasurer, any assistant treasurer, the controller, the secretary or any assistant secretary of the specified Person.</w:t>
      </w:r>
    </w:p>
    <w:p>
      <w:pPr>
        <w:spacing w:after="0" w:line="138" w:lineRule="exact"/>
        <w:rPr>
          <w:sz w:val="20"/>
          <w:szCs w:val="20"/>
          <w:color w:val="auto"/>
        </w:rPr>
      </w:pPr>
    </w:p>
    <w:p>
      <w:pPr>
        <w:ind w:right="18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Officer’s Certificate</w:t>
      </w:r>
      <w:r>
        <w:rPr>
          <w:rFonts w:ascii="Times New Roman" w:cs="Times New Roman" w:eastAsia="Times New Roman" w:hAnsi="Times New Roman"/>
          <w:sz w:val="16"/>
          <w:szCs w:val="16"/>
          <w:color w:val="auto"/>
        </w:rPr>
        <w:t>” means a certificate which meets the requirements of Section 12.03, signed by the chairman or executive chairman, as applicable, of the Board of Directors, the chief executive officer, the chief financial officer, the president or a vice president, a treasurer, an assistant treasurer, the controller, the secretary or an assistant secretary of the Company and delivered to the Trustee.</w:t>
      </w:r>
    </w:p>
    <w:p>
      <w:pPr>
        <w:spacing w:after="0" w:line="154" w:lineRule="exact"/>
        <w:rPr>
          <w:sz w:val="20"/>
          <w:szCs w:val="20"/>
          <w:color w:val="auto"/>
        </w:rPr>
      </w:pPr>
    </w:p>
    <w:p>
      <w:pPr>
        <w:ind w:right="36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Opinion of Counsel</w:t>
      </w:r>
      <w:r>
        <w:rPr>
          <w:rFonts w:ascii="Times New Roman" w:cs="Times New Roman" w:eastAsia="Times New Roman" w:hAnsi="Times New Roman"/>
          <w:sz w:val="16"/>
          <w:szCs w:val="16"/>
          <w:color w:val="auto"/>
        </w:rPr>
        <w:t>” means a written opinion which meets the requirements of Section 12.03 from legal counsel, who is reasonably acceptable to the Trustee, delivered to the Trustee. The counsel may be an employee of or counsel to the Company, any Subsidiary of the Company or the Trustee.</w:t>
      </w:r>
    </w:p>
    <w:p>
      <w:pPr>
        <w:spacing w:after="0" w:line="138" w:lineRule="exact"/>
        <w:rPr>
          <w:sz w:val="20"/>
          <w:szCs w:val="20"/>
          <w:color w:val="auto"/>
        </w:rPr>
      </w:pPr>
    </w:p>
    <w:p>
      <w:pPr>
        <w:jc w:val="both"/>
        <w:ind w:right="10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Original Issue Discount Security</w:t>
      </w:r>
      <w:r>
        <w:rPr>
          <w:rFonts w:ascii="Times New Roman" w:cs="Times New Roman" w:eastAsia="Times New Roman" w:hAnsi="Times New Roman"/>
          <w:sz w:val="16"/>
          <w:szCs w:val="16"/>
          <w:color w:val="auto"/>
        </w:rPr>
        <w:t>” means any Security that is issued with “original issue discount” within the meaning of Section 1273(a) of the Internal Revenue Code of 1986, as amended, and Treasury Regulations promulgated thereunder and any other Security designated by the Company as issued with original issue discount for United States federal income tax purposes.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95" w:name="page196"/>
    <w:bookmarkEnd w:id="195"/>
    <w:p>
      <w:pPr>
        <w:ind w:right="38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Person</w:t>
      </w:r>
      <w:r>
        <w:rPr>
          <w:rFonts w:ascii="Times New Roman" w:cs="Times New Roman" w:eastAsia="Times New Roman" w:hAnsi="Times New Roman"/>
          <w:sz w:val="16"/>
          <w:szCs w:val="16"/>
          <w:color w:val="auto"/>
        </w:rPr>
        <w:t>” means any individual, corporation, company (including any limited liability company), association, partnership, joint venture, trust, unincorporated organization, government or any agency or political subdivision thereof or any other entity.</w:t>
      </w:r>
    </w:p>
    <w:p>
      <w:pPr>
        <w:spacing w:after="0" w:line="138" w:lineRule="exact"/>
        <w:rPr>
          <w:sz w:val="20"/>
          <w:szCs w:val="20"/>
          <w:color w:val="auto"/>
        </w:rPr>
      </w:pPr>
    </w:p>
    <w:p>
      <w:pPr>
        <w:ind w:right="4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Place of Payment</w:t>
      </w:r>
      <w:r>
        <w:rPr>
          <w:rFonts w:ascii="Times New Roman" w:cs="Times New Roman" w:eastAsia="Times New Roman" w:hAnsi="Times New Roman"/>
          <w:sz w:val="16"/>
          <w:szCs w:val="16"/>
          <w:color w:val="auto"/>
        </w:rPr>
        <w:t>,” when used with respect to the Securities, means the place or places where the principal of (and premium, if any) and interest on the Securities are payable as specified as contemplated by Section 4.02.</w:t>
      </w:r>
    </w:p>
    <w:p>
      <w:pPr>
        <w:spacing w:after="0" w:line="138" w:lineRule="exact"/>
        <w:rPr>
          <w:sz w:val="20"/>
          <w:szCs w:val="20"/>
          <w:color w:val="auto"/>
        </w:rPr>
      </w:pPr>
    </w:p>
    <w:p>
      <w:pPr>
        <w:ind w:right="12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Preferred Stock</w:t>
      </w:r>
      <w:r>
        <w:rPr>
          <w:rFonts w:ascii="Times New Roman" w:cs="Times New Roman" w:eastAsia="Times New Roman" w:hAnsi="Times New Roman"/>
          <w:sz w:val="16"/>
          <w:szCs w:val="16"/>
          <w:color w:val="auto"/>
        </w:rPr>
        <w:t>,” as applied to the Capital Stock of any Person, means Capital Stock of any class or classes (however designated) which is preferred as to the payment of dividends or distributions, or as to the distribution of assets upon any voluntary or involuntary liquidation or dissolution of such Person, over shares of Capital Stock of any other class of such Person.</w:t>
      </w:r>
    </w:p>
    <w:p>
      <w:pPr>
        <w:spacing w:after="0" w:line="154" w:lineRule="exact"/>
        <w:rPr>
          <w:sz w:val="20"/>
          <w:szCs w:val="20"/>
          <w:color w:val="auto"/>
        </w:rPr>
      </w:pPr>
    </w:p>
    <w:p>
      <w:pPr>
        <w:ind w:right="32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Property</w:t>
      </w:r>
      <w:r>
        <w:rPr>
          <w:rFonts w:ascii="Times New Roman" w:cs="Times New Roman" w:eastAsia="Times New Roman" w:hAnsi="Times New Roman"/>
          <w:sz w:val="16"/>
          <w:szCs w:val="16"/>
          <w:color w:val="auto"/>
        </w:rPr>
        <w:t>” means any right or interest in or to property of any kind whatsoever, whether real, personal or mixed and whether tangible or intangible, including, without limitation, Capital Stock.</w:t>
      </w:r>
    </w:p>
    <w:p>
      <w:pPr>
        <w:spacing w:after="0" w:line="138" w:lineRule="exact"/>
        <w:rPr>
          <w:sz w:val="20"/>
          <w:szCs w:val="20"/>
          <w:color w:val="auto"/>
        </w:rPr>
      </w:pPr>
    </w:p>
    <w:p>
      <w:pPr>
        <w:ind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Qualified Receivables Transaction</w:t>
      </w:r>
      <w:r>
        <w:rPr>
          <w:rFonts w:ascii="Times New Roman" w:cs="Times New Roman" w:eastAsia="Times New Roman" w:hAnsi="Times New Roman"/>
          <w:sz w:val="16"/>
          <w:szCs w:val="16"/>
          <w:color w:val="auto"/>
        </w:rPr>
        <w:t>” means any transaction or series of transactions that may be entered into by the Company or any of its Subsidiaries pursuant to which the Company or any of its Subsidiaries may sell, convey or otherwise transfer to:</w:t>
      </w:r>
    </w:p>
    <w:p>
      <w:pPr>
        <w:spacing w:after="0" w:line="140" w:lineRule="exact"/>
        <w:rPr>
          <w:sz w:val="20"/>
          <w:szCs w:val="20"/>
          <w:color w:val="auto"/>
        </w:rPr>
      </w:pPr>
    </w:p>
    <w:p>
      <w:pPr>
        <w:ind w:left="1180" w:hanging="598"/>
        <w:spacing w:after="0"/>
        <w:tabs>
          <w:tab w:leader="none" w:pos="1180"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Receivables Entity (in the case of a transfer by the Company or any of its Subsidiaries) or</w:t>
      </w:r>
    </w:p>
    <w:p>
      <w:pPr>
        <w:spacing w:after="0" w:line="205" w:lineRule="exact"/>
        <w:rPr>
          <w:rFonts w:ascii="Times New Roman" w:cs="Times New Roman" w:eastAsia="Times New Roman" w:hAnsi="Times New Roman"/>
          <w:sz w:val="16"/>
          <w:szCs w:val="16"/>
          <w:color w:val="auto"/>
        </w:rPr>
      </w:pPr>
    </w:p>
    <w:p>
      <w:pPr>
        <w:ind w:left="1180" w:hanging="598"/>
        <w:spacing w:after="0"/>
        <w:tabs>
          <w:tab w:leader="none" w:pos="1180"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Person (in the case of a transfer by a Receivables Entity),</w:t>
      </w:r>
    </w:p>
    <w:p>
      <w:pPr>
        <w:spacing w:after="0" w:line="20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6"/>
          <w:szCs w:val="16"/>
          <w:color w:val="auto"/>
        </w:rPr>
        <w:t xml:space="preserve">or may grant a security interest in, any accounts receivable (whether now existing or arising in the future) of the Company or any of its Subsidiaries, and any assets related thereto, including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financing terms, covenants, termination events and other provisions thereof shall be market terms (as determined in good faith by the chief financial officer of the Company).</w:t>
      </w:r>
    </w:p>
    <w:p>
      <w:pPr>
        <w:spacing w:after="0" w:line="163" w:lineRule="exact"/>
        <w:rPr>
          <w:sz w:val="20"/>
          <w:szCs w:val="20"/>
          <w:color w:val="auto"/>
        </w:rPr>
      </w:pPr>
    </w:p>
    <w:p>
      <w:pPr>
        <w:ind w:right="36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Receivables Entity</w:t>
      </w:r>
      <w:r>
        <w:rPr>
          <w:rFonts w:ascii="Times New Roman" w:cs="Times New Roman" w:eastAsia="Times New Roman" w:hAnsi="Times New Roman"/>
          <w:sz w:val="16"/>
          <w:szCs w:val="16"/>
          <w:color w:val="auto"/>
        </w:rPr>
        <w:t>” means (a) a Wholly Owned Subsidiary of the Company that is designated pursuant to an Officer’s Certificate (as provided below) as a Receivables Entity or (b) another Person engaging in a Qualified Receivables Transaction with the Company, which Person engages in the business of the financing of accounts receivable, and in the case of either of clause (a) or (b):</w:t>
      </w:r>
    </w:p>
    <w:p>
      <w:pPr>
        <w:spacing w:after="0" w:line="156" w:lineRule="exact"/>
        <w:rPr>
          <w:sz w:val="20"/>
          <w:szCs w:val="20"/>
          <w:color w:val="auto"/>
        </w:rPr>
      </w:pPr>
    </w:p>
    <w:p>
      <w:pPr>
        <w:ind w:left="1760" w:hanging="594"/>
        <w:spacing w:after="0"/>
        <w:tabs>
          <w:tab w:leader="none" w:pos="176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portion of the Indebtedness or any other obligations (contingent or otherwise) of such entity:</w:t>
      </w:r>
    </w:p>
    <w:p>
      <w:pPr>
        <w:spacing w:after="0" w:line="205" w:lineRule="exact"/>
        <w:rPr>
          <w:rFonts w:ascii="Times New Roman" w:cs="Times New Roman" w:eastAsia="Times New Roman" w:hAnsi="Times New Roman"/>
          <w:sz w:val="16"/>
          <w:szCs w:val="16"/>
          <w:color w:val="auto"/>
        </w:rPr>
      </w:pPr>
    </w:p>
    <w:p>
      <w:pPr>
        <w:ind w:left="1160" w:right="300" w:firstLine="591"/>
        <w:spacing w:after="0" w:line="288" w:lineRule="auto"/>
        <w:tabs>
          <w:tab w:leader="none" w:pos="2051" w:val="left"/>
        </w:tabs>
        <w:numPr>
          <w:ilvl w:val="1"/>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Guaranteed by the Company or any Subsidiary of the Company (excluding Guarantees of obligations (other than the principal of, and interest on, Indebtedness) pursuant to Standard Securitization Undertakings),</w:t>
      </w:r>
    </w:p>
    <w:p>
      <w:pPr>
        <w:spacing w:after="0" w:line="143" w:lineRule="exact"/>
        <w:rPr>
          <w:rFonts w:ascii="Times New Roman" w:cs="Times New Roman" w:eastAsia="Times New Roman" w:hAnsi="Times New Roman"/>
          <w:sz w:val="16"/>
          <w:szCs w:val="16"/>
          <w:color w:val="auto"/>
        </w:rPr>
      </w:pPr>
    </w:p>
    <w:p>
      <w:pPr>
        <w:ind w:left="1160" w:right="460" w:firstLine="591"/>
        <w:spacing w:after="0" w:line="288" w:lineRule="auto"/>
        <w:tabs>
          <w:tab w:leader="none" w:pos="2042" w:val="left"/>
        </w:tabs>
        <w:numPr>
          <w:ilvl w:val="1"/>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recourse to or obligates the Company or any Subsidiary of the Company in any way (other than pursuant to Standard Securitization Undertakings), or</w:t>
      </w:r>
    </w:p>
    <w:p>
      <w:pPr>
        <w:spacing w:after="0" w:line="143" w:lineRule="exact"/>
        <w:rPr>
          <w:rFonts w:ascii="Times New Roman" w:cs="Times New Roman" w:eastAsia="Times New Roman" w:hAnsi="Times New Roman"/>
          <w:sz w:val="16"/>
          <w:szCs w:val="16"/>
          <w:color w:val="auto"/>
        </w:rPr>
      </w:pPr>
    </w:p>
    <w:p>
      <w:pPr>
        <w:ind w:left="1160" w:right="280" w:firstLine="591"/>
        <w:spacing w:after="0" w:line="288" w:lineRule="auto"/>
        <w:tabs>
          <w:tab w:leader="none" w:pos="2042" w:val="left"/>
        </w:tabs>
        <w:numPr>
          <w:ilvl w:val="1"/>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subjects any property or asset of the Company or any Subsidiary of the Company, directly or indirectly, contingently or otherwise, to the satisfaction thereof (other than pursuant to Standard Securitization Undertakings);</w:t>
      </w:r>
    </w:p>
    <w:p>
      <w:pPr>
        <w:spacing w:after="0" w:line="143" w:lineRule="exact"/>
        <w:rPr>
          <w:rFonts w:ascii="Times New Roman" w:cs="Times New Roman" w:eastAsia="Times New Roman" w:hAnsi="Times New Roman"/>
          <w:sz w:val="16"/>
          <w:szCs w:val="16"/>
          <w:color w:val="auto"/>
        </w:rPr>
      </w:pPr>
    </w:p>
    <w:p>
      <w:pPr>
        <w:ind w:left="660" w:firstLine="506"/>
        <w:spacing w:after="0" w:line="271" w:lineRule="auto"/>
        <w:tabs>
          <w:tab w:leader="none" w:pos="177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entity is not an Affiliate of the Company or is an entity with which neither the Company nor any Subsidiary of the Company has any material contract, agreement, arrangement or understanding other than on terms that the Company reasonably believes to be no less favorable to the Company or such Subsidiary than those that might be obtained at the time from Persons that are not Affiliates of the Company; and</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96" w:name="page197"/>
    <w:bookmarkEnd w:id="196"/>
    <w:p>
      <w:pPr>
        <w:ind w:left="660" w:right="160" w:firstLine="506"/>
        <w:spacing w:after="0" w:line="288" w:lineRule="auto"/>
        <w:tabs>
          <w:tab w:leader="none" w:pos="1770"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an entity to which neither the Company nor any Subsidiary of the Company has any obligation to maintain or preserve such entity’s financial condition or cause such entity to achieve certain levels of operating results.</w:t>
      </w:r>
    </w:p>
    <w:p>
      <w:pPr>
        <w:spacing w:after="0" w:line="143" w:lineRule="exact"/>
        <w:rPr>
          <w:sz w:val="20"/>
          <w:szCs w:val="20"/>
          <w:color w:val="auto"/>
        </w:rPr>
      </w:pPr>
    </w:p>
    <w:p>
      <w:pPr>
        <w:ind w:right="560" w:firstLine="585"/>
        <w:spacing w:after="0" w:line="288" w:lineRule="auto"/>
        <w:rPr>
          <w:sz w:val="20"/>
          <w:szCs w:val="20"/>
          <w:color w:val="auto"/>
        </w:rPr>
      </w:pPr>
      <w:r>
        <w:rPr>
          <w:rFonts w:ascii="Times New Roman" w:cs="Times New Roman" w:eastAsia="Times New Roman" w:hAnsi="Times New Roman"/>
          <w:sz w:val="16"/>
          <w:szCs w:val="16"/>
          <w:color w:val="auto"/>
        </w:rPr>
        <w:t>Any such designation shall be evidenced to the Trustee by filing with the Trustee an Officer’s Certificate certifying that such designation complied with the foregoing conditions.</w:t>
      </w:r>
    </w:p>
    <w:p>
      <w:pPr>
        <w:spacing w:after="0" w:line="141" w:lineRule="exact"/>
        <w:rPr>
          <w:sz w:val="20"/>
          <w:szCs w:val="20"/>
          <w:color w:val="auto"/>
        </w:rPr>
      </w:pPr>
    </w:p>
    <w:p>
      <w:pPr>
        <w:ind w:right="38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Redemption Date</w:t>
      </w:r>
      <w:r>
        <w:rPr>
          <w:rFonts w:ascii="Times New Roman" w:cs="Times New Roman" w:eastAsia="Times New Roman" w:hAnsi="Times New Roman"/>
          <w:sz w:val="16"/>
          <w:szCs w:val="16"/>
          <w:color w:val="auto"/>
        </w:rPr>
        <w:t>,” when used with respect to any Security to be redeemed pursuant to Article III of this Indenture, means the date fixed for such redemption pursuant to the terms of such Article III.</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Redemption Price</w:t>
      </w:r>
      <w:r>
        <w:rPr>
          <w:rFonts w:ascii="Times New Roman" w:cs="Times New Roman" w:eastAsia="Times New Roman" w:hAnsi="Times New Roman"/>
          <w:sz w:val="16"/>
          <w:szCs w:val="16"/>
          <w:color w:val="auto"/>
        </w:rPr>
        <w:t>,” when used with respect to any Security to be redeemed, means the price at which it is to be redeemed pursuant to this Indenture.</w:t>
      </w:r>
    </w:p>
    <w:p>
      <w:pPr>
        <w:spacing w:after="0" w:line="206" w:lineRule="exact"/>
        <w:rPr>
          <w:sz w:val="20"/>
          <w:szCs w:val="20"/>
          <w:color w:val="auto"/>
        </w:rPr>
      </w:pPr>
    </w:p>
    <w:p>
      <w:pPr>
        <w:ind w:right="120" w:firstLine="585"/>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Responsible Officer</w:t>
      </w:r>
      <w:r>
        <w:rPr>
          <w:rFonts w:ascii="Times New Roman" w:cs="Times New Roman" w:eastAsia="Times New Roman" w:hAnsi="Times New Roman"/>
          <w:sz w:val="16"/>
          <w:szCs w:val="16"/>
          <w:color w:val="auto"/>
        </w:rPr>
        <w:t>” means, when used with respect to the Trustee, any officer within the corporate trust department of the Trustee, including any vice president, assistant vice president, assistant secretary, senior associate, associate,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59" w:lineRule="exact"/>
        <w:rPr>
          <w:sz w:val="20"/>
          <w:szCs w:val="20"/>
          <w:color w:val="auto"/>
        </w:rPr>
      </w:pPr>
    </w:p>
    <w:p>
      <w:pPr>
        <w:ind w:firstLine="585"/>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Sale Leaseback Transaction</w:t>
      </w:r>
      <w:r>
        <w:rPr>
          <w:rFonts w:ascii="Times New Roman" w:cs="Times New Roman" w:eastAsia="Times New Roman" w:hAnsi="Times New Roman"/>
          <w:sz w:val="16"/>
          <w:szCs w:val="16"/>
          <w:color w:val="auto"/>
        </w:rPr>
        <w:t>” means the leasing by the Company or any Domestic Subsidiary of the Company of any property, whether owned on the Issue Date or acquired after the Issue Date (except for temporary leases for a term, including any renewal term, of up to three years and except for leases between the Company and any Domestic Subsidiary of the Company or between Domestic Subsidiaries of the Company), which property has been or is to be sold or transferred by the Company or such Domestic Subsidiary to any party with the intention of taking back a lease of such property.</w:t>
      </w:r>
    </w:p>
    <w:p>
      <w:pPr>
        <w:spacing w:after="0" w:line="159" w:lineRule="exact"/>
        <w:rPr>
          <w:sz w:val="20"/>
          <w:szCs w:val="20"/>
          <w:color w:val="auto"/>
        </w:rPr>
      </w:pPr>
    </w:p>
    <w:p>
      <w:pPr>
        <w:jc w:val="both"/>
        <w:ind w:right="2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Securities</w:t>
      </w:r>
      <w:r>
        <w:rPr>
          <w:rFonts w:ascii="Times New Roman" w:cs="Times New Roman" w:eastAsia="Times New Roman" w:hAnsi="Times New Roman"/>
          <w:sz w:val="16"/>
          <w:szCs w:val="16"/>
          <w:color w:val="auto"/>
        </w:rPr>
        <w:t>” means, collectively, each series of junior subordinated debentures, notes, bonds or other evidences of indebtedness issued from time to time hereunder. The Securities issued under this Indenture include, for each series of Securities, the Initial Securities of such series and Additional Securities of such series, if any, unless the context otherwise requires.</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Securities Act</w:t>
      </w:r>
      <w:r>
        <w:rPr>
          <w:rFonts w:ascii="Times New Roman" w:cs="Times New Roman" w:eastAsia="Times New Roman" w:hAnsi="Times New Roman"/>
          <w:sz w:val="16"/>
          <w:szCs w:val="16"/>
          <w:color w:val="auto"/>
        </w:rPr>
        <w:t>” means the Securities Act of 1933, as amended, or any successor statute, and the rules and regulations promulgated by the Commission thereunder.</w:t>
      </w:r>
    </w:p>
    <w:p>
      <w:pPr>
        <w:spacing w:after="0" w:line="206" w:lineRule="exact"/>
        <w:rPr>
          <w:sz w:val="20"/>
          <w:szCs w:val="20"/>
          <w:color w:val="auto"/>
        </w:rPr>
      </w:pPr>
    </w:p>
    <w:p>
      <w:pPr>
        <w:ind w:right="12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Security Custodian</w:t>
      </w:r>
      <w:r>
        <w:rPr>
          <w:rFonts w:ascii="Times New Roman" w:cs="Times New Roman" w:eastAsia="Times New Roman" w:hAnsi="Times New Roman"/>
          <w:sz w:val="16"/>
          <w:szCs w:val="16"/>
          <w:color w:val="auto"/>
        </w:rPr>
        <w:t>” means, with respect to any Global Security, the custodian appointed by the Depositary, or any successor Person thereto, and shall initially be the Paying Agent.</w:t>
      </w:r>
    </w:p>
    <w:p>
      <w:pPr>
        <w:spacing w:after="0" w:line="138" w:lineRule="exact"/>
        <w:rPr>
          <w:sz w:val="20"/>
          <w:szCs w:val="20"/>
          <w:color w:val="auto"/>
        </w:rPr>
      </w:pPr>
    </w:p>
    <w:p>
      <w:pPr>
        <w:ind w:right="20" w:firstLine="585"/>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Senior Indebtedness</w:t>
      </w:r>
      <w:r>
        <w:rPr>
          <w:rFonts w:ascii="Times New Roman" w:cs="Times New Roman" w:eastAsia="Times New Roman" w:hAnsi="Times New Roman"/>
          <w:sz w:val="16"/>
          <w:szCs w:val="16"/>
          <w:color w:val="auto"/>
        </w:rPr>
        <w:t xml:space="preserve">” means the principal, premium, if any, and interest and any additional amounts on all Indebtedness of the Company, whether created, incurred or assumed prior to, on or after the date of this Indenture;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Senior Indebtedness shall not include any of Indebtedness of the Company that, by the terms of the instrument creating or evidencing such Indebtedness, is specifically designated as being either subordinated to or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any Subordinated Indebtedness or subordinated to or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Securities.</w:t>
      </w:r>
    </w:p>
    <w:p>
      <w:pPr>
        <w:spacing w:after="0" w:line="159" w:lineRule="exact"/>
        <w:rPr>
          <w:sz w:val="20"/>
          <w:szCs w:val="20"/>
          <w:color w:val="auto"/>
        </w:rPr>
      </w:pPr>
    </w:p>
    <w:p>
      <w:pPr>
        <w:ind w:right="14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Senior Nonmonetary Default</w:t>
      </w:r>
      <w:r>
        <w:rPr>
          <w:rFonts w:ascii="Times New Roman" w:cs="Times New Roman" w:eastAsia="Times New Roman" w:hAnsi="Times New Roman"/>
          <w:sz w:val="16"/>
          <w:szCs w:val="16"/>
          <w:color w:val="auto"/>
        </w:rPr>
        <w:t>” means the occurrence or existence and continuance of any event of default with respect to any Senior Indebtedness, other than a Senior Payment Default, permitting the holders of such Senior Indebtedness (or a trustee or agent on behalf of the holders thereof) to declare such Senior Indebtedness due and payable prior to the date on which it would otherwise become due and payable.</w:t>
      </w:r>
    </w:p>
    <w:p>
      <w:pPr>
        <w:spacing w:after="0" w:line="154" w:lineRule="exact"/>
        <w:rPr>
          <w:sz w:val="20"/>
          <w:szCs w:val="20"/>
          <w:color w:val="auto"/>
        </w:rPr>
      </w:pPr>
    </w:p>
    <w:p>
      <w:pPr>
        <w:ind w:right="20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Senior Payment Default</w:t>
      </w:r>
      <w:r>
        <w:rPr>
          <w:rFonts w:ascii="Times New Roman" w:cs="Times New Roman" w:eastAsia="Times New Roman" w:hAnsi="Times New Roman"/>
          <w:sz w:val="16"/>
          <w:szCs w:val="16"/>
          <w:color w:val="auto"/>
        </w:rPr>
        <w:t>” means any default in the payment of principal, premium, if any, or interest or any additional amount on any Senior Indebtedness when due, whether at the stated maturity of any such payment or by declaration of acceleration, call for redemption or otherwise.</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series</w:t>
      </w:r>
      <w:r>
        <w:rPr>
          <w:rFonts w:ascii="Times New Roman" w:cs="Times New Roman" w:eastAsia="Times New Roman" w:hAnsi="Times New Roman"/>
          <w:sz w:val="16"/>
          <w:szCs w:val="16"/>
          <w:color w:val="auto"/>
        </w:rPr>
        <w:t>” refers to each separate series of Securities issued under this Indenture.</w:t>
      </w:r>
    </w:p>
    <w:p>
      <w:pPr>
        <w:spacing w:after="0" w:line="206" w:lineRule="exact"/>
        <w:rPr>
          <w:sz w:val="20"/>
          <w:szCs w:val="20"/>
          <w:color w:val="auto"/>
        </w:rPr>
      </w:pPr>
    </w:p>
    <w:p>
      <w:pPr>
        <w:ind w:right="26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Significant Subsidiary</w:t>
      </w:r>
      <w:r>
        <w:rPr>
          <w:rFonts w:ascii="Times New Roman" w:cs="Times New Roman" w:eastAsia="Times New Roman" w:hAnsi="Times New Roman"/>
          <w:sz w:val="16"/>
          <w:szCs w:val="16"/>
          <w:color w:val="auto"/>
        </w:rPr>
        <w:t>” means any Subsidiary of the Company that would be a “significant subsidiary” of the Company within the meaning of Rule 1-02 under Regulation S-X promulgated by the Commission, as such Regulation is in effect on the Issue Date.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7" w:name="page198"/>
    <w:bookmarkEnd w:id="197"/>
    <w:p>
      <w:pPr>
        <w:ind w:left="3" w:right="50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Standard Securitization Undertakings</w:t>
      </w:r>
      <w:r>
        <w:rPr>
          <w:rFonts w:ascii="Times New Roman" w:cs="Times New Roman" w:eastAsia="Times New Roman" w:hAnsi="Times New Roman"/>
          <w:sz w:val="16"/>
          <w:szCs w:val="16"/>
          <w:color w:val="auto"/>
        </w:rPr>
        <w:t>” means representations, warranties, covenants and indemnities entered into by the Company or any Subsidiary of the Company that, taken as a whole, are customary in an accounts receivable transaction.</w:t>
      </w:r>
    </w:p>
    <w:p>
      <w:pPr>
        <w:spacing w:after="0" w:line="138" w:lineRule="exact"/>
        <w:rPr>
          <w:sz w:val="20"/>
          <w:szCs w:val="20"/>
          <w:color w:val="auto"/>
        </w:rPr>
      </w:pPr>
    </w:p>
    <w:p>
      <w:pPr>
        <w:ind w:left="3" w:right="22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Stated Maturity</w:t>
      </w:r>
      <w:r>
        <w:rPr>
          <w:rFonts w:ascii="Times New Roman" w:cs="Times New Roman" w:eastAsia="Times New Roman" w:hAnsi="Times New Roman"/>
          <w:sz w:val="16"/>
          <w:szCs w:val="16"/>
          <w:color w:val="auto"/>
        </w:rPr>
        <w:t>” means, when used with respect to any Indebtedness or any installment of interest thereon, the dates specified in such Indebtedness as the fixed date on which the principal of such Indebtedness or such installment of interest, as the case may be, is due and payable.</w:t>
      </w:r>
    </w:p>
    <w:p>
      <w:pPr>
        <w:spacing w:after="0" w:line="138" w:lineRule="exact"/>
        <w:rPr>
          <w:sz w:val="20"/>
          <w:szCs w:val="20"/>
          <w:color w:val="auto"/>
        </w:rPr>
      </w:pPr>
    </w:p>
    <w:p>
      <w:pPr>
        <w:ind w:left="3" w:firstLine="585"/>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Subordinated Indebtedness</w:t>
      </w:r>
      <w:r>
        <w:rPr>
          <w:rFonts w:ascii="Times New Roman" w:cs="Times New Roman" w:eastAsia="Times New Roman" w:hAnsi="Times New Roman"/>
          <w:sz w:val="16"/>
          <w:szCs w:val="16"/>
          <w:color w:val="auto"/>
        </w:rPr>
        <w:t xml:space="preserve">” means the principal, premium, if any, and interest and any additional amounts on all Indebtedness of the Company that is subordinated to any Senior Indebtedness, whether created, incurred or assumed before, on or after the dat of this Indenture;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Subordinated Indebtedness shall not include any Indebtedness of the Company which by the terms of the instrument creating or evidencing such Indebtedness is specifically designated as being subordinated to or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Securities.</w:t>
      </w:r>
    </w:p>
    <w:p>
      <w:pPr>
        <w:spacing w:after="0" w:line="159" w:lineRule="exact"/>
        <w:rPr>
          <w:sz w:val="20"/>
          <w:szCs w:val="20"/>
          <w:color w:val="auto"/>
        </w:rPr>
      </w:pPr>
    </w:p>
    <w:p>
      <w:pPr>
        <w:ind w:left="3" w:right="80" w:firstLine="5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Subordinated Nonmonetary Default</w:t>
      </w:r>
      <w:r>
        <w:rPr>
          <w:rFonts w:ascii="Times New Roman" w:cs="Times New Roman" w:eastAsia="Times New Roman" w:hAnsi="Times New Roman"/>
          <w:sz w:val="16"/>
          <w:szCs w:val="16"/>
          <w:color w:val="auto"/>
        </w:rPr>
        <w:t>” means the occurrence or existence and continuance of any event of default with respect to any Subordinated Indebtedness, other than a Subordinated Payment Default, permitting the holders of such Subordinated Indebtedness (or a trustee or agent on behalf of the holders thereof) to declare such Subordinated Indebtedness due and payable prior to the date on which it would otherwise become due and payable.</w:t>
      </w:r>
    </w:p>
    <w:p>
      <w:pPr>
        <w:spacing w:after="0" w:line="154" w:lineRule="exact"/>
        <w:rPr>
          <w:sz w:val="20"/>
          <w:szCs w:val="20"/>
          <w:color w:val="auto"/>
        </w:rPr>
      </w:pPr>
    </w:p>
    <w:p>
      <w:pPr>
        <w:ind w:left="3" w:right="60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Subordinated Payment Default</w:t>
      </w:r>
      <w:r>
        <w:rPr>
          <w:rFonts w:ascii="Times New Roman" w:cs="Times New Roman" w:eastAsia="Times New Roman" w:hAnsi="Times New Roman"/>
          <w:sz w:val="16"/>
          <w:szCs w:val="16"/>
          <w:color w:val="auto"/>
        </w:rPr>
        <w:t>” means any default in the payment of principal, premium, if any, or interest or any additional amount on any Subordinated Indebtedness of the Company when due, whether at the stated maturity of any such payment or by declaration of acceleration, call for redemption or otherwise.</w:t>
      </w:r>
    </w:p>
    <w:p>
      <w:pPr>
        <w:spacing w:after="0" w:line="138"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Subsidiary</w:t>
      </w:r>
      <w:r>
        <w:rPr>
          <w:rFonts w:ascii="Times New Roman" w:cs="Times New Roman" w:eastAsia="Times New Roman" w:hAnsi="Times New Roman"/>
          <w:sz w:val="16"/>
          <w:szCs w:val="16"/>
          <w:color w:val="auto"/>
        </w:rPr>
        <w:t>” means, with respect to any specified Person:</w:t>
      </w:r>
    </w:p>
    <w:p>
      <w:pPr>
        <w:spacing w:after="0" w:line="208" w:lineRule="exact"/>
        <w:rPr>
          <w:sz w:val="20"/>
          <w:szCs w:val="20"/>
          <w:color w:val="auto"/>
        </w:rPr>
      </w:pPr>
    </w:p>
    <w:p>
      <w:pPr>
        <w:ind w:left="663" w:right="260" w:firstLine="506"/>
        <w:spacing w:after="0" w:line="265" w:lineRule="auto"/>
        <w:tabs>
          <w:tab w:leader="none" w:pos="1772"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corporation, limited liability company,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61" w:lineRule="exact"/>
        <w:rPr>
          <w:rFonts w:ascii="Times New Roman" w:cs="Times New Roman" w:eastAsia="Times New Roman" w:hAnsi="Times New Roman"/>
          <w:sz w:val="16"/>
          <w:szCs w:val="16"/>
          <w:color w:val="auto"/>
        </w:rPr>
      </w:pPr>
    </w:p>
    <w:p>
      <w:pPr>
        <w:ind w:left="663" w:firstLine="506"/>
        <w:spacing w:after="0" w:line="288" w:lineRule="auto"/>
        <w:tabs>
          <w:tab w:leader="none" w:pos="1772"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41"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TIA</w:t>
      </w:r>
      <w:r>
        <w:rPr>
          <w:rFonts w:ascii="Times New Roman" w:cs="Times New Roman" w:eastAsia="Times New Roman" w:hAnsi="Times New Roman"/>
          <w:sz w:val="16"/>
          <w:szCs w:val="16"/>
          <w:color w:val="auto"/>
        </w:rPr>
        <w:t>” means the Trust Indenture Act of 1939 as amended (15 U.S. Code §§ 77aaa-77bbbb).</w:t>
      </w:r>
    </w:p>
    <w:p>
      <w:pPr>
        <w:spacing w:after="0" w:line="206" w:lineRule="exact"/>
        <w:rPr>
          <w:sz w:val="20"/>
          <w:szCs w:val="20"/>
          <w:color w:val="auto"/>
        </w:rPr>
      </w:pPr>
    </w:p>
    <w:p>
      <w:pPr>
        <w:ind w:left="3"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Triggering Indebtedness</w:t>
      </w:r>
      <w:r>
        <w:rPr>
          <w:rFonts w:ascii="Times New Roman" w:cs="Times New Roman" w:eastAsia="Times New Roman" w:hAnsi="Times New Roman"/>
          <w:sz w:val="16"/>
          <w:szCs w:val="16"/>
          <w:color w:val="auto"/>
        </w:rPr>
        <w:t>” means Indebtedness of the Company owed to a Person, other than the Company or any Subsidiary of the Company, that has an aggregate principal amount or committed amount in excess of $500.0 million.</w:t>
      </w:r>
    </w:p>
    <w:p>
      <w:pPr>
        <w:spacing w:after="0" w:line="138" w:lineRule="exact"/>
        <w:rPr>
          <w:sz w:val="20"/>
          <w:szCs w:val="20"/>
          <w:color w:val="auto"/>
        </w:rPr>
      </w:pPr>
    </w:p>
    <w:p>
      <w:pPr>
        <w:ind w:left="3" w:right="6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Trustee</w:t>
      </w:r>
      <w:r>
        <w:rPr>
          <w:rFonts w:ascii="Times New Roman" w:cs="Times New Roman" w:eastAsia="Times New Roman" w:hAnsi="Times New Roman"/>
          <w:sz w:val="16"/>
          <w:szCs w:val="16"/>
          <w:color w:val="auto"/>
        </w:rPr>
        <w:t>” means The Bank of New York Mellon, a New York banking corporation, until a successor replaces it in accordance with the applicable provisions of this Indenture and thereafter means the successor serving hereunder.</w:t>
      </w:r>
    </w:p>
    <w:p>
      <w:pPr>
        <w:spacing w:after="0" w:line="138"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U.S. Government Obligations</w:t>
      </w:r>
      <w:r>
        <w:rPr>
          <w:rFonts w:ascii="Times New Roman" w:cs="Times New Roman" w:eastAsia="Times New Roman" w:hAnsi="Times New Roman"/>
          <w:sz w:val="16"/>
          <w:szCs w:val="16"/>
          <w:color w:val="auto"/>
        </w:rPr>
        <w:t>” means securities that are (i) direct obligations of the United States for the payment of which its full faith and credit is pledged or</w:t>
      </w:r>
    </w:p>
    <w:p>
      <w:pPr>
        <w:spacing w:after="0" w:line="29" w:lineRule="exact"/>
        <w:rPr>
          <w:sz w:val="20"/>
          <w:szCs w:val="20"/>
          <w:color w:val="auto"/>
        </w:rPr>
      </w:pPr>
    </w:p>
    <w:p>
      <w:pPr>
        <w:ind w:left="3" w:right="300" w:hanging="3"/>
        <w:spacing w:after="0" w:line="257" w:lineRule="auto"/>
        <w:tabs>
          <w:tab w:leader="none" w:pos="241"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obligations of a person controlled or supervised by and acting as an agency or an instrumentality of the United States the timely payment of which is unconditionally guaranteed as a full faith and credit obligation by the United States, that, in either case, are not callable or redeemable at the action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pacing w:after="0" w:line="32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3"/>
          </w:cols>
          <w:pgMar w:left="317" w:top="121" w:right="339" w:bottom="1440" w:gutter="0" w:footer="0" w:header="0"/>
        </w:sectPr>
      </w:pPr>
    </w:p>
    <w:bookmarkStart w:id="198" w:name="page199"/>
    <w:bookmarkEnd w:id="198"/>
    <w:p>
      <w:pPr>
        <w:ind w:right="140" w:firstLine="585"/>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Wholly Owned Subsidiary</w:t>
      </w:r>
      <w:r>
        <w:rPr>
          <w:rFonts w:ascii="Times New Roman" w:cs="Times New Roman" w:eastAsia="Times New Roman" w:hAnsi="Times New Roman"/>
          <w:sz w:val="16"/>
          <w:szCs w:val="16"/>
          <w:color w:val="auto"/>
        </w:rPr>
        <w:t>” means a Subsidiary of the Company of which the Company owns all of the Capital Stock, directly or indirectly, other than directors’ qualifying shares.</w:t>
      </w:r>
    </w:p>
    <w:p>
      <w:pPr>
        <w:spacing w:after="0" w:line="138" w:lineRule="exact"/>
        <w:rPr>
          <w:sz w:val="20"/>
          <w:szCs w:val="20"/>
          <w:color w:val="auto"/>
        </w:rPr>
      </w:pPr>
    </w:p>
    <w:tbl>
      <w:tblPr>
        <w:tblLayout w:type="fixed"/>
        <w:tblInd w:w="560" w:type="dxa"/>
        <w:tblCellMar>
          <w:top w:w="0" w:type="dxa"/>
          <w:left w:w="0" w:type="dxa"/>
          <w:bottom w:w="0" w:type="dxa"/>
          <w:right w:w="0" w:type="dxa"/>
        </w:tblCellMar>
      </w:tblP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Section 1.02. Other Definitions.</w:t>
            </w:r>
          </w:p>
        </w:tc>
        <w:tc>
          <w:tcPr>
            <w:tcW w:w="920" w:type="dxa"/>
            <w:vAlign w:val="bottom"/>
          </w:tcPr>
          <w:p>
            <w:pPr>
              <w:spacing w:after="0"/>
              <w:rPr>
                <w:sz w:val="18"/>
                <w:szCs w:val="18"/>
                <w:color w:val="auto"/>
              </w:rPr>
            </w:pPr>
          </w:p>
        </w:tc>
      </w:tr>
      <w:tr>
        <w:trPr>
          <w:trHeight w:val="372"/>
        </w:trPr>
        <w:tc>
          <w:tcPr>
            <w:tcW w:w="9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Defined</w:t>
            </w:r>
          </w:p>
        </w:tc>
      </w:tr>
      <w:tr>
        <w:trPr>
          <w:trHeight w:val="195"/>
        </w:trPr>
        <w:tc>
          <w:tcPr>
            <w:tcW w:w="9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w:t>
            </w:r>
          </w:p>
        </w:tc>
      </w:tr>
      <w:tr>
        <w:trPr>
          <w:trHeight w:val="218"/>
        </w:trPr>
        <w:tc>
          <w:tcPr>
            <w:tcW w:w="9220" w:type="dxa"/>
            <w:vAlign w:val="bottom"/>
            <w:gridSpan w:val="2"/>
          </w:tcPr>
          <w:p>
            <w:pPr>
              <w:ind w:left="4320"/>
              <w:spacing w:after="0"/>
              <w:rPr>
                <w:sz w:val="20"/>
                <w:szCs w:val="20"/>
                <w:color w:val="auto"/>
              </w:rPr>
            </w:pPr>
            <w:r>
              <w:rPr>
                <w:rFonts w:ascii="Times New Roman" w:cs="Times New Roman" w:eastAsia="Times New Roman" w:hAnsi="Times New Roman"/>
                <w:sz w:val="16"/>
                <w:szCs w:val="16"/>
                <w:b w:val="1"/>
                <w:bCs w:val="1"/>
                <w:color w:val="auto"/>
              </w:rPr>
              <w:t>Term</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195"/>
        </w:trPr>
        <w:tc>
          <w:tcPr>
            <w:tcW w:w="9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“Agent Members”</w:t>
            </w: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195"/>
        </w:trPr>
        <w:tc>
          <w:tcPr>
            <w:tcW w:w="9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“Authenticating Agent”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r>
      <w:tr>
        <w:trPr>
          <w:trHeight w:val="195"/>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“Authorized Officers”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r>
      <w:tr>
        <w:trPr>
          <w:trHeight w:val="195"/>
        </w:trPr>
        <w:tc>
          <w:tcPr>
            <w:tcW w:w="9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“Covenant Defeasance”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w:t>
            </w:r>
          </w:p>
        </w:tc>
      </w:tr>
      <w:tr>
        <w:trPr>
          <w:trHeight w:val="195"/>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“Designated Currency”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195"/>
        </w:trPr>
        <w:tc>
          <w:tcPr>
            <w:tcW w:w="9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“Event of Default”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r>
      <w:tr>
        <w:trPr>
          <w:trHeight w:val="195"/>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Rate”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r>
      <w:tr>
        <w:trPr>
          <w:trHeight w:val="195"/>
        </w:trPr>
        <w:tc>
          <w:tcPr>
            <w:tcW w:w="9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“Instructions”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w:t>
            </w:r>
          </w:p>
        </w:tc>
      </w:tr>
      <w:tr>
        <w:trPr>
          <w:trHeight w:val="195"/>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“Legal Defeasance”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r>
      <w:tr>
        <w:trPr>
          <w:trHeight w:val="195"/>
        </w:trPr>
        <w:tc>
          <w:tcPr>
            <w:tcW w:w="9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“Mandatory Sinking Fund Payment”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r>
      <w:tr>
        <w:trPr>
          <w:trHeight w:val="195"/>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“Optional Sinking Fund Payment”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w:t>
            </w:r>
          </w:p>
        </w:tc>
      </w:tr>
      <w:tr>
        <w:trPr>
          <w:trHeight w:val="195"/>
        </w:trPr>
        <w:tc>
          <w:tcPr>
            <w:tcW w:w="9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“Payment Blockage Period”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w:t>
            </w:r>
          </w:p>
        </w:tc>
      </w:tr>
      <w:tr>
        <w:trPr>
          <w:trHeight w:val="195"/>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“Paying Agent”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195"/>
        </w:trPr>
        <w:tc>
          <w:tcPr>
            <w:tcW w:w="9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“Proceeding”</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w:t>
            </w:r>
          </w:p>
        </w:tc>
      </w:tr>
      <w:tr>
        <w:trPr>
          <w:trHeight w:val="195"/>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“Registrar”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195"/>
        </w:trPr>
        <w:tc>
          <w:tcPr>
            <w:tcW w:w="9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“Representative”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w:t>
            </w:r>
          </w:p>
        </w:tc>
      </w:tr>
      <w:tr>
        <w:trPr>
          <w:trHeight w:val="195"/>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Payment”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r>
      <w:tr>
        <w:trPr>
          <w:trHeight w:val="211"/>
        </w:trPr>
        <w:tc>
          <w:tcPr>
            <w:tcW w:w="9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“Successor Company”</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r>
    </w:tbl>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1.03. Rules of Construction.</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Unless the context otherwise requires:</w:t>
      </w:r>
    </w:p>
    <w:p>
      <w:pPr>
        <w:spacing w:after="0" w:line="206" w:lineRule="exact"/>
        <w:rPr>
          <w:sz w:val="20"/>
          <w:szCs w:val="20"/>
          <w:color w:val="auto"/>
        </w:rPr>
      </w:pPr>
    </w:p>
    <w:p>
      <w:pPr>
        <w:ind w:left="1440" w:hanging="273"/>
        <w:spacing w:after="0"/>
        <w:tabs>
          <w:tab w:leader="none" w:pos="144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term has the meaning assigned to it herein, whether defined expressly or by reference;</w:t>
      </w:r>
    </w:p>
    <w:p>
      <w:pPr>
        <w:spacing w:after="0" w:line="205" w:lineRule="exact"/>
        <w:rPr>
          <w:rFonts w:ascii="Times New Roman" w:cs="Times New Roman" w:eastAsia="Times New Roman" w:hAnsi="Times New Roman"/>
          <w:sz w:val="16"/>
          <w:szCs w:val="16"/>
          <w:color w:val="auto"/>
        </w:rPr>
      </w:pPr>
    </w:p>
    <w:p>
      <w:pPr>
        <w:ind w:left="580" w:firstLine="587"/>
        <w:spacing w:after="0" w:line="288" w:lineRule="auto"/>
        <w:tabs>
          <w:tab w:leader="none" w:pos="1435"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specified herein, all accounting terms used herein shall be interpreted, all accounting determinations hereunder shall be made, and all financial statements required to be delivered hereunder shall be prepared in accordance with GAAP;</w:t>
      </w:r>
    </w:p>
    <w:p>
      <w:pPr>
        <w:spacing w:after="0" w:line="14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 is not exclusive;</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words in the singular include the plural, and in the plural include the singular;</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shall be interpreted to express a command;</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words used herein implying any gender shall apply to both genders;</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“herein,” “hereof,” “hereunder” and other words of similar import refer to this Indenture as a whole and not to any particular Article, Section or other</w:t>
      </w:r>
    </w:p>
    <w:p>
      <w:pPr>
        <w:spacing w:after="0" w:line="2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subsection;</w:t>
      </w:r>
    </w:p>
    <w:p>
      <w:pPr>
        <w:spacing w:after="0" w:line="189" w:lineRule="exact"/>
        <w:rPr>
          <w:rFonts w:ascii="Times New Roman" w:cs="Times New Roman" w:eastAsia="Times New Roman" w:hAnsi="Times New Roman"/>
          <w:sz w:val="16"/>
          <w:szCs w:val="16"/>
          <w:color w:val="auto"/>
        </w:rPr>
      </w:pPr>
    </w:p>
    <w:p>
      <w:pPr>
        <w:ind w:left="580" w:right="500" w:firstLine="587"/>
        <w:spacing w:after="0" w:line="288" w:lineRule="auto"/>
        <w:tabs>
          <w:tab w:leader="none" w:pos="1435"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“U.S. Dollars” and “United States Dollars” each refer to United States dollars, or such other money of the United States that at the time of payment is legal tender for payment of public and private debts;</w:t>
      </w:r>
    </w:p>
    <w:p>
      <w:pPr>
        <w:spacing w:after="0" w:line="143" w:lineRule="exact"/>
        <w:rPr>
          <w:rFonts w:ascii="Times New Roman" w:cs="Times New Roman" w:eastAsia="Times New Roman" w:hAnsi="Times New Roman"/>
          <w:sz w:val="16"/>
          <w:szCs w:val="16"/>
          <w:color w:val="auto"/>
        </w:rPr>
      </w:pPr>
    </w:p>
    <w:p>
      <w:pPr>
        <w:ind w:left="580" w:right="100" w:firstLine="587"/>
        <w:spacing w:after="0" w:line="288" w:lineRule="auto"/>
        <w:tabs>
          <w:tab w:leader="none" w:pos="1435"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sections of or rules under the Securities Act will be deemed to include substitute, replacement of successor sections or rules adopted by the Commission from time to time;</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9" w:name="page200"/>
    <w:bookmarkEnd w:id="199"/>
    <w:p>
      <w:pPr>
        <w:ind w:left="1160"/>
        <w:spacing w:after="0"/>
        <w:rPr>
          <w:sz w:val="20"/>
          <w:szCs w:val="20"/>
          <w:color w:val="auto"/>
        </w:rPr>
      </w:pPr>
      <w:r>
        <w:rPr>
          <w:rFonts w:ascii="Times New Roman" w:cs="Times New Roman" w:eastAsia="Times New Roman" w:hAnsi="Times New Roman"/>
          <w:sz w:val="16"/>
          <w:szCs w:val="16"/>
          <w:color w:val="auto"/>
        </w:rPr>
        <w:t>(10) references to Sections, Articles or Exhibits are references to Sections, Articles or Exhibits of or to this Indenture unless context otherwise requires;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and</w:t>
      </w:r>
    </w:p>
    <w:p>
      <w:pPr>
        <w:spacing w:after="0" w:line="190" w:lineRule="exact"/>
        <w:rPr>
          <w:sz w:val="20"/>
          <w:szCs w:val="20"/>
          <w:color w:val="auto"/>
        </w:rPr>
      </w:pPr>
    </w:p>
    <w:p>
      <w:pPr>
        <w:ind w:left="580" w:right="480" w:firstLine="587"/>
        <w:spacing w:after="0" w:line="288" w:lineRule="auto"/>
        <w:tabs>
          <w:tab w:leader="none" w:pos="151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the payment of principal amount of Securities shall, in the case of Original Issue Discount Securities, be read as payment of such portion of principal amount as may be specified in the terms of such series.</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1.04. Incorporation by Reference of Trust Indenture Act.</w:t>
      </w:r>
    </w:p>
    <w:p>
      <w:pPr>
        <w:spacing w:after="0" w:line="208" w:lineRule="exact"/>
        <w:rPr>
          <w:sz w:val="20"/>
          <w:szCs w:val="20"/>
          <w:color w:val="auto"/>
        </w:rPr>
      </w:pPr>
    </w:p>
    <w:p>
      <w:pPr>
        <w:ind w:right="80" w:firstLine="585"/>
        <w:spacing w:after="0" w:line="288" w:lineRule="auto"/>
        <w:rPr>
          <w:sz w:val="20"/>
          <w:szCs w:val="20"/>
          <w:color w:val="auto"/>
        </w:rPr>
      </w:pPr>
      <w:r>
        <w:rPr>
          <w:rFonts w:ascii="Times New Roman" w:cs="Times New Roman" w:eastAsia="Times New Roman" w:hAnsi="Times New Roman"/>
          <w:sz w:val="16"/>
          <w:szCs w:val="16"/>
          <w:color w:val="auto"/>
        </w:rPr>
        <w:t>Whenever this Indenture refers to a provision of the TIA, the portion of such provision required to be incorporated herein in order for this Indenture to be qualified under the TIA is incorporated by reference in and made a part of this Indenture. The following TIA terms used in this Indenture have the following meanings:</w:t>
      </w:r>
    </w:p>
    <w:p>
      <w:pPr>
        <w:spacing w:after="0" w:line="1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“indenture securities” means the Securities.</w:t>
      </w: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“indenture securityholder” means a Holder.</w:t>
      </w: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“indenture to be qualified” means this Indenture.</w:t>
      </w: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“indenture trustee” or “institutional trustee” means the Trustee.</w:t>
      </w: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“obligor on this indenture securities” means the Company or any other obligor on the Securities.</w:t>
      </w:r>
    </w:p>
    <w:p>
      <w:pPr>
        <w:spacing w:after="0" w:line="206" w:lineRule="exact"/>
        <w:rPr>
          <w:sz w:val="20"/>
          <w:szCs w:val="20"/>
          <w:color w:val="auto"/>
        </w:rPr>
      </w:pPr>
    </w:p>
    <w:p>
      <w:pPr>
        <w:ind w:right="80" w:firstLine="585"/>
        <w:spacing w:after="0" w:line="288" w:lineRule="auto"/>
        <w:rPr>
          <w:sz w:val="20"/>
          <w:szCs w:val="20"/>
          <w:color w:val="auto"/>
        </w:rPr>
      </w:pPr>
      <w:r>
        <w:rPr>
          <w:rFonts w:ascii="Times New Roman" w:cs="Times New Roman" w:eastAsia="Times New Roman" w:hAnsi="Times New Roman"/>
          <w:sz w:val="16"/>
          <w:szCs w:val="16"/>
          <w:color w:val="auto"/>
        </w:rPr>
        <w:t>All other terms used in this Indenture (other than those defined herein) that are defined by the TIA, defined in the TIA by reference to another statute or defined by Commission rule have the meanings therein assigned to them.</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SECURITIES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2.01. Terms of the Securities.</w:t>
      </w:r>
    </w:p>
    <w:p>
      <w:pPr>
        <w:spacing w:after="0" w:line="208" w:lineRule="exact"/>
        <w:rPr>
          <w:sz w:val="20"/>
          <w:szCs w:val="20"/>
          <w:color w:val="auto"/>
        </w:rPr>
      </w:pPr>
    </w:p>
    <w:p>
      <w:pPr>
        <w:ind w:firstLine="582"/>
        <w:spacing w:after="0" w:line="261" w:lineRule="auto"/>
        <w:tabs>
          <w:tab w:leader="none" w:pos="846"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Securities of each series shall be substantially in the form set forth in a Company Order or in one or more indentures supplemental hereto, and shall have such appropriate insertions, omissions, substitutions and other variations as are required or permitted by this Indenture,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securities exchange on which any series of the Securities may be listed or of any automated quotation system on which any such series may be quoted, or to conform to usage, all as determined by the officers executing such Securities as conclusively evidenced by their execution of such Securities.</w:t>
      </w:r>
    </w:p>
    <w:p>
      <w:pPr>
        <w:spacing w:after="0" w:line="163" w:lineRule="exact"/>
        <w:rPr>
          <w:rFonts w:ascii="Times New Roman" w:cs="Times New Roman" w:eastAsia="Times New Roman" w:hAnsi="Times New Roman"/>
          <w:sz w:val="16"/>
          <w:szCs w:val="16"/>
          <w:color w:val="auto"/>
        </w:rPr>
      </w:pPr>
    </w:p>
    <w:p>
      <w:pPr>
        <w:ind w:right="300" w:firstLine="582"/>
        <w:spacing w:after="0" w:line="288" w:lineRule="auto"/>
        <w:tabs>
          <w:tab w:leader="none" w:pos="855"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and provisions of the Securities shall constitute, and are expressly made, a part of this Indenture, and, to the extent applicable, the Company, any Guarantors and the Trustee, by their execution and delivery of this Indenture, expressly agree to such terms and provisions and agree to be bound thereby.</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2.02. Amount Unlimited; Issuable in Series.</w:t>
      </w:r>
    </w:p>
    <w:p>
      <w:pPr>
        <w:spacing w:after="0" w:line="208" w:lineRule="exact"/>
        <w:rPr>
          <w:sz w:val="20"/>
          <w:szCs w:val="20"/>
          <w:color w:val="auto"/>
        </w:rPr>
      </w:pPr>
    </w:p>
    <w:p>
      <w:pPr>
        <w:ind w:right="360" w:firstLine="585"/>
        <w:spacing w:after="0" w:line="288" w:lineRule="auto"/>
        <w:rPr>
          <w:sz w:val="20"/>
          <w:szCs w:val="20"/>
          <w:color w:val="auto"/>
        </w:rPr>
      </w:pPr>
      <w:r>
        <w:rPr>
          <w:rFonts w:ascii="Times New Roman" w:cs="Times New Roman" w:eastAsia="Times New Roman" w:hAnsi="Times New Roman"/>
          <w:sz w:val="16"/>
          <w:szCs w:val="16"/>
          <w:color w:val="auto"/>
        </w:rPr>
        <w:t>The aggregate principal amount of Securities that may be authenticated and delivered under this Indenture is unlimited. The Securities may be issued in one or more series. There shall be set forth in a Company Order or in one or more indentures supplemental hereto, at or prior to the issuance of Securities of any series:</w:t>
      </w:r>
    </w:p>
    <w:p>
      <w:pPr>
        <w:spacing w:after="0" w:line="143" w:lineRule="exact"/>
        <w:rPr>
          <w:sz w:val="20"/>
          <w:szCs w:val="20"/>
          <w:color w:val="auto"/>
        </w:rPr>
      </w:pPr>
    </w:p>
    <w:p>
      <w:pPr>
        <w:ind w:right="480" w:firstLine="582"/>
        <w:spacing w:after="0" w:line="288" w:lineRule="auto"/>
        <w:tabs>
          <w:tab w:leader="none" w:pos="846"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of the Securities of the series (which shall distinguish the Securities of such series from the Securities of all other series, except to the extent that Additional Securities of an existing series are being issued);</w:t>
      </w:r>
    </w:p>
    <w:p>
      <w:pPr>
        <w:spacing w:after="0" w:line="143" w:lineRule="exact"/>
        <w:rPr>
          <w:rFonts w:ascii="Times New Roman" w:cs="Times New Roman" w:eastAsia="Times New Roman" w:hAnsi="Times New Roman"/>
          <w:sz w:val="16"/>
          <w:szCs w:val="16"/>
          <w:color w:val="auto"/>
        </w:rPr>
      </w:pPr>
    </w:p>
    <w:p>
      <w:pPr>
        <w:ind w:right="60" w:firstLine="582"/>
        <w:spacing w:after="0" w:line="288" w:lineRule="auto"/>
        <w:tabs>
          <w:tab w:leader="none" w:pos="855"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limit upon the aggregate principal amount of the Securities of the series that may be authenticated and delivered under this Indenture (except for Securities authenticated and delivered upon transfer of, or in exchange for, or in lieu of, other Securities of such series pursuant to Section 2.08, 2.09, 2.12, 2.17, 3.07 or 8.04);</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0" w:name="page201"/>
    <w:bookmarkEnd w:id="200"/>
    <w:p>
      <w:pPr>
        <w:ind w:left="-20" w:right="80" w:firstLine="582"/>
        <w:spacing w:after="0" w:line="288" w:lineRule="auto"/>
        <w:tabs>
          <w:tab w:leader="none" w:pos="826"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dates on which or periods during which the Securities of the series may be issued, and the dates on, or the range of dates within, which the principal of and premium, if any, on the Securities of such series are or may be payable or the method by which such date or dates shall be determined or extended;</w:t>
      </w:r>
    </w:p>
    <w:p>
      <w:pPr>
        <w:spacing w:after="0" w:line="143" w:lineRule="exact"/>
        <w:rPr>
          <w:rFonts w:ascii="Times New Roman" w:cs="Times New Roman" w:eastAsia="Times New Roman" w:hAnsi="Times New Roman"/>
          <w:sz w:val="16"/>
          <w:szCs w:val="16"/>
          <w:color w:val="auto"/>
        </w:rPr>
      </w:pPr>
    </w:p>
    <w:p>
      <w:pPr>
        <w:ind w:left="-20" w:right="60" w:firstLine="582"/>
        <w:spacing w:after="0" w:line="261" w:lineRule="auto"/>
        <w:tabs>
          <w:tab w:leader="none" w:pos="835"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rate or rates at which the Securities of the series shall bear interest, if any, or the method by which such rate or rates shall be determined, whether such interest shall be payable in cash or Additional Securities of the same series or shall accrue and increase the aggregate principal amount outstanding of such series (including if such Securities were originally issued at a discount), the date or dates from which such interest shall accrue, or the method by which such date or dates shall be determined, the Interest Payment Dates on which any such interest shall be payable, and the record dates for the determination of Holders to whom interest is payable on such Interest Payment Dates or the method by which such date or dates shall be determined, the right, if any, to extend or defer interest payments and the duration of such extension or deferral;</w:t>
      </w:r>
    </w:p>
    <w:p>
      <w:pPr>
        <w:spacing w:after="0" w:line="163" w:lineRule="exact"/>
        <w:rPr>
          <w:rFonts w:ascii="Times New Roman" w:cs="Times New Roman" w:eastAsia="Times New Roman" w:hAnsi="Times New Roman"/>
          <w:sz w:val="16"/>
          <w:szCs w:val="16"/>
          <w:color w:val="auto"/>
        </w:rPr>
      </w:pPr>
    </w:p>
    <w:p>
      <w:pPr>
        <w:ind w:left="-20" w:firstLine="582"/>
        <w:spacing w:after="0" w:line="288" w:lineRule="auto"/>
        <w:tabs>
          <w:tab w:leader="none" w:pos="826"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other than U.S. Dollars, the Foreign Currency in which Securities of the series shall be denominated or in which payment of the principal of, premium, if any, or interest on the Securities of the series shall be payable and any other terms concerning such payment;</w:t>
      </w:r>
    </w:p>
    <w:p>
      <w:pPr>
        <w:spacing w:after="0" w:line="143" w:lineRule="exact"/>
        <w:rPr>
          <w:rFonts w:ascii="Times New Roman" w:cs="Times New Roman" w:eastAsia="Times New Roman" w:hAnsi="Times New Roman"/>
          <w:sz w:val="16"/>
          <w:szCs w:val="16"/>
          <w:color w:val="auto"/>
        </w:rPr>
      </w:pPr>
    </w:p>
    <w:p>
      <w:pPr>
        <w:ind w:left="-20" w:right="60" w:firstLine="582"/>
        <w:spacing w:after="0" w:line="271" w:lineRule="auto"/>
        <w:tabs>
          <w:tab w:leader="none" w:pos="808"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amount of payment of principal of, premium, if any, or interest on the Securities of the series may be determined with reference to an index, formula or other method, including, but not limited to, an index based on a Currency or Currencies other than that in which the Securities are stated to be payable, the manner in which such amounts shall be determined;</w:t>
      </w:r>
    </w:p>
    <w:p>
      <w:pPr>
        <w:spacing w:after="0" w:line="156" w:lineRule="exact"/>
        <w:rPr>
          <w:rFonts w:ascii="Times New Roman" w:cs="Times New Roman" w:eastAsia="Times New Roman" w:hAnsi="Times New Roman"/>
          <w:sz w:val="16"/>
          <w:szCs w:val="16"/>
          <w:color w:val="auto"/>
        </w:rPr>
      </w:pPr>
    </w:p>
    <w:p>
      <w:pPr>
        <w:ind w:left="-20" w:right="80" w:firstLine="582"/>
        <w:spacing w:after="0" w:line="265" w:lineRule="auto"/>
        <w:tabs>
          <w:tab w:leader="none" w:pos="835"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principal of, premium, if any, or interest on Securities of the series is to be payable, at the election of the Company or a Holder thereof, in a Currency other than that in which the Securities are denominated or stated to be payable without such election, the period or periods within which, and the terms and conditions upon which, such election may be made and the time and the manner of determining the exchange rate between the Currency in which the Securities are denominated or payable without such election and the Currency in which the Securities are to be paid if such election is made;</w:t>
      </w:r>
    </w:p>
    <w:p>
      <w:pPr>
        <w:spacing w:after="0" w:line="161" w:lineRule="exact"/>
        <w:rPr>
          <w:rFonts w:ascii="Times New Roman" w:cs="Times New Roman" w:eastAsia="Times New Roman" w:hAnsi="Times New Roman"/>
          <w:sz w:val="16"/>
          <w:szCs w:val="16"/>
          <w:color w:val="auto"/>
        </w:rPr>
      </w:pPr>
    </w:p>
    <w:p>
      <w:pPr>
        <w:ind w:left="-20" w:right="240" w:firstLine="582"/>
        <w:spacing w:after="0" w:line="271" w:lineRule="auto"/>
        <w:tabs>
          <w:tab w:leader="none" w:pos="835"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place or places, if any, in addition to or instead of the Corporate Trust Office of the Trustee where the principal of, premium, if any, and interest on Securities of the series shall be payable, and where Securities of such series may be presented for registration of transfer, exchange or conversion, and the place or places where notices and demands to or upon the Company in respect of the Securities of such series may be made;</w:t>
      </w:r>
    </w:p>
    <w:p>
      <w:pPr>
        <w:spacing w:after="0" w:line="156" w:lineRule="exact"/>
        <w:rPr>
          <w:rFonts w:ascii="Times New Roman" w:cs="Times New Roman" w:eastAsia="Times New Roman" w:hAnsi="Times New Roman"/>
          <w:sz w:val="16"/>
          <w:szCs w:val="16"/>
          <w:color w:val="auto"/>
        </w:rPr>
      </w:pPr>
    </w:p>
    <w:p>
      <w:pPr>
        <w:ind w:left="-20" w:right="100" w:firstLine="582"/>
        <w:spacing w:after="0" w:line="288" w:lineRule="auto"/>
        <w:tabs>
          <w:tab w:leader="none" w:pos="799"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or prices at which, the period or periods within which or the date or dates on which, and the terms and conditions upon which, Securities of the series may be redeemed, in whole or in part, at the option of the Company, if the Company is to have that option;</w:t>
      </w:r>
    </w:p>
    <w:p>
      <w:pPr>
        <w:spacing w:after="0" w:line="143" w:lineRule="exact"/>
        <w:rPr>
          <w:rFonts w:ascii="Times New Roman" w:cs="Times New Roman" w:eastAsia="Times New Roman" w:hAnsi="Times New Roman"/>
          <w:sz w:val="16"/>
          <w:szCs w:val="16"/>
          <w:color w:val="auto"/>
        </w:rPr>
      </w:pPr>
    </w:p>
    <w:p>
      <w:pPr>
        <w:ind w:left="-20" w:right="80" w:firstLine="582"/>
        <w:spacing w:after="0" w:line="271" w:lineRule="auto"/>
        <w:tabs>
          <w:tab w:leader="none" w:pos="799"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or right, if any, of the Company to redeem, purchase or repay Securities of the series pursuant to any sinking fund, amortization or analogous provisions or at the option of a Holder thereof and the price or prices at which, the period or periods within which or the date or dates on which, the Currency or Currencies in which and the terms and conditions upon which Securities of the series shall be redeemed, purchased or repaid, in whole or in part, pursuant to such obligation;</w:t>
      </w:r>
    </w:p>
    <w:p>
      <w:pPr>
        <w:spacing w:after="0" w:line="156" w:lineRule="exact"/>
        <w:rPr>
          <w:rFonts w:ascii="Times New Roman" w:cs="Times New Roman" w:eastAsia="Times New Roman" w:hAnsi="Times New Roman"/>
          <w:sz w:val="16"/>
          <w:szCs w:val="16"/>
          <w:color w:val="auto"/>
        </w:rPr>
      </w:pPr>
    </w:p>
    <w:p>
      <w:pPr>
        <w:ind w:left="840" w:hanging="278"/>
        <w:spacing w:after="0"/>
        <w:tabs>
          <w:tab w:leader="none" w:pos="84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other than denominations of $2,000 or any integral multiple of $1,000 in excess thereof, the denominations in which Securities of the series shall be issuable;</w:t>
      </w:r>
    </w:p>
    <w:p>
      <w:pPr>
        <w:spacing w:after="0" w:line="205" w:lineRule="exact"/>
        <w:rPr>
          <w:rFonts w:ascii="Times New Roman" w:cs="Times New Roman" w:eastAsia="Times New Roman" w:hAnsi="Times New Roman"/>
          <w:sz w:val="16"/>
          <w:szCs w:val="16"/>
          <w:color w:val="auto"/>
        </w:rPr>
      </w:pPr>
    </w:p>
    <w:p>
      <w:pPr>
        <w:ind w:left="-20" w:right="640" w:firstLine="582"/>
        <w:spacing w:after="0" w:line="288" w:lineRule="auto"/>
        <w:tabs>
          <w:tab w:leader="none" w:pos="799"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other than the principal amount thereof, the portion of the principal amount of the Securities of the series which shall be payable upon declaration of acceleration of the maturity thereof pursuant to Section 6.02;</w:t>
      </w:r>
    </w:p>
    <w:p>
      <w:pPr>
        <w:spacing w:after="0" w:line="143" w:lineRule="exact"/>
        <w:rPr>
          <w:rFonts w:ascii="Times New Roman" w:cs="Times New Roman" w:eastAsia="Times New Roman" w:hAnsi="Times New Roman"/>
          <w:sz w:val="16"/>
          <w:szCs w:val="16"/>
          <w:color w:val="auto"/>
        </w:rPr>
      </w:pPr>
    </w:p>
    <w:p>
      <w:pPr>
        <w:ind w:left="-20" w:right="400" w:firstLine="582"/>
        <w:spacing w:after="0" w:line="288" w:lineRule="auto"/>
        <w:tabs>
          <w:tab w:leader="none" w:pos="88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guarantors, if any, of the Securities of the series (and any change to the subordination provisions that apply to the Guarantees of such guarantors with respect to the series from those contained in Section 10.09) and any additions or changes to permit or facilitate guarantees of such Securities;</w:t>
      </w:r>
    </w:p>
    <w:p>
      <w:pPr>
        <w:spacing w:after="0" w:line="143" w:lineRule="exact"/>
        <w:rPr>
          <w:rFonts w:ascii="Times New Roman" w:cs="Times New Roman" w:eastAsia="Times New Roman" w:hAnsi="Times New Roman"/>
          <w:sz w:val="16"/>
          <w:szCs w:val="16"/>
          <w:color w:val="auto"/>
        </w:rPr>
      </w:pPr>
    </w:p>
    <w:p>
      <w:pPr>
        <w:ind w:left="840" w:hanging="278"/>
        <w:spacing w:after="0"/>
        <w:tabs>
          <w:tab w:leader="none" w:pos="84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Securities of the series are to be issued as Original Issue Discount Securities and the amount of discount with which such Securities may be issued;</w:t>
      </w:r>
    </w:p>
    <w:p>
      <w:pPr>
        <w:spacing w:after="0" w:line="205" w:lineRule="exact"/>
        <w:rPr>
          <w:rFonts w:ascii="Times New Roman" w:cs="Times New Roman" w:eastAsia="Times New Roman" w:hAnsi="Times New Roman"/>
          <w:sz w:val="16"/>
          <w:szCs w:val="16"/>
          <w:color w:val="auto"/>
        </w:rPr>
      </w:pPr>
    </w:p>
    <w:p>
      <w:pPr>
        <w:ind w:left="840" w:hanging="278"/>
        <w:spacing w:after="0"/>
        <w:tabs>
          <w:tab w:leader="none" w:pos="84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addition to or change in the provisions related to satisfaction and discharge or defeasance of Securities of the series in whole or in part;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33655</wp:posOffset>
            </wp:positionV>
            <wp:extent cx="7145655" cy="152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00"/>
          </w:cols>
          <w:pgMar w:left="340" w:top="123" w:right="359" w:bottom="1440" w:gutter="0" w:footer="0" w:header="0"/>
        </w:sectPr>
      </w:pPr>
    </w:p>
    <w:bookmarkStart w:id="201" w:name="page202"/>
    <w:bookmarkEnd w:id="201"/>
    <w:p>
      <w:pPr>
        <w:ind w:right="140" w:firstLine="582"/>
        <w:spacing w:after="0" w:line="271" w:lineRule="auto"/>
        <w:tabs>
          <w:tab w:leader="none" w:pos="855"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Securities of the series are to be issued in whole or in part in the form of one or more Global Securities and, in such case, the Depositary for such Global Security or Global Securities, and any addition to or change in the terms and conditions upon which interests in such Global Security or Global Securities may be exchanged in whole or in part for Individual Securities;</w:t>
      </w:r>
    </w:p>
    <w:p>
      <w:pPr>
        <w:spacing w:after="0" w:line="156"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as of which any Global Security of the series shall be dated if other than the original issuance of the first Security of the series to be issued;</w:t>
      </w:r>
    </w:p>
    <w:p>
      <w:pPr>
        <w:spacing w:after="0" w:line="205" w:lineRule="exact"/>
        <w:rPr>
          <w:rFonts w:ascii="Times New Roman" w:cs="Times New Roman" w:eastAsia="Times New Roman" w:hAnsi="Times New Roman"/>
          <w:sz w:val="16"/>
          <w:szCs w:val="16"/>
          <w:color w:val="auto"/>
        </w:rPr>
      </w:pPr>
    </w:p>
    <w:p>
      <w:pPr>
        <w:ind w:left="820" w:hanging="238"/>
        <w:spacing w:after="0"/>
        <w:tabs>
          <w:tab w:leader="none" w:pos="82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form of the Securities of the series;</w:t>
      </w:r>
    </w:p>
    <w:p>
      <w:pPr>
        <w:spacing w:after="0" w:line="205" w:lineRule="exact"/>
        <w:rPr>
          <w:rFonts w:ascii="Times New Roman" w:cs="Times New Roman" w:eastAsia="Times New Roman" w:hAnsi="Times New Roman"/>
          <w:sz w:val="16"/>
          <w:szCs w:val="16"/>
          <w:color w:val="auto"/>
        </w:rPr>
      </w:pPr>
    </w:p>
    <w:p>
      <w:pPr>
        <w:ind w:right="280" w:firstLine="582"/>
        <w:spacing w:after="0" w:line="288" w:lineRule="auto"/>
        <w:tabs>
          <w:tab w:leader="none" w:pos="837"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Securities of the series are to be convertible into or exchangeable for any securities or Property of any Person (including the Company), the terms and conditions upon which such Securities will be so convertible or exchangeable, and any additions or changes, if any, to permit or facilitate such conversion or exchange;</w:t>
      </w:r>
    </w:p>
    <w:p>
      <w:pPr>
        <w:spacing w:after="0" w:line="143" w:lineRule="exact"/>
        <w:rPr>
          <w:rFonts w:ascii="Times New Roman" w:cs="Times New Roman" w:eastAsia="Times New Roman" w:hAnsi="Times New Roman"/>
          <w:sz w:val="16"/>
          <w:szCs w:val="16"/>
          <w:color w:val="auto"/>
        </w:rPr>
      </w:pPr>
    </w:p>
    <w:p>
      <w:pPr>
        <w:ind w:left="820" w:hanging="238"/>
        <w:spacing w:after="0"/>
        <w:tabs>
          <w:tab w:leader="none" w:pos="82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[Reserved];</w:t>
      </w:r>
    </w:p>
    <w:p>
      <w:pPr>
        <w:spacing w:after="0" w:line="205"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restriction or condition on the transferability of the Securities of such series;</w:t>
      </w:r>
    </w:p>
    <w:p>
      <w:pPr>
        <w:spacing w:after="0" w:line="205"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addition to or change in the provisions related to compensation and reimbursement of the Trustee which applies to Securities of such series;</w:t>
      </w:r>
    </w:p>
    <w:p>
      <w:pPr>
        <w:spacing w:after="0" w:line="205" w:lineRule="exact"/>
        <w:rPr>
          <w:rFonts w:ascii="Times New Roman" w:cs="Times New Roman" w:eastAsia="Times New Roman" w:hAnsi="Times New Roman"/>
          <w:sz w:val="16"/>
          <w:szCs w:val="16"/>
          <w:color w:val="auto"/>
        </w:rPr>
      </w:pPr>
    </w:p>
    <w:p>
      <w:pPr>
        <w:ind w:left="880" w:hanging="298"/>
        <w:spacing w:after="0"/>
        <w:tabs>
          <w:tab w:leader="none" w:pos="88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addition to or change in the provisions related to supplemental indentures set forth in Sections 8.02 and 8.07 which applies to Securities of such series;</w:t>
      </w:r>
    </w:p>
    <w:p>
      <w:pPr>
        <w:spacing w:after="0" w:line="205"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if any, granting special rights to Holders upon the occurrence of specified events;</w:t>
      </w:r>
    </w:p>
    <w:p>
      <w:pPr>
        <w:spacing w:after="0" w:line="205" w:lineRule="exact"/>
        <w:rPr>
          <w:rFonts w:ascii="Times New Roman" w:cs="Times New Roman" w:eastAsia="Times New Roman" w:hAnsi="Times New Roman"/>
          <w:sz w:val="16"/>
          <w:szCs w:val="16"/>
          <w:color w:val="auto"/>
        </w:rPr>
      </w:pPr>
    </w:p>
    <w:p>
      <w:pPr>
        <w:jc w:val="both"/>
        <w:ind w:firstLine="582"/>
        <w:spacing w:after="0" w:line="271" w:lineRule="auto"/>
        <w:tabs>
          <w:tab w:leader="none" w:pos="855"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addition to or change in the Events of Default which applies to Securities of the series and any change in the right of the Trustee or the requisite Holders of such Securities to declare the principal amount thereof due and payable pursuant to Section 6.02 and any addition to or change in the provisions set forth in Article VI which applies to Securities of the series;</w:t>
      </w:r>
    </w:p>
    <w:p>
      <w:pPr>
        <w:spacing w:after="0" w:line="156" w:lineRule="exact"/>
        <w:rPr>
          <w:rFonts w:ascii="Times New Roman" w:cs="Times New Roman" w:eastAsia="Times New Roman" w:hAnsi="Times New Roman"/>
          <w:sz w:val="16"/>
          <w:szCs w:val="16"/>
          <w:color w:val="auto"/>
        </w:rPr>
      </w:pPr>
    </w:p>
    <w:p>
      <w:pPr>
        <w:ind w:right="40" w:firstLine="582"/>
        <w:spacing w:after="0" w:line="271" w:lineRule="auto"/>
        <w:tabs>
          <w:tab w:leader="none" w:pos="846"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Securities of such series will be secured by any collateral and, if so, the terms and conditions upon which such Securities shall be secured and, if applicable, upon which such liens may be subordinated to other liens securing other Indebtedness of the Company or any Guarantor (subject to the subordination provisions applicable to the Securities of such series and the Guarantees thereof, as applicable);</w:t>
      </w:r>
    </w:p>
    <w:p>
      <w:pPr>
        <w:spacing w:after="0" w:line="156" w:lineRule="exact"/>
        <w:rPr>
          <w:sz w:val="20"/>
          <w:szCs w:val="20"/>
          <w:color w:val="auto"/>
        </w:rPr>
      </w:pPr>
    </w:p>
    <w:p>
      <w:pPr>
        <w:ind w:left="920" w:hanging="338"/>
        <w:spacing w:after="0"/>
        <w:tabs>
          <w:tab w:leader="none" w:pos="92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addition to or change in the covenants set forth in Article IV or Article V which applies to Securities of the series;</w:t>
      </w:r>
    </w:p>
    <w:p>
      <w:pPr>
        <w:spacing w:after="0" w:line="205" w:lineRule="exact"/>
        <w:rPr>
          <w:rFonts w:ascii="Times New Roman" w:cs="Times New Roman" w:eastAsia="Times New Roman" w:hAnsi="Times New Roman"/>
          <w:sz w:val="16"/>
          <w:szCs w:val="16"/>
          <w:color w:val="auto"/>
        </w:rPr>
      </w:pPr>
    </w:p>
    <w:p>
      <w:pPr>
        <w:ind w:right="380" w:firstLine="582"/>
        <w:spacing w:after="0" w:line="271" w:lineRule="auto"/>
        <w:tabs>
          <w:tab w:leader="none" w:pos="936"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change to any subordination provision that applies to the Securities of the series and the Guarantees thereof from those contained in Article XIII and Section 10.9, respectively, with respect to the Securities, and any change to the definition of Senior Indebtedness or Subordinated Indebtedness that shall apply to the Securities of the series from the definition contained herein; and</w:t>
      </w:r>
    </w:p>
    <w:p>
      <w:pPr>
        <w:spacing w:after="0" w:line="156" w:lineRule="exact"/>
        <w:rPr>
          <w:rFonts w:ascii="Times New Roman" w:cs="Times New Roman" w:eastAsia="Times New Roman" w:hAnsi="Times New Roman"/>
          <w:sz w:val="16"/>
          <w:szCs w:val="16"/>
          <w:color w:val="auto"/>
        </w:rPr>
      </w:pPr>
    </w:p>
    <w:p>
      <w:pPr>
        <w:ind w:right="140" w:firstLine="582"/>
        <w:spacing w:after="0" w:line="288" w:lineRule="auto"/>
        <w:tabs>
          <w:tab w:leader="none" w:pos="918"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terms of the Securities of such series (which terms shall not be inconsistent with the provisions of the TIA, but may modify, amend, supplement or delete any of the terms of this Indenture with respect to such series).</w:t>
      </w:r>
    </w:p>
    <w:p>
      <w:pPr>
        <w:spacing w:after="0" w:line="143" w:lineRule="exact"/>
        <w:rPr>
          <w:sz w:val="20"/>
          <w:szCs w:val="20"/>
          <w:color w:val="auto"/>
        </w:rPr>
      </w:pPr>
    </w:p>
    <w:p>
      <w:pPr>
        <w:ind w:right="640" w:firstLine="585"/>
        <w:spacing w:after="0" w:line="288" w:lineRule="auto"/>
        <w:rPr>
          <w:sz w:val="20"/>
          <w:szCs w:val="20"/>
          <w:color w:val="auto"/>
        </w:rPr>
      </w:pPr>
      <w:r>
        <w:rPr>
          <w:rFonts w:ascii="Times New Roman" w:cs="Times New Roman" w:eastAsia="Times New Roman" w:hAnsi="Times New Roman"/>
          <w:sz w:val="16"/>
          <w:szCs w:val="16"/>
          <w:color w:val="auto"/>
        </w:rPr>
        <w:t>All Securities of any one series shall be substantially identical, except as to denomination and except as may otherwise be provided herein or set forth in a Company Order or in one or more indentures supplemental hereto.</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2.03. Execution and Authentication.</w:t>
      </w:r>
    </w:p>
    <w:p>
      <w:pPr>
        <w:spacing w:after="0" w:line="208" w:lineRule="exact"/>
        <w:rPr>
          <w:sz w:val="20"/>
          <w:szCs w:val="20"/>
          <w:color w:val="auto"/>
        </w:rPr>
      </w:pPr>
    </w:p>
    <w:p>
      <w:pPr>
        <w:ind w:right="120" w:firstLine="582"/>
        <w:spacing w:after="0" w:line="265" w:lineRule="auto"/>
        <w:tabs>
          <w:tab w:leader="none" w:pos="846"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Securities shall be executed on behalf of the Company by its chairman of the Board of Directors, chief executive officer, chief financial officer, controller or assistant controller, president or any vice president, any treasurer or any assistant treasurer, secretary or any assistant secretary or any other officer designated in an Officer’s Certificate. The signature of any of these officers on the Securities may be manual or electronic. Typographic and other minor defects in any electronic signature shall not affect the validity or enforceability of any Security which has been authenticated and delivered to the Trustee.</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02" w:name="page203"/>
    <w:bookmarkEnd w:id="202"/>
    <w:p>
      <w:pPr>
        <w:ind w:right="160" w:firstLine="582"/>
        <w:spacing w:after="0" w:line="288" w:lineRule="auto"/>
        <w:tabs>
          <w:tab w:leader="none" w:pos="855"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 Officer whose signature is on a Security was an Officer at the time of such execution but no longer holds that office at the time the Trustee authenticates the Security, the Security shall be valid nevertheless.</w:t>
      </w:r>
    </w:p>
    <w:p>
      <w:pPr>
        <w:spacing w:after="0" w:line="143" w:lineRule="exact"/>
        <w:rPr>
          <w:rFonts w:ascii="Times New Roman" w:cs="Times New Roman" w:eastAsia="Times New Roman" w:hAnsi="Times New Roman"/>
          <w:sz w:val="16"/>
          <w:szCs w:val="16"/>
          <w:color w:val="auto"/>
        </w:rPr>
      </w:pPr>
    </w:p>
    <w:p>
      <w:pPr>
        <w:ind w:right="20" w:firstLine="582"/>
        <w:spacing w:after="0" w:line="261" w:lineRule="auto"/>
        <w:tabs>
          <w:tab w:leader="none" w:pos="846"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Security shall be entitled to any benefit under this Indenture or be valid or obligatory for any purpose unless there appears on such Security a certificate of authentication substantially in the form set forth in Section 2.04(a) executed by the Trustee by manual or electronic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2.13, for all purposes of this Indenture such Security shall be deemed never to have been authenticated and delivered hereunder and shall never be entitled to the benefits of this Indenture.</w:t>
      </w:r>
    </w:p>
    <w:p>
      <w:pPr>
        <w:spacing w:after="0" w:line="163" w:lineRule="exact"/>
        <w:rPr>
          <w:rFonts w:ascii="Times New Roman" w:cs="Times New Roman" w:eastAsia="Times New Roman" w:hAnsi="Times New Roman"/>
          <w:sz w:val="16"/>
          <w:szCs w:val="16"/>
          <w:color w:val="auto"/>
        </w:rPr>
      </w:pPr>
    </w:p>
    <w:p>
      <w:pPr>
        <w:ind w:right="20" w:firstLine="582"/>
        <w:spacing w:after="0" w:line="288" w:lineRule="auto"/>
        <w:tabs>
          <w:tab w:leader="none" w:pos="855"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Securities shall be issuable only in fully registered form without coupons in denominations of $2,000 and any integral multiple of $1,000 in excess thereof, unless otherwise specified pursuant to Section 2.02 with respect to Securities of any series.</w:t>
      </w:r>
    </w:p>
    <w:p>
      <w:pPr>
        <w:spacing w:after="0" w:line="143" w:lineRule="exact"/>
        <w:rPr>
          <w:rFonts w:ascii="Times New Roman" w:cs="Times New Roman" w:eastAsia="Times New Roman" w:hAnsi="Times New Roman"/>
          <w:sz w:val="16"/>
          <w:szCs w:val="16"/>
          <w:color w:val="auto"/>
        </w:rPr>
      </w:pPr>
    </w:p>
    <w:p>
      <w:pPr>
        <w:jc w:val="both"/>
        <w:ind w:right="60" w:firstLine="582"/>
        <w:spacing w:after="0" w:line="262" w:lineRule="auto"/>
        <w:tabs>
          <w:tab w:leader="none" w:pos="846"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if not previously delivered, a supplemental indenture or Company Order as contemplated by Section 2.02 setting forth the terms of the Securities of a series. The Trustee shall thereupon authenticate and deliver such Securities without any further action by the Company. The Company Order shall specify the amount of Securities to be authenticated and the date on which the original issue of Securities is to be authenticated.</w:t>
      </w:r>
    </w:p>
    <w:p>
      <w:pPr>
        <w:spacing w:after="0" w:line="164" w:lineRule="exact"/>
        <w:rPr>
          <w:rFonts w:ascii="Times New Roman" w:cs="Times New Roman" w:eastAsia="Times New Roman" w:hAnsi="Times New Roman"/>
          <w:sz w:val="16"/>
          <w:szCs w:val="16"/>
          <w:color w:val="auto"/>
        </w:rPr>
      </w:pPr>
    </w:p>
    <w:p>
      <w:pPr>
        <w:ind w:firstLine="582"/>
        <w:spacing w:after="0" w:line="265" w:lineRule="auto"/>
        <w:tabs>
          <w:tab w:leader="none" w:pos="828"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authenticating the Securities of any series for original issuance and accepting the additional responsibilities under this Indenture in relation to such Securities, the Trustee shall receive and (subject to Section 7.01) shall be fully protected in relying upon an Officer’s Certificate and an Opinion of Counsel, each prepared in accordance with Section 12.03, stating that the conditions precedent, if any, provided for in this Indenture relating to the authentication and delivery of such Securities have been complied with.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Such Opinion of Counsel shall further state:</w:t>
      </w:r>
    </w:p>
    <w:p>
      <w:pPr>
        <w:spacing w:after="0" w:line="206" w:lineRule="exact"/>
        <w:rPr>
          <w:sz w:val="20"/>
          <w:szCs w:val="20"/>
          <w:color w:val="auto"/>
        </w:rPr>
      </w:pPr>
    </w:p>
    <w:p>
      <w:pPr>
        <w:ind w:left="1160" w:right="100" w:hanging="578"/>
        <w:spacing w:after="0" w:line="288" w:lineRule="auto"/>
        <w:tabs>
          <w:tab w:leader="none" w:pos="116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form of such Securities has been established by a supplemental indenture or by or pursuant to a Company Order in accordance with Sections 2.01 and 2.02 and in conformity with the provisions of this Indenture;</w:t>
      </w:r>
    </w:p>
    <w:p>
      <w:pPr>
        <w:spacing w:after="0" w:line="143" w:lineRule="exact"/>
        <w:rPr>
          <w:rFonts w:ascii="Times New Roman" w:cs="Times New Roman" w:eastAsia="Times New Roman" w:hAnsi="Times New Roman"/>
          <w:sz w:val="16"/>
          <w:szCs w:val="16"/>
          <w:color w:val="auto"/>
        </w:rPr>
      </w:pPr>
    </w:p>
    <w:p>
      <w:pPr>
        <w:ind w:left="1160" w:right="440" w:hanging="578"/>
        <w:spacing w:after="0" w:line="288" w:lineRule="auto"/>
        <w:tabs>
          <w:tab w:leader="none" w:pos="116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terms of such Securities have been established in accordance with Sections 2.01 and 2.02 and in conformity with the other provisions of this Indenture; and</w:t>
      </w:r>
    </w:p>
    <w:p>
      <w:pPr>
        <w:spacing w:after="0" w:line="143" w:lineRule="exact"/>
        <w:rPr>
          <w:rFonts w:ascii="Times New Roman" w:cs="Times New Roman" w:eastAsia="Times New Roman" w:hAnsi="Times New Roman"/>
          <w:sz w:val="16"/>
          <w:szCs w:val="16"/>
          <w:color w:val="auto"/>
        </w:rPr>
      </w:pPr>
    </w:p>
    <w:p>
      <w:pPr>
        <w:ind w:left="1160" w:right="100" w:hanging="578"/>
        <w:spacing w:after="0" w:line="262" w:lineRule="auto"/>
        <w:tabs>
          <w:tab w:leader="none" w:pos="116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reorganization, moratorium, fraudulent transfer and other laws of general applicability relating to or affecting the enforcement of creditors’ rights from time to time in effect and to general equity principles, including, without limitation, concepts of materiality, reasonableness, good faith and fair dealing, regardless of whether considered in a proceeding in equity or at law.</w:t>
      </w:r>
    </w:p>
    <w:p>
      <w:pPr>
        <w:spacing w:after="0" w:line="165" w:lineRule="exact"/>
        <w:rPr>
          <w:sz w:val="20"/>
          <w:szCs w:val="20"/>
          <w:color w:val="auto"/>
        </w:rPr>
      </w:pPr>
    </w:p>
    <w:p>
      <w:pPr>
        <w:ind w:right="100" w:firstLine="582"/>
        <w:spacing w:after="0" w:line="271" w:lineRule="auto"/>
        <w:tabs>
          <w:tab w:leader="none" w:pos="855"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have the right to decline to authenticate and deliver the Securities under this Section 2.03 if the issue of the Securities pursuant to this Indenture will affect the Trustee’s own rights, duties or immunities under the Securities or this Indenture or otherwise in a manner which is not reasonably acceptable to the Trustee.</w:t>
      </w:r>
    </w:p>
    <w:p>
      <w:pPr>
        <w:spacing w:after="0" w:line="156"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Security shall be dated the date of its authentication, except as otherwise provided pursuant to Section 2.02 with respect to the Securities of such series.</w:t>
      </w:r>
    </w:p>
    <w:p>
      <w:pPr>
        <w:spacing w:after="0" w:line="205" w:lineRule="exact"/>
        <w:rPr>
          <w:rFonts w:ascii="Times New Roman" w:cs="Times New Roman" w:eastAsia="Times New Roman" w:hAnsi="Times New Roman"/>
          <w:sz w:val="16"/>
          <w:szCs w:val="16"/>
          <w:color w:val="auto"/>
        </w:rPr>
      </w:pPr>
    </w:p>
    <w:p>
      <w:pPr>
        <w:ind w:right="20" w:firstLine="582"/>
        <w:spacing w:after="0" w:line="288" w:lineRule="auto"/>
        <w:tabs>
          <w:tab w:leader="none" w:pos="819"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provisions of Section 2.01 and of this Section 2.03, if all of the Securities of any series are not to be originally issued at the same time, then the documents required to be delivered pursuant to this Section 2.03 must be delivered only once prior to the authentication and delivery of the first Security of such series.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3" w:name="page204"/>
    <w:bookmarkEnd w:id="203"/>
    <w:p>
      <w:pPr>
        <w:ind w:left="580"/>
        <w:spacing w:after="0"/>
        <w:rPr>
          <w:sz w:val="20"/>
          <w:szCs w:val="20"/>
          <w:color w:val="auto"/>
        </w:rPr>
      </w:pPr>
      <w:r>
        <w:rPr>
          <w:rFonts w:ascii="Times New Roman" w:cs="Times New Roman" w:eastAsia="Times New Roman" w:hAnsi="Times New Roman"/>
          <w:sz w:val="16"/>
          <w:szCs w:val="16"/>
          <w:i w:val="1"/>
          <w:iCs w:val="1"/>
          <w:color w:val="auto"/>
        </w:rPr>
        <w:t>Section 2.04. Forms of Certificate of Authentication.</w:t>
      </w:r>
    </w:p>
    <w:p>
      <w:pPr>
        <w:spacing w:after="0" w:line="208" w:lineRule="exact"/>
        <w:rPr>
          <w:sz w:val="20"/>
          <w:szCs w:val="20"/>
          <w:color w:val="auto"/>
        </w:rPr>
      </w:pPr>
    </w:p>
    <w:p>
      <w:pPr>
        <w:ind w:left="840" w:hanging="258"/>
        <w:spacing w:after="0"/>
        <w:tabs>
          <w:tab w:leader="none" w:pos="840"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Trustee’s certificates of authentication shall be in substantially the following form:</w:t>
      </w:r>
    </w:p>
    <w:p>
      <w:pPr>
        <w:spacing w:after="0" w:line="205" w:lineRule="exact"/>
        <w:rPr>
          <w:rFonts w:ascii="Times New Roman" w:cs="Times New Roman" w:eastAsia="Times New Roman" w:hAnsi="Times New Roman"/>
          <w:sz w:val="16"/>
          <w:szCs w:val="16"/>
          <w:color w:val="auto"/>
        </w:rPr>
      </w:pPr>
    </w:p>
    <w:p>
      <w:pPr>
        <w:ind w:left="38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TRUSTEE’S CERTIFICATE OF AUTHENTICATION</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This is one of the Securities of the series designated therein referred to in the within-mentioned Junior Subordinated Indenture.</w:t>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THE BANK OF NEW YORK MELLON,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as Trustee</w:t>
      </w:r>
    </w:p>
    <w:p>
      <w:pPr>
        <w:spacing w:after="0" w:line="1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25400</wp:posOffset>
            </wp:positionV>
            <wp:extent cx="3209290" cy="152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6">
                      <a:extLst>
                        <a:ext uri="{28A0092B-C50C-407E-A947-70E740481C1C}"/>
                      </a:extLst>
                    </a:blip>
                    <a:srcRect/>
                    <a:stretch>
                      <a:fillRect/>
                    </a:stretch>
                  </pic:blipFill>
                  <pic:spPr bwMode="auto">
                    <a:xfrm>
                      <a:off x="0" y="0"/>
                      <a:ext cx="3209290" cy="15240"/>
                    </a:xfrm>
                    <a:prstGeom prst="rect">
                      <a:avLst/>
                    </a:prstGeom>
                    <a:noFill/>
                  </pic:spPr>
                </pic:pic>
              </a:graphicData>
            </a:graphic>
          </wp:anchor>
        </w:drawing>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Authorized Signatory</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Dated:</w:t>
      </w:r>
    </w:p>
    <w:p>
      <w:pPr>
        <w:spacing w:after="0" w:line="206" w:lineRule="exact"/>
        <w:rPr>
          <w:sz w:val="20"/>
          <w:szCs w:val="20"/>
          <w:color w:val="auto"/>
        </w:rPr>
      </w:pPr>
    </w:p>
    <w:p>
      <w:pPr>
        <w:ind w:firstLine="582"/>
        <w:spacing w:after="0" w:line="288" w:lineRule="auto"/>
        <w:tabs>
          <w:tab w:leader="none" w:pos="855"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any time there shall be an Authenticating Agent appointed with respect to any series of Securities, then the Trustee’s Certificate of Authentication by such Authenticating Agent to be borne by Securities of each such series shall be substantially as follows:</w:t>
      </w:r>
    </w:p>
    <w:p>
      <w:pPr>
        <w:spacing w:after="0" w:line="1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TRUSTEE’S CERTIFICATE OF AUTHENTICATION</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This is one of the Securities of the series designated therein referred to in the within-mentioned Junior Subordinated Indenture.</w:t>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THE BANK OF NEW YORK MELLON,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as Trustee</w:t>
      </w:r>
    </w:p>
    <w:p>
      <w:pPr>
        <w:spacing w:after="0" w:line="19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[NAME OF AUTHENTICATING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17145</wp:posOffset>
            </wp:positionV>
            <wp:extent cx="3209290" cy="15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7">
                      <a:extLst>
                        <a:ext uri="{28A0092B-C50C-407E-A947-70E740481C1C}"/>
                      </a:extLst>
                    </a:blip>
                    <a:srcRect/>
                    <a:stretch>
                      <a:fillRect/>
                    </a:stretch>
                  </pic:blipFill>
                  <pic:spPr bwMode="auto">
                    <a:xfrm>
                      <a:off x="0" y="0"/>
                      <a:ext cx="3209290" cy="15240"/>
                    </a:xfrm>
                    <a:prstGeom prst="rect">
                      <a:avLst/>
                    </a:prstGeom>
                    <a:noFill/>
                  </pic:spPr>
                </pic:pic>
              </a:graphicData>
            </a:graphic>
          </wp:anchor>
        </w:drawing>
      </w:r>
    </w:p>
    <w:p>
      <w:pPr>
        <w:spacing w:after="0" w:line="1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as Authenticating Agent</w:t>
      </w:r>
    </w:p>
    <w:p>
      <w:pPr>
        <w:spacing w:after="0" w:line="2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25400</wp:posOffset>
            </wp:positionV>
            <wp:extent cx="3209290" cy="152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8">
                      <a:extLst>
                        <a:ext uri="{28A0092B-C50C-407E-A947-70E740481C1C}"/>
                      </a:extLst>
                    </a:blip>
                    <a:srcRect/>
                    <a:stretch>
                      <a:fillRect/>
                    </a:stretch>
                  </pic:blipFill>
                  <pic:spPr bwMode="auto">
                    <a:xfrm>
                      <a:off x="0" y="0"/>
                      <a:ext cx="3209290" cy="15240"/>
                    </a:xfrm>
                    <a:prstGeom prst="rect">
                      <a:avLst/>
                    </a:prstGeom>
                    <a:noFill/>
                  </pic:spPr>
                </pic:pic>
              </a:graphicData>
            </a:graphic>
          </wp:anchor>
        </w:drawing>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Authorized Signatory</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Dated:</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2.05. Registrar and Paying Agent.</w:t>
      </w:r>
    </w:p>
    <w:p>
      <w:pPr>
        <w:spacing w:after="0" w:line="206" w:lineRule="exact"/>
        <w:rPr>
          <w:sz w:val="20"/>
          <w:szCs w:val="20"/>
          <w:color w:val="auto"/>
        </w:rPr>
      </w:pPr>
    </w:p>
    <w:p>
      <w:pPr>
        <w:ind w:right="20" w:firstLine="585"/>
        <w:spacing w:after="0" w:line="266" w:lineRule="auto"/>
        <w:rPr>
          <w:sz w:val="20"/>
          <w:szCs w:val="20"/>
          <w:color w:val="auto"/>
        </w:rPr>
      </w:pPr>
      <w:r>
        <w:rPr>
          <w:rFonts w:ascii="Times New Roman" w:cs="Times New Roman" w:eastAsia="Times New Roman" w:hAnsi="Times New Roman"/>
          <w:sz w:val="16"/>
          <w:szCs w:val="16"/>
          <w:color w:val="auto"/>
        </w:rPr>
        <w:t>The Company shall maintain an office or agency where Securities may be presented for registration of transfer or for exchange (the “</w:t>
      </w:r>
      <w:r>
        <w:rPr>
          <w:rFonts w:ascii="Times New Roman" w:cs="Times New Roman" w:eastAsia="Times New Roman" w:hAnsi="Times New Roman"/>
          <w:sz w:val="16"/>
          <w:szCs w:val="16"/>
          <w:i w:val="1"/>
          <w:iCs w:val="1"/>
          <w:color w:val="auto"/>
        </w:rPr>
        <w:t>Registrar</w:t>
      </w:r>
      <w:r>
        <w:rPr>
          <w:rFonts w:ascii="Times New Roman" w:cs="Times New Roman" w:eastAsia="Times New Roman" w:hAnsi="Times New Roman"/>
          <w:sz w:val="16"/>
          <w:szCs w:val="16"/>
          <w:color w:val="auto"/>
        </w:rPr>
        <w:t>”), an office or agency where Securities may be presented for payment (the “</w:t>
      </w:r>
      <w:r>
        <w:rPr>
          <w:rFonts w:ascii="Times New Roman" w:cs="Times New Roman" w:eastAsia="Times New Roman" w:hAnsi="Times New Roman"/>
          <w:sz w:val="16"/>
          <w:szCs w:val="16"/>
          <w:i w:val="1"/>
          <w:iCs w:val="1"/>
          <w:color w:val="auto"/>
        </w:rPr>
        <w:t>Paying Agent</w:t>
      </w:r>
      <w:r>
        <w:rPr>
          <w:rFonts w:ascii="Times New Roman" w:cs="Times New Roman" w:eastAsia="Times New Roman" w:hAnsi="Times New Roman"/>
          <w:sz w:val="16"/>
          <w:szCs w:val="16"/>
          <w:color w:val="auto"/>
        </w:rPr>
        <w:t>”) and an office or agency where notices and demands to or upon the Company, if any, in respect of the Securities and this Indenture may be served. The Registrar shall keep a register of the Securities and of their transfer and exchange. The Company may have one or more additional Paying Agents. The term “Paying Agent” includes any additional Paying Agent.</w:t>
      </w:r>
    </w:p>
    <w:p>
      <w:pPr>
        <w:spacing w:after="0" w:line="161" w:lineRule="exact"/>
        <w:rPr>
          <w:sz w:val="20"/>
          <w:szCs w:val="20"/>
          <w:color w:val="auto"/>
        </w:rPr>
      </w:pPr>
    </w:p>
    <w:p>
      <w:pPr>
        <w:ind w:right="120" w:firstLine="585"/>
        <w:spacing w:after="0" w:line="265" w:lineRule="auto"/>
        <w:rPr>
          <w:sz w:val="20"/>
          <w:szCs w:val="20"/>
          <w:color w:val="auto"/>
        </w:rPr>
      </w:pPr>
      <w:r>
        <w:rPr>
          <w:rFonts w:ascii="Times New Roman" w:cs="Times New Roman" w:eastAsia="Times New Roman" w:hAnsi="Times New Roman"/>
          <w:sz w:val="16"/>
          <w:szCs w:val="16"/>
          <w:color w:val="auto"/>
        </w:rPr>
        <w:t>The Company shall enter into an appropriate agency agreement, which shall incorporate the provisions of the TIA, with any Agent that is not a party to this Indenture. The agreement shall implement the provisions of this Indenture that relate to such Agent. The Company shall notify the Trustee of the name and address of any such Agent. If the Company fails to maintain a Registrar or Paying Agent, or fails to give the foregoing notice, the Trustee shall act as such and shall be entitled to appropriate compensation in accordance with Section 7.06.</w:t>
      </w:r>
    </w:p>
    <w:p>
      <w:pPr>
        <w:spacing w:after="0" w:line="3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04" w:name="page205"/>
    <w:bookmarkEnd w:id="204"/>
    <w:p>
      <w:pPr>
        <w:ind w:right="80" w:firstLine="585"/>
        <w:spacing w:after="0" w:line="271" w:lineRule="auto"/>
        <w:rPr>
          <w:sz w:val="20"/>
          <w:szCs w:val="20"/>
          <w:color w:val="auto"/>
        </w:rPr>
      </w:pPr>
      <w:r>
        <w:rPr>
          <w:rFonts w:ascii="Times New Roman" w:cs="Times New Roman" w:eastAsia="Times New Roman" w:hAnsi="Times New Roman"/>
          <w:sz w:val="16"/>
          <w:szCs w:val="16"/>
          <w:color w:val="auto"/>
        </w:rPr>
        <w:t>The Company initially appoints the Trustee as Registrar, Paying Agent and Agent for service of notices and demands in connection with the Securities and this Indenture, and the Corporate Trust Office of the Trustee as the office or agency of the Company for such purposes, and the Company may change the Paying Agent without prior notice to the Holders. The Company or any of its Subsidiaries may act as Paying Agent.</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2.06. Paying Agent To Hold Money in Trust.</w:t>
      </w:r>
    </w:p>
    <w:p>
      <w:pPr>
        <w:spacing w:after="0" w:line="208" w:lineRule="exact"/>
        <w:rPr>
          <w:sz w:val="20"/>
          <w:szCs w:val="20"/>
          <w:color w:val="auto"/>
        </w:rPr>
      </w:pPr>
    </w:p>
    <w:p>
      <w:pPr>
        <w:ind w:firstLine="585"/>
        <w:spacing w:after="0" w:line="258" w:lineRule="auto"/>
        <w:rPr>
          <w:sz w:val="20"/>
          <w:szCs w:val="20"/>
          <w:color w:val="auto"/>
        </w:rPr>
      </w:pPr>
      <w:r>
        <w:rPr>
          <w:rFonts w:ascii="Times New Roman" w:cs="Times New Roman" w:eastAsia="Times New Roman" w:hAnsi="Times New Roman"/>
          <w:sz w:val="16"/>
          <w:szCs w:val="16"/>
          <w:color w:val="auto"/>
        </w:rPr>
        <w:t xml:space="preserve">Each Paying Agent shall hold in trust for the benefit of the Holders or the Trustee all money held by the Paying Agent for the payment of principal of, premium, if any, or interest on the Securities (whether such money has been paid to it by the Company or any other obligor on the Securities), and the Company and the Paying Agent shall notify the Trustee of any default by the Company (or any other obligor on the Securities) in making any such payment. Money held in trust by the Paying Agent need not be segregated except as required by law and in no event shall the Paying Agent be liable for any interest on any money received by it hereunder;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Company or an Affiliate thereof acts as Paying Agent, it shall segregate the money held by it as Paying Agent and hold such money in a separate trust fund. The Company at any time may require the Paying Agent to pay all money held by it to the Trustee and account for any funds disbursed, and the Trustee may at any time during the continuance of any Event of Default specified in Section 6.01(1) or (2), upon written request to the Paying Agent, require the Paying Agent to pay forthwith all money so held by it to the Trustee and to account for any funds disbursed. Upon making such payment, the Paying Agent shall have no further liability for the money delivered to the Trustee. Any money deposited with the Trustee or any Paying Agent, or then held by the Company in trust for the payment of the principal of, or premium, if any, or interest on any Security shall not be subject to claims of the holders of Senior Indebtedness or Subordinated Indebtedness under Section 10.9 or Article XIII.</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2.07. Holder Lists.</w:t>
      </w:r>
    </w:p>
    <w:p>
      <w:pPr>
        <w:spacing w:after="0" w:line="208" w:lineRule="exact"/>
        <w:rPr>
          <w:sz w:val="20"/>
          <w:szCs w:val="20"/>
          <w:color w:val="auto"/>
        </w:rPr>
      </w:pPr>
    </w:p>
    <w:p>
      <w:pPr>
        <w:ind w:right="200" w:firstLine="585"/>
        <w:spacing w:after="0" w:line="265" w:lineRule="auto"/>
        <w:rPr>
          <w:sz w:val="20"/>
          <w:szCs w:val="20"/>
          <w:color w:val="auto"/>
        </w:rPr>
      </w:pPr>
      <w:r>
        <w:rPr>
          <w:rFonts w:ascii="Times New Roman" w:cs="Times New Roman" w:eastAsia="Times New Roman" w:hAnsi="Times New Roman"/>
          <w:sz w:val="16"/>
          <w:szCs w:val="16"/>
          <w:color w:val="auto"/>
        </w:rPr>
        <w:t xml:space="preserve">The Trustee shall preserve in as current a form as is reasonably practicable the most recent list available to it of the names and addresses of the Holders of each series of Securities. If the Trustee is not the Registrar, the Company shall furnish to the Trustee at least five Business Days before each Interest Payment Date, and at such other times as the Trustee may request in writing, a list in such form and as of such date as the Trustee may reasonably require of the names and addresses of the Holders;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as long as the Trustee is the Registrar, no such list need be furnished.</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2.08. Transfer and Exchange.</w:t>
      </w:r>
    </w:p>
    <w:p>
      <w:pPr>
        <w:spacing w:after="0" w:line="208" w:lineRule="exact"/>
        <w:rPr>
          <w:sz w:val="20"/>
          <w:szCs w:val="20"/>
          <w:color w:val="auto"/>
        </w:rPr>
      </w:pPr>
    </w:p>
    <w:p>
      <w:pPr>
        <w:ind w:right="20" w:firstLine="582"/>
        <w:spacing w:after="0" w:line="258" w:lineRule="auto"/>
        <w:tabs>
          <w:tab w:leader="none" w:pos="846"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Securities are presented to the Registrar with a request from the Holder of such Securities to register a transfer or to exchange them for an equal principal amount of Securities of other authorized denominations of the same series, the Registrar shall register the transfer as requested. Every Security presented or surrendered for registration of transfer or exchange shall be duly endorsed or be accompanied by a written instrument of transfer in form satisfactory to the Company and the Registrar, duly executed by the Holder thereof or its attorney duly authorized in writing. To permit registrations of transfers and exchanges, the Company shall issue and execute, and the Trustee shall authenticate, new Securities evidencing such transfer or exchange at the Registrar’s request. No service charge shall be made to the Holder for any registration of transfer or exchange. The Company may require from the Holder payment of a sum sufficient to cover any transfer taxes or other governmental charge that may be imposed in relation to a transfer or exchange, but this provision shall not apply to any exchange pursuant to Section 2.12, 3.07 or 8.04 (in which events the Company shall be responsible for the payment of such taxes). The Registrar shall not be required to exchange or register a transfer of any Security of any series for a period of 15 days immediately preceding the redemption of Securities of such series, except the unredeemed portion of any Security being redeemed in part.</w:t>
      </w:r>
    </w:p>
    <w:p>
      <w:pPr>
        <w:spacing w:after="0" w:line="168" w:lineRule="exact"/>
        <w:rPr>
          <w:rFonts w:ascii="Times New Roman" w:cs="Times New Roman" w:eastAsia="Times New Roman" w:hAnsi="Times New Roman"/>
          <w:sz w:val="16"/>
          <w:szCs w:val="16"/>
          <w:color w:val="auto"/>
        </w:rPr>
      </w:pPr>
    </w:p>
    <w:p>
      <w:pPr>
        <w:ind w:right="160" w:firstLine="582"/>
        <w:spacing w:after="0" w:line="265" w:lineRule="auto"/>
        <w:tabs>
          <w:tab w:leader="none" w:pos="855"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due presentation for registration of transfer or exchange of any Security, the Company, the Trustee, the Paying Agent, the Registrar, any co-Registrar or any of their agents may deem and treat the Person in whose name a Security is registered as the absolute owner of such Security (whether or not such Security shall be overdue and notwithstanding any notation of ownership or other writing thereon) for all purposes whatsoever, and none of the Company, the Trustee, the Paying Agent, the Registrar, any co-Registrar or any of their agents shall be affected by any notice to the contrary.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5" w:name="page206"/>
    <w:bookmarkEnd w:id="205"/>
    <w:p>
      <w:pPr>
        <w:ind w:right="60" w:firstLine="582"/>
        <w:spacing w:after="0" w:line="259" w:lineRule="auto"/>
        <w:tabs>
          <w:tab w:leader="none" w:pos="846"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a Successor Company has executed an indenture supplemental hereto with the Trustee, any of the Securities authenticated or delivered pursuant to such transaction may, from time to time, at the request of the Successor Company, be exchanged for other Securities executed in the name of the Successor Company with such changes in phraseology and form as may be appropriate, but otherwise identical to the Securities surrendered for such exchange and of like principal amount; and the Trustee, upon Company Order of the Successor Company, shall authenticate and deliver Securities as specified in such order for the purpose of such exchange. If Securities shall at any time be authenticated and delivered in any new name of a Successor Company pursuant to this Section 2.08 in exchange or substitution for or upon registration of transfer of any Securities, such Successor Company, at the option of the Holders but without expense to them, shall provide for the exchange of all Securities at the time outstanding for Securities authenticated and delivered in such new name.</w:t>
      </w:r>
    </w:p>
    <w:p>
      <w:pPr>
        <w:spacing w:after="0" w:line="169" w:lineRule="exact"/>
        <w:rPr>
          <w:rFonts w:ascii="Times New Roman" w:cs="Times New Roman" w:eastAsia="Times New Roman" w:hAnsi="Times New Roman"/>
          <w:sz w:val="16"/>
          <w:szCs w:val="16"/>
          <w:color w:val="auto"/>
        </w:rPr>
      </w:pPr>
    </w:p>
    <w:p>
      <w:pPr>
        <w:ind w:right="80" w:firstLine="582"/>
        <w:spacing w:after="0" w:line="288" w:lineRule="auto"/>
        <w:tabs>
          <w:tab w:leader="none" w:pos="855"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Holder of a Security agrees to indemnify the Company, the Guarantors and the Trustee against any liability that may result from the transfer, exchange or assignment of such Holder’s Security in violation of any provision of this Indenture and/or applicable United States federal or state securities laws.</w:t>
      </w:r>
    </w:p>
    <w:p>
      <w:pPr>
        <w:spacing w:after="0" w:line="143" w:lineRule="exact"/>
        <w:rPr>
          <w:rFonts w:ascii="Times New Roman" w:cs="Times New Roman" w:eastAsia="Times New Roman" w:hAnsi="Times New Roman"/>
          <w:sz w:val="16"/>
          <w:szCs w:val="16"/>
          <w:color w:val="auto"/>
        </w:rPr>
      </w:pPr>
    </w:p>
    <w:p>
      <w:pPr>
        <w:jc w:val="both"/>
        <w:ind w:right="40" w:firstLine="582"/>
        <w:spacing w:after="0" w:line="265" w:lineRule="auto"/>
        <w:tabs>
          <w:tab w:leader="none" w:pos="846"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Trustee, the Paying Agent or the Registrar shall have any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2.09. Replacement Securities.</w:t>
      </w:r>
    </w:p>
    <w:p>
      <w:pPr>
        <w:spacing w:after="0" w:line="208" w:lineRule="exact"/>
        <w:rPr>
          <w:sz w:val="20"/>
          <w:szCs w:val="20"/>
          <w:color w:val="auto"/>
        </w:rPr>
      </w:pPr>
    </w:p>
    <w:p>
      <w:pPr>
        <w:ind w:right="60" w:firstLine="585"/>
        <w:spacing w:after="0" w:line="259" w:lineRule="auto"/>
        <w:rPr>
          <w:sz w:val="20"/>
          <w:szCs w:val="20"/>
          <w:color w:val="auto"/>
        </w:rPr>
      </w:pPr>
      <w:r>
        <w:rPr>
          <w:rFonts w:ascii="Times New Roman" w:cs="Times New Roman" w:eastAsia="Times New Roman" w:hAnsi="Times New Roman"/>
          <w:sz w:val="16"/>
          <w:szCs w:val="16"/>
          <w:color w:val="auto"/>
        </w:rPr>
        <w:t>If a mutilated Security of any series is surrendered to the Registrar or the Trustee, or if the Holder of a Security of any series claims that the Security has been lost, destroyed or wrongfully taken, the Company shall issue and the Trustee shall authenticate a replacement Security of such series if the Holder of such Security furnishes to the Company and the Trustee evidence reasonably acceptable to them of the ownership and the destruction, loss or theft of such Security and if the requirements of Section 8-405 of the New York Uniform Commercial Code as in effect on the date of this Indenture are met. If required by the Trustee or the Company, an indemnity bond shall be posted, sufficient in the judgment of all to protect the Company, the Trustee or any Paying Agent from any loss that any of them may suffer if such Security is replaced. The Company may charge such Holder for the Company’s reasonable out-of-pocket expenses in replacing such Security and the Trustee may charge the Company for the Trustee’s expenses (including, without limitation, attorneys’ fees and disbursements) in replacing such Security. Every replacement Security shall constitute a contractual obligation of the Company.</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2.10. Outstanding Securities.</w:t>
      </w:r>
    </w:p>
    <w:p>
      <w:pPr>
        <w:spacing w:after="0" w:line="208" w:lineRule="exact"/>
        <w:rPr>
          <w:sz w:val="20"/>
          <w:szCs w:val="20"/>
          <w:color w:val="auto"/>
        </w:rPr>
      </w:pPr>
    </w:p>
    <w:p>
      <w:pPr>
        <w:ind w:firstLine="585"/>
        <w:spacing w:after="0" w:line="265" w:lineRule="auto"/>
        <w:rPr>
          <w:sz w:val="20"/>
          <w:szCs w:val="20"/>
          <w:color w:val="auto"/>
        </w:rPr>
      </w:pPr>
      <w:r>
        <w:rPr>
          <w:rFonts w:ascii="Times New Roman" w:cs="Times New Roman" w:eastAsia="Times New Roman" w:hAnsi="Times New Roman"/>
          <w:sz w:val="16"/>
          <w:szCs w:val="16"/>
          <w:color w:val="auto"/>
        </w:rPr>
        <w:t>The Securities outstanding at any time are all Securities that have been authenticated by the Trustee except for (a) those canceled by it, (b) those delivered to it for cancellation, (c) to the extent set forth in Sections 9.02 and 9.03, on or after the date on which the conditions set forth in Section 9.02 or 9.03 have been satisfied, those Securities theretofore authenticated and delivered by the Trustee hereunder and (d) those described in this Section 2.10 as not outstanding. Subject to Section 2.11, a Security does not cease to be outstanding because the Company or one of its Affiliates holds the Security.</w:t>
      </w:r>
    </w:p>
    <w:p>
      <w:pPr>
        <w:spacing w:after="0" w:line="162" w:lineRule="exact"/>
        <w:rPr>
          <w:sz w:val="20"/>
          <w:szCs w:val="20"/>
          <w:color w:val="auto"/>
        </w:rPr>
      </w:pPr>
    </w:p>
    <w:p>
      <w:pPr>
        <w:ind w:right="80" w:firstLine="585"/>
        <w:spacing w:after="0" w:line="288" w:lineRule="auto"/>
        <w:rPr>
          <w:sz w:val="20"/>
          <w:szCs w:val="20"/>
          <w:color w:val="auto"/>
        </w:rPr>
      </w:pPr>
      <w:r>
        <w:rPr>
          <w:rFonts w:ascii="Times New Roman" w:cs="Times New Roman" w:eastAsia="Times New Roman" w:hAnsi="Times New Roman"/>
          <w:sz w:val="16"/>
          <w:szCs w:val="16"/>
          <w:color w:val="auto"/>
        </w:rPr>
        <w:t>If a Security is replaced pursuant to Section 2.09, it ceases to be outstanding unless the Trustee receives proof satisfactory to it that the replaced Security is held by a bona fide purchaser in whose hands such Security is a legal, valid and binding obligation of the Company.</w:t>
      </w:r>
    </w:p>
    <w:p>
      <w:pPr>
        <w:spacing w:after="0" w:line="143" w:lineRule="exact"/>
        <w:rPr>
          <w:sz w:val="20"/>
          <w:szCs w:val="20"/>
          <w:color w:val="auto"/>
        </w:rPr>
      </w:pPr>
    </w:p>
    <w:p>
      <w:pPr>
        <w:ind w:right="140" w:firstLine="585"/>
        <w:spacing w:after="0" w:line="271" w:lineRule="auto"/>
        <w:rPr>
          <w:sz w:val="20"/>
          <w:szCs w:val="20"/>
          <w:color w:val="auto"/>
        </w:rPr>
      </w:pPr>
      <w:r>
        <w:rPr>
          <w:rFonts w:ascii="Times New Roman" w:cs="Times New Roman" w:eastAsia="Times New Roman" w:hAnsi="Times New Roman"/>
          <w:sz w:val="16"/>
          <w:szCs w:val="16"/>
          <w:color w:val="auto"/>
        </w:rPr>
        <w:t>If the Paying Agent holds, in its capacity as such, on any Maturity Date, money sufficient to pay all accrued interest and principal with respect to the Securities payable on that date and is not prohibited from paying such money to the Holders thereof pursuant to the terms of this Indenture, then on and after that date such Securities cease to be outstanding and interest on them ceases to accrue.</w:t>
      </w:r>
    </w:p>
    <w:p>
      <w:pPr>
        <w:spacing w:after="0" w:line="156" w:lineRule="exact"/>
        <w:rPr>
          <w:sz w:val="20"/>
          <w:szCs w:val="20"/>
          <w:color w:val="auto"/>
        </w:rPr>
      </w:pPr>
    </w:p>
    <w:p>
      <w:pPr>
        <w:ind w:right="60" w:firstLine="585"/>
        <w:spacing w:after="0" w:line="265" w:lineRule="auto"/>
        <w:rPr>
          <w:sz w:val="20"/>
          <w:szCs w:val="20"/>
          <w:color w:val="auto"/>
        </w:rPr>
      </w:pPr>
      <w:r>
        <w:rPr>
          <w:rFonts w:ascii="Times New Roman" w:cs="Times New Roman" w:eastAsia="Times New Roman" w:hAnsi="Times New Roman"/>
          <w:sz w:val="16"/>
          <w:szCs w:val="16"/>
          <w:color w:val="auto"/>
        </w:rPr>
        <w:t>For each series of Original Issue Discount Securities, the principal amount of such Securities that shall be deemed to be outstanding and used to determine whether the necessary Holders have given any request, demand, authorization, direction, notice, consent or waiver shall be the amount of the principal thereof that would be due and payable as of the date of such determination upon a declaration of acceleration of the maturity thereof pursuant to Section 6.02. The principal amount of a Security denominated in a Foreign Currency that shall be deemed to be outstanding for such purposes shall be the amount calculated pursuant to Section 2.20(b).</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6" w:name="page207"/>
    <w:bookmarkEnd w:id="206"/>
    <w:p>
      <w:pPr>
        <w:ind w:left="580"/>
        <w:spacing w:after="0"/>
        <w:rPr>
          <w:sz w:val="20"/>
          <w:szCs w:val="20"/>
          <w:color w:val="auto"/>
        </w:rPr>
      </w:pPr>
      <w:r>
        <w:rPr>
          <w:rFonts w:ascii="Times New Roman" w:cs="Times New Roman" w:eastAsia="Times New Roman" w:hAnsi="Times New Roman"/>
          <w:sz w:val="16"/>
          <w:szCs w:val="16"/>
          <w:i w:val="1"/>
          <w:iCs w:val="1"/>
          <w:color w:val="auto"/>
        </w:rPr>
        <w:t>Section 2.11. Treasury Securities.</w:t>
      </w:r>
    </w:p>
    <w:p>
      <w:pPr>
        <w:spacing w:after="0" w:line="208" w:lineRule="exact"/>
        <w:rPr>
          <w:sz w:val="20"/>
          <w:szCs w:val="20"/>
          <w:color w:val="auto"/>
        </w:rPr>
      </w:pPr>
    </w:p>
    <w:p>
      <w:pPr>
        <w:ind w:firstLine="585"/>
        <w:spacing w:after="0" w:line="259" w:lineRule="auto"/>
        <w:rPr>
          <w:sz w:val="20"/>
          <w:szCs w:val="20"/>
          <w:color w:val="auto"/>
        </w:rPr>
      </w:pPr>
      <w:r>
        <w:rPr>
          <w:rFonts w:ascii="Times New Roman" w:cs="Times New Roman" w:eastAsia="Times New Roman" w:hAnsi="Times New Roman"/>
          <w:sz w:val="16"/>
          <w:szCs w:val="16"/>
          <w:color w:val="auto"/>
        </w:rPr>
        <w:t>In determining whether the Holders of the required principal amount of Securities of a series have concurred in any declaration of acceleration or notice of default or direction, waiver or consent or any amendment, modification or other change to this Indenture, Securities owned by the Company or any other Affiliate of the Company shall be disregarded as though they were not outstanding, except that for the purposes of determining whether the Trustee shall be protected in relying on any such direction, waiver or consent or any amendment, modification or other change to this Indenture, only Securities as to which a Responsible Officer of the Trustee has actually received an Officer’s Certificate stating that such Securities are so owned shall be so disregarded. Securities so owned which have been pledged in good faith shall not be disregarded if the pledgee established to the satisfaction of the Trustee the pledgee’s right so to act with respect to the Securities and that the pledgee is not the Company, any other obligor on the Securities or any of their respective Affiliates.</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2.12. Temporary Securities.</w:t>
      </w:r>
    </w:p>
    <w:p>
      <w:pPr>
        <w:spacing w:after="0" w:line="208" w:lineRule="exact"/>
        <w:rPr>
          <w:sz w:val="20"/>
          <w:szCs w:val="20"/>
          <w:color w:val="auto"/>
        </w:rPr>
      </w:pPr>
    </w:p>
    <w:p>
      <w:pPr>
        <w:ind w:right="360" w:firstLine="585"/>
        <w:spacing w:after="0" w:line="262" w:lineRule="auto"/>
        <w:rPr>
          <w:sz w:val="20"/>
          <w:szCs w:val="20"/>
          <w:color w:val="auto"/>
        </w:rPr>
      </w:pPr>
      <w:r>
        <w:rPr>
          <w:rFonts w:ascii="Times New Roman" w:cs="Times New Roman" w:eastAsia="Times New Roman" w:hAnsi="Times New Roman"/>
          <w:sz w:val="16"/>
          <w:szCs w:val="16"/>
          <w:color w:val="auto"/>
        </w:rPr>
        <w:t>Until definitive Securities are prepared and ready for delivery, the Company may prepare and the Trustee shall authenticate temporary Securities. Temporary Securities shall be substantially in the form of definitive Securities but may have variations that the Company considers appropriate for temporary Securities. Any such temporary Security may be in the form of one or more Global Securities, representing all or a portion of the Securities of such series. Without unreasonable delay, the Company shall prepare and the Trustee shall authenticate definitive Securities in exchange for temporary Securities. Until such exchange, temporary Securities shall be entitled to the same rights, benefits and privileges as definitive Securities.</w:t>
      </w:r>
    </w:p>
    <w:p>
      <w:pPr>
        <w:spacing w:after="0" w:line="165" w:lineRule="exact"/>
        <w:rPr>
          <w:sz w:val="20"/>
          <w:szCs w:val="20"/>
          <w:color w:val="auto"/>
        </w:rPr>
      </w:pPr>
    </w:p>
    <w:p>
      <w:pPr>
        <w:jc w:val="both"/>
        <w:ind w:right="40" w:firstLine="585"/>
        <w:spacing w:after="0" w:line="271" w:lineRule="auto"/>
        <w:rPr>
          <w:sz w:val="20"/>
          <w:szCs w:val="20"/>
          <w:color w:val="auto"/>
        </w:rPr>
      </w:pPr>
      <w:r>
        <w:rPr>
          <w:rFonts w:ascii="Times New Roman" w:cs="Times New Roman" w:eastAsia="Times New Roman" w:hAnsi="Times New Roman"/>
          <w:sz w:val="16"/>
          <w:szCs w:val="16"/>
          <w:color w:val="auto"/>
        </w:rPr>
        <w:t>Upon any exchange of a portion of a temporary Global Security for a definitive Global Security or for the Individual Securities represented thereby pursuant to this Section 2.12 or Section 2.08, the temporary Global Security shall be endorsed by the Trustee to reflect the reduction of the principal amount evidenced thereby, whereupon the principal amount of such temporary Global Security shall be reduced for all purposes by the amount so exchanged and endorsed.</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2.13. Cancellation.</w:t>
      </w:r>
    </w:p>
    <w:p>
      <w:pPr>
        <w:spacing w:after="0" w:line="208" w:lineRule="exact"/>
        <w:rPr>
          <w:sz w:val="20"/>
          <w:szCs w:val="20"/>
          <w:color w:val="auto"/>
        </w:rPr>
      </w:pPr>
    </w:p>
    <w:p>
      <w:pPr>
        <w:ind w:right="120" w:firstLine="585"/>
        <w:spacing w:after="0" w:line="262" w:lineRule="auto"/>
        <w:rPr>
          <w:sz w:val="20"/>
          <w:szCs w:val="20"/>
          <w:color w:val="auto"/>
        </w:rPr>
      </w:pPr>
      <w:r>
        <w:rPr>
          <w:rFonts w:ascii="Times New Roman" w:cs="Times New Roman" w:eastAsia="Times New Roman" w:hAnsi="Times New Roman"/>
          <w:sz w:val="16"/>
          <w:szCs w:val="16"/>
          <w:color w:val="auto"/>
        </w:rPr>
        <w:t>The Company at any time may deliver Securities to the Trustee for cancellation along with a Company Order directing the cancellation thereof. The Registrar and the Paying Agent shall forward to the Trustee any Securities surrendered to them for registration of transfer, exchange, payment or credit against any sinking fund. The Trustee shall cancel all Securities surrendered for registration of transfer, exchange, payment, replacement or cancellation and shall deliver such canceled Securities to the Company. The Company may not reissue or resell, or issue new Securities to replace Securities that the Company has redeemed or paid, or that have been delivered to the Trustee for cancellation (other than in accordance with this Indenture).</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2.14. Defaulted Interest.</w:t>
      </w:r>
    </w:p>
    <w:p>
      <w:pPr>
        <w:spacing w:after="0" w:line="206" w:lineRule="exact"/>
        <w:rPr>
          <w:sz w:val="20"/>
          <w:szCs w:val="20"/>
          <w:color w:val="auto"/>
        </w:rPr>
      </w:pPr>
    </w:p>
    <w:p>
      <w:pPr>
        <w:ind w:right="160" w:firstLine="585"/>
        <w:spacing w:after="0" w:line="260" w:lineRule="auto"/>
        <w:rPr>
          <w:sz w:val="20"/>
          <w:szCs w:val="20"/>
          <w:color w:val="auto"/>
        </w:rPr>
      </w:pPr>
      <w:r>
        <w:rPr>
          <w:rFonts w:ascii="Times New Roman" w:cs="Times New Roman" w:eastAsia="Times New Roman" w:hAnsi="Times New Roman"/>
          <w:sz w:val="16"/>
          <w:szCs w:val="16"/>
          <w:color w:val="auto"/>
        </w:rPr>
        <w:t xml:space="preserve">If the Company defaults on a payment of interest on the Securities, it shall pay the defaulted interest,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(to the extent permitted by law) any interest payable on the defaulted interest, in accordance with the terms hereof, to the Persons who are Holders on a subsequent special record date, which date shall be at least five Business Days prior to the payment date. The Company shall fix such special record date and payment date in a manner satisfactory to the Trustee. At least 10 days before such special record date, the Company shall deliver in accordance with the procedures of the Depositary to each Holder a notice that states the special record date, the payment date and the amount of defaulted interest to be paid. The Company may make payment of any defaulted interest in any other lawful manner not inconsistent with the requirements (if applicable) of any securities exchange on which the Securities may be listed and, upon such notice as may be required by such exchange, if, after written notice given by the Company to the Trustee of the proposed payment pursuant to this sentence, such manner of payment shall be deemed practicable by the Trustee.</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7" w:name="page208"/>
    <w:bookmarkEnd w:id="207"/>
    <w:p>
      <w:pPr>
        <w:ind w:left="580"/>
        <w:spacing w:after="0"/>
        <w:rPr>
          <w:sz w:val="20"/>
          <w:szCs w:val="20"/>
          <w:color w:val="auto"/>
        </w:rPr>
      </w:pPr>
      <w:r>
        <w:rPr>
          <w:rFonts w:ascii="Times New Roman" w:cs="Times New Roman" w:eastAsia="Times New Roman" w:hAnsi="Times New Roman"/>
          <w:sz w:val="16"/>
          <w:szCs w:val="16"/>
          <w:i w:val="1"/>
          <w:iCs w:val="1"/>
          <w:color w:val="auto"/>
        </w:rPr>
        <w:t>Section 2.15. Identifying Number.</w:t>
      </w:r>
    </w:p>
    <w:p>
      <w:pPr>
        <w:spacing w:after="0" w:line="208" w:lineRule="exact"/>
        <w:rPr>
          <w:sz w:val="20"/>
          <w:szCs w:val="20"/>
          <w:color w:val="auto"/>
        </w:rPr>
      </w:pPr>
    </w:p>
    <w:p>
      <w:pPr>
        <w:ind w:firstLine="585"/>
        <w:spacing w:after="0" w:line="262" w:lineRule="auto"/>
        <w:rPr>
          <w:sz w:val="20"/>
          <w:szCs w:val="20"/>
          <w:color w:val="auto"/>
        </w:rPr>
      </w:pPr>
      <w:r>
        <w:rPr>
          <w:rFonts w:ascii="Times New Roman" w:cs="Times New Roman" w:eastAsia="Times New Roman" w:hAnsi="Times New Roman"/>
          <w:sz w:val="16"/>
          <w:szCs w:val="16"/>
          <w:color w:val="auto"/>
        </w:rPr>
        <w:t xml:space="preserve">The Company in issuing the Securities of a series may use a “CUSIP,” “ISIN” or other similar number, and if so, such CUSIP, ISIN or other similar number shall be included in notices of redemption or exchange as a convenience to Holders;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such notice may state that no representation is made as to the correctness or accuracy of the CUSIP, ISIN or other similar number printed in the notice or on the Securities of such series, and that reliance may be placed only on the other identification numbers printed on the Securities of such series. The Company shall promptly notify the Trustee of any such CUSIP, ISIN or other similar number used by the Company in connection with the issuance of Securities of a series and of any change in the CUSIP, ISIN or other similar number.</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2.16. Deposit of Moneys.</w:t>
      </w:r>
    </w:p>
    <w:p>
      <w:pPr>
        <w:spacing w:after="0" w:line="208" w:lineRule="exact"/>
        <w:rPr>
          <w:sz w:val="20"/>
          <w:szCs w:val="20"/>
          <w:color w:val="auto"/>
        </w:rPr>
      </w:pPr>
    </w:p>
    <w:p>
      <w:pPr>
        <w:ind w:right="20" w:firstLine="585"/>
        <w:spacing w:after="0" w:line="261" w:lineRule="auto"/>
        <w:rPr>
          <w:sz w:val="20"/>
          <w:szCs w:val="20"/>
          <w:color w:val="auto"/>
        </w:rPr>
      </w:pPr>
      <w:r>
        <w:rPr>
          <w:rFonts w:ascii="Times New Roman" w:cs="Times New Roman" w:eastAsia="Times New Roman" w:hAnsi="Times New Roman"/>
          <w:sz w:val="16"/>
          <w:szCs w:val="16"/>
          <w:color w:val="auto"/>
        </w:rPr>
        <w:t>Prior to 11:00 a.m., New York City time, on each Interest Payment Date and Maturity Date, the Company shall have deposited with the Paying Agent in immediately available funds money in the Currency in which such Securities are denominated sufficient to make cash payments, if any, due on such Interest Payment Date or Maturity Date, as the case may be, in a timely manner which permits the Trustee to remit payment to the Holders on such Interest Payment Date or Maturity Date, as the case may be. The principal and interest on a Global Security shall be payable to the Depositary of such Global Security or its nominee, as the case may be, as the sole registered owner and the sole Holder of the Securities represented thereby. The principal and interest on Individual Securities shall be payable, either in person or by mail, at the office of the Paying Agent.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2.17. Global Securities.</w:t>
      </w:r>
    </w:p>
    <w:p>
      <w:pPr>
        <w:spacing w:after="0" w:line="208" w:lineRule="exact"/>
        <w:rPr>
          <w:sz w:val="20"/>
          <w:szCs w:val="20"/>
          <w:color w:val="auto"/>
        </w:rPr>
      </w:pPr>
    </w:p>
    <w:p>
      <w:pPr>
        <w:ind w:right="80" w:firstLine="582"/>
        <w:spacing w:after="0" w:line="262" w:lineRule="auto"/>
        <w:tabs>
          <w:tab w:leader="none" w:pos="846"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shall establish pursuant to Section 2.02 that the Securities of a series are to be issued in whole or in part in the form of one or more Global Securities, then the Company shall execute and the Trustee shall authenticate and deliver one or more Global Securities that (i) shall represent an aggregate amount equal to the aggregate principal amount of the outstanding Securities of such series to be represented by such Global Securities, (ii) shall be registered in the name of the Depositary for such Global Security or Global Securities or the nominee of such Depositary, (iii) shall be delivered by the Trustee to such Depositary or pursuant to such Depositary’s instruction and (iv) shall bear a legend substantially to the following effect, or such other legend(s) as the Company and the Depositary may agree:</w:t>
      </w:r>
    </w:p>
    <w:p>
      <w:pPr>
        <w:spacing w:after="0" w:line="165" w:lineRule="exact"/>
        <w:rPr>
          <w:sz w:val="20"/>
          <w:szCs w:val="20"/>
          <w:color w:val="auto"/>
        </w:rPr>
      </w:pPr>
    </w:p>
    <w:p>
      <w:pPr>
        <w:ind w:left="580" w:right="600"/>
        <w:spacing w:after="0" w:line="271" w:lineRule="auto"/>
        <w:rPr>
          <w:sz w:val="20"/>
          <w:szCs w:val="20"/>
          <w:color w:val="auto"/>
        </w:rPr>
      </w:pPr>
      <w:r>
        <w:rPr>
          <w:rFonts w:ascii="Times New Roman" w:cs="Times New Roman" w:eastAsia="Times New Roman" w:hAnsi="Times New Roman"/>
          <w:sz w:val="16"/>
          <w:szCs w:val="16"/>
          <w:color w:val="auto"/>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spacing w:after="0" w:line="156" w:lineRule="exact"/>
        <w:rPr>
          <w:sz w:val="20"/>
          <w:szCs w:val="20"/>
          <w:color w:val="auto"/>
        </w:rPr>
      </w:pPr>
    </w:p>
    <w:p>
      <w:pPr>
        <w:ind w:left="580" w:right="580"/>
        <w:spacing w:after="0" w:line="259" w:lineRule="auto"/>
        <w:rPr>
          <w:sz w:val="20"/>
          <w:szCs w:val="20"/>
          <w:color w:val="auto"/>
        </w:rPr>
      </w:pPr>
      <w:r>
        <w:rPr>
          <w:rFonts w:ascii="Times New Roman" w:cs="Times New Roman" w:eastAsia="Times New Roman" w:hAnsi="Times New Roman"/>
          <w:sz w:val="16"/>
          <w:szCs w:val="16"/>
          <w:color w:val="auto"/>
        </w:rPr>
        <w:t>UNLESS THIS CERTIFICATE IS PRESENTED BY AN AUTHORIZED REPRESENTATIVE OF [THE DEPOSITARY] TO THE COMPANY OR ITS AGENT FOR REGISTRATION OF TRANSFER, EXCHANGE OR PAYMENT, AND ANY CERTIFICATE ISSUED IS REGISTERED IN THE NAME OF [THE NOMINEE OF THE DEPOSITARY] OR IN SUCH OTHER NAME AS IS REQUESTED BY AN AUTHORIZED REPRESENTATIVE OF [THE DEPOSITARY] (AND ANY PAYMENT HEREON IS MADE TO [THE NOMINEE OF THE DEPOSITARY] OR TO SUCH OTHER ENTITY AS IS REQUESTED BY AN AUTHORIZED REPRESENTATIVE OF [THE DEPOSITARY]), ANY TRANSFER, PLEDGE OR OTHER USE HEREOF FOR VALUE OR OTHERWISE BY OR TO ANY PERSON IS WRONGFUL SINCE THE REGISTERED OWNER HEREOF, [THE NOMINEE OF THE DEPOSITARY], HAS AN INTEREST HEREIN.</w:t>
      </w:r>
    </w:p>
    <w:p>
      <w:pPr>
        <w:spacing w:after="0" w:line="169" w:lineRule="exact"/>
        <w:rPr>
          <w:sz w:val="20"/>
          <w:szCs w:val="20"/>
          <w:color w:val="auto"/>
        </w:rPr>
      </w:pPr>
    </w:p>
    <w:p>
      <w:pPr>
        <w:ind w:left="580" w:right="620"/>
        <w:spacing w:after="0" w:line="265" w:lineRule="auto"/>
        <w:rPr>
          <w:sz w:val="20"/>
          <w:szCs w:val="20"/>
          <w:color w:val="auto"/>
        </w:rPr>
      </w:pPr>
      <w:r>
        <w:rPr>
          <w:rFonts w:ascii="Times New Roman" w:cs="Times New Roman" w:eastAsia="Times New Roman" w:hAnsi="Times New Roman"/>
          <w:sz w:val="16"/>
          <w:szCs w:val="16"/>
          <w:color w:val="auto"/>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8" w:name="page209"/>
    <w:bookmarkEnd w:id="208"/>
    <w:p>
      <w:pPr>
        <w:ind w:right="80" w:firstLine="585"/>
        <w:spacing w:after="0" w:line="265" w:lineRule="auto"/>
        <w:rPr>
          <w:sz w:val="20"/>
          <w:szCs w:val="20"/>
          <w:color w:val="auto"/>
        </w:rPr>
      </w:pPr>
      <w:r>
        <w:rPr>
          <w:rFonts w:ascii="Times New Roman" w:cs="Times New Roman" w:eastAsia="Times New Roman" w:hAnsi="Times New Roman"/>
          <w:sz w:val="16"/>
          <w:szCs w:val="16"/>
          <w:color w:val="auto"/>
        </w:rPr>
        <w:t>The aggregate principal amount of each Global Security may from time to time be increased or decreased by adjustments made on the records of the Security Custodian, as provided in this Indenture. Any endorsements of a Global Security to reflect the amount of increase or decrease in the amount of outstanding Securities of the series represented thereby shall be made by the Security Custodian in accordance with the standing instructions and procedures existing between the Depositary and the Security Custodian.</w:t>
      </w:r>
    </w:p>
    <w:p>
      <w:pPr>
        <w:spacing w:after="0" w:line="162" w:lineRule="exact"/>
        <w:rPr>
          <w:sz w:val="20"/>
          <w:szCs w:val="20"/>
          <w:color w:val="auto"/>
        </w:rPr>
      </w:pPr>
    </w:p>
    <w:p>
      <w:pPr>
        <w:ind w:right="60" w:firstLine="582"/>
        <w:spacing w:after="0" w:line="288" w:lineRule="auto"/>
        <w:tabs>
          <w:tab w:leader="none" w:pos="855"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Depositary designated pursuant to Section 2.02 for a Global Security in registered form must, at the time of its designation and at all times while it serves as such Depositary, be a clearing agency registered under the Exchange Act and any other applicable statute or regulation.</w:t>
      </w:r>
    </w:p>
    <w:p>
      <w:pPr>
        <w:spacing w:after="0" w:line="141" w:lineRule="exact"/>
        <w:rPr>
          <w:rFonts w:ascii="Times New Roman" w:cs="Times New Roman" w:eastAsia="Times New Roman" w:hAnsi="Times New Roman"/>
          <w:sz w:val="16"/>
          <w:szCs w:val="16"/>
          <w:color w:val="auto"/>
        </w:rPr>
      </w:pPr>
    </w:p>
    <w:p>
      <w:pPr>
        <w:ind w:right="20" w:firstLine="582"/>
        <w:spacing w:after="0" w:line="259" w:lineRule="auto"/>
        <w:tabs>
          <w:tab w:leader="none" w:pos="846"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Members of, or direct or indirect participants in, the Depositary (“</w:t>
      </w:r>
      <w:r>
        <w:rPr>
          <w:rFonts w:ascii="Times New Roman" w:cs="Times New Roman" w:eastAsia="Times New Roman" w:hAnsi="Times New Roman"/>
          <w:sz w:val="16"/>
          <w:szCs w:val="16"/>
          <w:i w:val="1"/>
          <w:iCs w:val="1"/>
          <w:color w:val="auto"/>
        </w:rPr>
        <w:t>Agent Members</w:t>
      </w:r>
      <w:r>
        <w:rPr>
          <w:rFonts w:ascii="Times New Roman" w:cs="Times New Roman" w:eastAsia="Times New Roman" w:hAnsi="Times New Roman"/>
          <w:sz w:val="16"/>
          <w:szCs w:val="16"/>
          <w:color w:val="auto"/>
        </w:rPr>
        <w:t>”) shall have no rights under this Indenture with respect to any Global Security held on their behalf by the Depositary or by the Security Custodian under such Global Security, and the Depositary may be treated by the Company, the Trustee, the Paying Agent and the Registrar and any of their agents as the absolute owner of such Global Security for all purposes whatsoever. Notwithstanding the foregoing, nothing herein shall prevent the Company, the Trustee, the Paying Agent or the Registrar or any of their agents from giving effect to any written certification, proxy or other authorization (which may be in electronic form) furnished by the Depositary or impair, as between the Depositary and its Agent Members, the operation of customary practices of the Depositary governing the exercise of the rights of an owner of a beneficial interest in any Global Security. The Holder of a Global Security may grant proxies and otherwise authorize any Person, including Agent Members and Persons that may hold interests through Agent Members, to take any action that a Holder is entitled to take under this Indenture or the Securities.</w:t>
      </w:r>
    </w:p>
    <w:p>
      <w:pPr>
        <w:spacing w:after="0" w:line="167" w:lineRule="exact"/>
        <w:rPr>
          <w:rFonts w:ascii="Times New Roman" w:cs="Times New Roman" w:eastAsia="Times New Roman" w:hAnsi="Times New Roman"/>
          <w:sz w:val="16"/>
          <w:szCs w:val="16"/>
          <w:color w:val="auto"/>
        </w:rPr>
      </w:pPr>
    </w:p>
    <w:p>
      <w:pPr>
        <w:ind w:right="40" w:firstLine="582"/>
        <w:spacing w:after="0" w:line="258" w:lineRule="auto"/>
        <w:tabs>
          <w:tab w:leader="none" w:pos="855"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Company, any Guarantor, the Trustee, the Registrar, any Paying Agent or any agent of any of them shall have any responsibility or liability for any aspect of the records relating to or payments made on account of beneficial ownership interests in the Securities, for maintaining, supervising or reviewing any records relating to such beneficial owner interests, or for any acts or omissions of a Depositary or for any transactions between a Depositary and any beneficial owner or between or among beneficial owners. No owner of a beneficial interest in the Securities shall have any rights under this Indenture, and the Depositary or its nominee, if any, shall be deemed and treated by the Company, any Guarantor, the Trustee, the Registrar, any Paying Agent or any agent of any of them as the absolute owner and holder of such Securities for all purposes whatsoever. Notwithstanding the foregoing, nothing herein shall prevent the Company, any Guarantor, the Trustee, the Registrar, any Paying Agent or any agent of any of them from giving effect to any written certification, proxy or other authorization furnished by a Depositary, or any of its members and any other Person on whose behalf such member may act, the operation of customary practices of such Persons governing the exercise of the rights of a beneficial owner of any Securities.</w:t>
      </w:r>
    </w:p>
    <w:p>
      <w:pPr>
        <w:spacing w:after="0" w:line="366" w:lineRule="exact"/>
        <w:rPr>
          <w:rFonts w:ascii="Times New Roman" w:cs="Times New Roman" w:eastAsia="Times New Roman" w:hAnsi="Times New Roman"/>
          <w:sz w:val="16"/>
          <w:szCs w:val="16"/>
          <w:color w:val="auto"/>
        </w:rPr>
      </w:pPr>
    </w:p>
    <w:p>
      <w:pPr>
        <w:ind w:left="840" w:hanging="258"/>
        <w:spacing w:after="0"/>
        <w:tabs>
          <w:tab w:leader="none" w:pos="840"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provided below, owners of beneficial interests in Global Securities will not be entitled to receive Individual Securities.</w:t>
      </w:r>
    </w:p>
    <w:p>
      <w:pPr>
        <w:spacing w:after="0" w:line="205" w:lineRule="exact"/>
        <w:rPr>
          <w:rFonts w:ascii="Times New Roman" w:cs="Times New Roman" w:eastAsia="Times New Roman" w:hAnsi="Times New Roman"/>
          <w:sz w:val="16"/>
          <w:szCs w:val="16"/>
          <w:color w:val="auto"/>
        </w:rPr>
      </w:pPr>
    </w:p>
    <w:p>
      <w:pPr>
        <w:ind w:left="580" w:right="140" w:firstLine="587"/>
        <w:spacing w:after="0" w:line="262" w:lineRule="auto"/>
        <w:tabs>
          <w:tab w:leader="none" w:pos="1435" w:val="left"/>
        </w:tabs>
        <w:numPr>
          <w:ilvl w:val="1"/>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Securities shall be issued to all owners of beneficial interests in a Global Security in exchange for such interests if: (A) at any time the Depositary for the Securities of a series notifies the Company that it is unwilling or unable to continue as Depositary for the Securities of such series or if at any time the Depositary for the Securities of such series shall no longer be eligible under Section 2.17(b) and, in each case, a successor Depositary is not appointed by the Company within 90 days of such notice, or (B) the Company executes and delivers to the Trustee and the Registrar an Officer’s Certificate stating that such Global Security shall be so exchangeable.</w:t>
      </w:r>
    </w:p>
    <w:p>
      <w:pPr>
        <w:spacing w:after="0" w:line="165" w:lineRule="exact"/>
        <w:rPr>
          <w:sz w:val="20"/>
          <w:szCs w:val="20"/>
          <w:color w:val="auto"/>
        </w:rPr>
      </w:pPr>
    </w:p>
    <w:p>
      <w:pPr>
        <w:ind w:left="580" w:right="120" w:firstLine="585"/>
        <w:spacing w:after="0" w:line="265" w:lineRule="auto"/>
        <w:rPr>
          <w:sz w:val="20"/>
          <w:szCs w:val="20"/>
          <w:color w:val="auto"/>
        </w:rPr>
      </w:pPr>
      <w:r>
        <w:rPr>
          <w:rFonts w:ascii="Times New Roman" w:cs="Times New Roman" w:eastAsia="Times New Roman" w:hAnsi="Times New Roman"/>
          <w:sz w:val="16"/>
          <w:szCs w:val="16"/>
          <w:color w:val="auto"/>
        </w:rPr>
        <w:t>In connection with the exchange of an entire Global Security for Individual Securities pursuant to this subsection (e), such Global Security shall be deemed to be surrendered to the Trustee for cancellation, and the Company shall execute, and the Trustee, upon receipt of a Company Order for the authentication and delivery of Individual Securities of such series, shall authenticate and deliver, to each beneficial owner identified by the Depositary in writing in exchange for its beneficial interest in such Global Security, an equal aggregate principal amount of Individual Securities of authorized denominations.</w:t>
      </w:r>
    </w:p>
    <w:p>
      <w:pPr>
        <w:spacing w:after="0" w:line="162" w:lineRule="exact"/>
        <w:rPr>
          <w:sz w:val="20"/>
          <w:szCs w:val="20"/>
          <w:color w:val="auto"/>
        </w:rPr>
      </w:pPr>
    </w:p>
    <w:p>
      <w:pPr>
        <w:ind w:left="580" w:firstLine="587"/>
        <w:spacing w:after="0" w:line="265" w:lineRule="auto"/>
        <w:tabs>
          <w:tab w:leader="none" w:pos="1435"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owner of a beneficial interest in a Global Security will be entitled to receive an Individual Security in exchange for such interest if an Event of Default has occurred and is continuing. Upon receipt by the Security Custodian and Registrar of instructions from the Holder of a Global Security directing the Security Custodian and Registrar to (x) issue one or more Individual Securities in the amounts specified to the owner of a beneficial interest in such Global Security and (y) debit or cause to be debited an equivalent amount of beneficial interest in such Global Security, subject to the rules and regulations of the Depositary:</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9" w:name="page210"/>
    <w:bookmarkEnd w:id="209"/>
    <w:p>
      <w:pPr>
        <w:ind w:left="1160" w:right="300" w:firstLine="591"/>
        <w:spacing w:after="0" w:line="288" w:lineRule="auto"/>
        <w:tabs>
          <w:tab w:leader="none" w:pos="2051" w:val="left"/>
        </w:tabs>
        <w:numPr>
          <w:ilvl w:val="2"/>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Security Custodian and Registrar shall notify the Company and the Trustee of such instructions, identifying the owner and amount of such beneficial interest in such Global Security;</w:t>
      </w:r>
    </w:p>
    <w:p>
      <w:pPr>
        <w:spacing w:after="0" w:line="143" w:lineRule="exact"/>
        <w:rPr>
          <w:rFonts w:ascii="Times New Roman" w:cs="Times New Roman" w:eastAsia="Times New Roman" w:hAnsi="Times New Roman"/>
          <w:sz w:val="16"/>
          <w:szCs w:val="16"/>
          <w:color w:val="auto"/>
        </w:rPr>
      </w:pPr>
    </w:p>
    <w:p>
      <w:pPr>
        <w:ind w:left="1160" w:right="40" w:firstLine="591"/>
        <w:spacing w:after="0" w:line="271" w:lineRule="auto"/>
        <w:tabs>
          <w:tab w:leader="none" w:pos="2042" w:val="left"/>
        </w:tabs>
        <w:numPr>
          <w:ilvl w:val="2"/>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promptly execute and the Trustee, upon receipt of a Company Order for the authentication and delivery of Individual Securities of such series, shall authenticate and deliver to such beneficial owner Individual Securities in an equivalent amount to such beneficial interest in such Global Security; and</w:t>
      </w:r>
    </w:p>
    <w:p>
      <w:pPr>
        <w:spacing w:after="0" w:line="156" w:lineRule="exact"/>
        <w:rPr>
          <w:rFonts w:ascii="Times New Roman" w:cs="Times New Roman" w:eastAsia="Times New Roman" w:hAnsi="Times New Roman"/>
          <w:sz w:val="16"/>
          <w:szCs w:val="16"/>
          <w:color w:val="auto"/>
        </w:rPr>
      </w:pPr>
    </w:p>
    <w:p>
      <w:pPr>
        <w:ind w:left="1160" w:right="80" w:firstLine="591"/>
        <w:spacing w:after="0" w:line="262" w:lineRule="auto"/>
        <w:tabs>
          <w:tab w:leader="none" w:pos="2042" w:val="left"/>
        </w:tabs>
        <w:numPr>
          <w:ilvl w:val="2"/>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Security Custodian and Registrar shall decrease such Global Security by such amount in accordance with the foregoing. In the event that the Individual Securities are not issued to each such beneficial owner promptly after the Registrar has received a request from the Holder of a Global Security to issue such Individual Securities, the Company expressly acknowledges, with respect to the right of any Holder to pursue a remedy pursuant to Section 6.07, the right of any beneficial Holder of Securities to pursue such remedy with respect to the portion of the Global Security that represents such beneficial Holder’s Securities as if such Individual Securities had been issued.</w:t>
      </w:r>
    </w:p>
    <w:p>
      <w:pPr>
        <w:spacing w:after="0" w:line="164" w:lineRule="exact"/>
        <w:rPr>
          <w:rFonts w:ascii="Times New Roman" w:cs="Times New Roman" w:eastAsia="Times New Roman" w:hAnsi="Times New Roman"/>
          <w:sz w:val="16"/>
          <w:szCs w:val="16"/>
          <w:color w:val="auto"/>
        </w:rPr>
      </w:pPr>
    </w:p>
    <w:p>
      <w:pPr>
        <w:jc w:val="both"/>
        <w:ind w:left="580" w:firstLine="587"/>
        <w:spacing w:after="0" w:line="271" w:lineRule="auto"/>
        <w:tabs>
          <w:tab w:leader="none" w:pos="1435" w:val="left"/>
        </w:tabs>
        <w:numPr>
          <w:ilvl w:val="1"/>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specified by the Company pursuant to Section 2.02 with respect to a series of Securities, the Depositary for such series of Securities may surrender a Global Security for such series of Securities in exchange in whole or in part for Individual Securities of such series on such terms as are acceptable to the Company and such Depositary. Thereupon, the Company shall execute, and the Trustee shall authenticate and deliver:</w:t>
      </w:r>
    </w:p>
    <w:p>
      <w:pPr>
        <w:spacing w:after="0" w:line="156" w:lineRule="exact"/>
        <w:rPr>
          <w:rFonts w:ascii="Times New Roman" w:cs="Times New Roman" w:eastAsia="Times New Roman" w:hAnsi="Times New Roman"/>
          <w:sz w:val="16"/>
          <w:szCs w:val="16"/>
          <w:color w:val="auto"/>
        </w:rPr>
      </w:pPr>
    </w:p>
    <w:p>
      <w:pPr>
        <w:ind w:left="1160" w:right="320" w:firstLine="591"/>
        <w:spacing w:after="0" w:line="271" w:lineRule="auto"/>
        <w:tabs>
          <w:tab w:leader="none" w:pos="2051" w:val="left"/>
        </w:tabs>
        <w:numPr>
          <w:ilvl w:val="2"/>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each Person specified by such Depositary a new Individual Security or new Individual Securities of the same series, of any authorized denomination as requested by such Person in aggregate principal amount equal to and in exchange for such Person’s beneficial interest in the Global Security; and</w:t>
      </w:r>
    </w:p>
    <w:p>
      <w:pPr>
        <w:spacing w:after="0" w:line="156" w:lineRule="exact"/>
        <w:rPr>
          <w:rFonts w:ascii="Times New Roman" w:cs="Times New Roman" w:eastAsia="Times New Roman" w:hAnsi="Times New Roman"/>
          <w:sz w:val="16"/>
          <w:szCs w:val="16"/>
          <w:color w:val="auto"/>
        </w:rPr>
      </w:pPr>
    </w:p>
    <w:p>
      <w:pPr>
        <w:ind w:left="1160" w:right="100" w:firstLine="591"/>
        <w:spacing w:after="0" w:line="288" w:lineRule="auto"/>
        <w:tabs>
          <w:tab w:leader="none" w:pos="2042" w:val="left"/>
        </w:tabs>
        <w:numPr>
          <w:ilvl w:val="2"/>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such Depositary a new Global Security in a denomination equal to the difference, if any, between the principal amount of the surrendered Global Security and the aggregate principal amount of Individual Securities delivered to Holders thereof.</w:t>
      </w:r>
    </w:p>
    <w:p>
      <w:pPr>
        <w:spacing w:after="0" w:line="143" w:lineRule="exact"/>
        <w:rPr>
          <w:rFonts w:ascii="Times New Roman" w:cs="Times New Roman" w:eastAsia="Times New Roman" w:hAnsi="Times New Roman"/>
          <w:sz w:val="16"/>
          <w:szCs w:val="16"/>
          <w:color w:val="auto"/>
        </w:rPr>
      </w:pPr>
    </w:p>
    <w:p>
      <w:pPr>
        <w:ind w:left="580" w:right="120" w:firstLine="587"/>
        <w:spacing w:after="0" w:line="288" w:lineRule="auto"/>
        <w:tabs>
          <w:tab w:leader="none" w:pos="1435" w:val="left"/>
        </w:tabs>
        <w:numPr>
          <w:ilvl w:val="1"/>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any exchange provided for in clauses (1) through (3), the Company will execute and the Trustee will authenticate and deliver Individual Securities in registered form in authorized denominations.</w:t>
      </w:r>
    </w:p>
    <w:p>
      <w:pPr>
        <w:spacing w:after="0" w:line="143" w:lineRule="exact"/>
        <w:rPr>
          <w:rFonts w:ascii="Times New Roman" w:cs="Times New Roman" w:eastAsia="Times New Roman" w:hAnsi="Times New Roman"/>
          <w:sz w:val="16"/>
          <w:szCs w:val="16"/>
          <w:color w:val="auto"/>
        </w:rPr>
      </w:pPr>
    </w:p>
    <w:p>
      <w:pPr>
        <w:ind w:left="580" w:firstLine="587"/>
        <w:spacing w:after="0" w:line="265" w:lineRule="auto"/>
        <w:tabs>
          <w:tab w:leader="none" w:pos="1435" w:val="left"/>
        </w:tabs>
        <w:numPr>
          <w:ilvl w:val="1"/>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exchange in full of a Global Security for Individual Securities, such Global Security shall be canceled by the Trustee. Individual Securities issued in exchange for a Global Security pursuant to this Section 2.17 shall be registered in such names and in such authorized denominations as the Depositary for such Global Security, pursuant to instructions from its direct or indirect participants or otherwise, shall instruct the Trustee. The Trustee shall deliver such Securities to the Persons in whose names such Securities are so registered.</w:t>
      </w:r>
    </w:p>
    <w:p>
      <w:pPr>
        <w:spacing w:after="0" w:line="161" w:lineRule="exact"/>
        <w:rPr>
          <w:rFonts w:ascii="Times New Roman" w:cs="Times New Roman" w:eastAsia="Times New Roman" w:hAnsi="Times New Roman"/>
          <w:sz w:val="16"/>
          <w:szCs w:val="16"/>
          <w:color w:val="auto"/>
        </w:rPr>
      </w:pPr>
    </w:p>
    <w:p>
      <w:pPr>
        <w:ind w:firstLine="582"/>
        <w:spacing w:after="0" w:line="259" w:lineRule="auto"/>
        <w:tabs>
          <w:tab w:leader="none" w:pos="828"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that Individual Securities of a series are issued in exchange for beneficial interests in Global Securities of such series in accordance with this Section 2.17, on or after such event when Individual Securities of such series are presented by a Holder to the Registrar with a request: (x) to register the transfer of such Individual Securities to a person who shall take delivery thereof in the form of Individual Securities only; or (y) to exchange such Individual Securities for an equal principal amount of Individual Securities of such series of other authorized denominations, the Registrar shall register the transfer or make the exchange as requested if the requirements for such transaction under this Indenture are satisfied;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Individual Securities presented or surrendered for register of transfer or exchange shall be duly endorsed or accompanied by an assignment form and, if applicable, a transfer certificate, each in the form included in the supplemental indenture or Company Order authorizing the applicable Securities, and in each case in a form satisfactory to the Registrar duly executed by the Holder thereof or its attorney duly authorized in writing.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0" w:name="page211"/>
    <w:bookmarkEnd w:id="210"/>
    <w:p>
      <w:pPr>
        <w:ind w:right="20" w:firstLine="582"/>
        <w:spacing w:after="0" w:line="257" w:lineRule="auto"/>
        <w:tabs>
          <w:tab w:leader="none" w:pos="855"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that Individual Securities of a series are issued in exchange for beneficial interests in Global Securities of such series and, thereafter, the events or conditions specified in Section 2.17(e)(1) or (2) which required such exchange shall cease to exist, the Company shall send notice to the Trustee and to the Holders of Securities of such series stating that such Holders may exchange Individual Securities of such series for interests in Global Securities of such series by complying with the procedures set forth in this Indenture and briefly describing such procedures and the events or circumstances requiring that such notice be given. Thereafter, if Individual Securities of such series are presented by a Holder to the Registrar with a request: (x) to register the transfer of such Individual Securities to a person who shall take delivery thereof in the form of a beneficial interest in a Global Security of such series; or (y) to exchange such Individual Securities for an equal principal amount of beneficial interests in a Global Security of such series, which beneficial interests shall be owned by the Holder transferring such Individual Securities, the Registrar shall register the transfer or make the exchange as requested by canceling such Individual Security and causing, or directing the Security Custodian to cause, the aggregate principal amount of the applicable Global Security to be increased accordingly and, if no such Global Security is then-outstanding, the Company shall issue and the Trustee shall authenticate and deliver a new Global Security of such series in accordance with Section 2.03;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Individual Securities presented or surrendered for registration of transfer or exchange shall be duly endorsed and accompanied by an assignment form and, if applicable, a transfer certificate, each in the form included in the supplemental indenture or Company Order authorizing the applicable Securities, and in each case in a form satisfactory to the Registrar duly executed by the Holder thereof or its attorney duly authorized in writing.</w:t>
      </w:r>
    </w:p>
    <w:p>
      <w:pPr>
        <w:spacing w:after="0" w:line="166" w:lineRule="exact"/>
        <w:rPr>
          <w:rFonts w:ascii="Times New Roman" w:cs="Times New Roman" w:eastAsia="Times New Roman" w:hAnsi="Times New Roman"/>
          <w:sz w:val="16"/>
          <w:szCs w:val="16"/>
          <w:color w:val="auto"/>
        </w:rPr>
      </w:pPr>
    </w:p>
    <w:p>
      <w:pPr>
        <w:ind w:right="80" w:firstLine="582"/>
        <w:spacing w:after="0" w:line="288" w:lineRule="auto"/>
        <w:tabs>
          <w:tab w:leader="none" w:pos="855"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in this Indenture or in the Securities shall prohibit the sale or other transfer of any Securities (including beneficial interests in Global Securities) to the Company or any of its Subsidiaries.</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2.18.  Issuance of Additional Securities.</w:t>
      </w:r>
    </w:p>
    <w:p>
      <w:pPr>
        <w:spacing w:after="0" w:line="208" w:lineRule="exact"/>
        <w:rPr>
          <w:sz w:val="20"/>
          <w:szCs w:val="20"/>
          <w:color w:val="auto"/>
        </w:rPr>
      </w:pPr>
    </w:p>
    <w:p>
      <w:pPr>
        <w:ind w:right="40" w:firstLine="582"/>
        <w:spacing w:after="0" w:line="265" w:lineRule="auto"/>
        <w:tabs>
          <w:tab w:leader="none" w:pos="846"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initial issue date of a series of Securities, the Company shall be entitled to issue Additional Securities of such series, which Additional Securities shall have identical terms as the Initial Securities of such series, other than with respect to the date of issuance and the amount of the issue price. All the Securities of a series issued under this Indenture shall be treated as a single class for all purposes of this Indenture, including waivers, amendments, redemptions and offers to purchase with respect to such series.</w:t>
      </w:r>
    </w:p>
    <w:p>
      <w:pPr>
        <w:spacing w:after="0" w:line="161" w:lineRule="exact"/>
        <w:rPr>
          <w:rFonts w:ascii="Times New Roman" w:cs="Times New Roman" w:eastAsia="Times New Roman" w:hAnsi="Times New Roman"/>
          <w:sz w:val="16"/>
          <w:szCs w:val="16"/>
          <w:color w:val="auto"/>
        </w:rPr>
      </w:pPr>
    </w:p>
    <w:p>
      <w:pPr>
        <w:ind w:left="900" w:hanging="318"/>
        <w:spacing w:after="0"/>
        <w:tabs>
          <w:tab w:leader="none" w:pos="900"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Additional Securities of a series, the Company shall set forth in a Company Order, which shall be delivered to the Trustee, the following</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w:t>
      </w:r>
    </w:p>
    <w:p>
      <w:pPr>
        <w:spacing w:after="0" w:line="189" w:lineRule="exact"/>
        <w:rPr>
          <w:rFonts w:ascii="Times New Roman" w:cs="Times New Roman" w:eastAsia="Times New Roman" w:hAnsi="Times New Roman"/>
          <w:sz w:val="16"/>
          <w:szCs w:val="16"/>
          <w:color w:val="auto"/>
        </w:rPr>
      </w:pPr>
    </w:p>
    <w:p>
      <w:pPr>
        <w:ind w:left="1760" w:hanging="593"/>
        <w:spacing w:after="0"/>
        <w:tabs>
          <w:tab w:leader="none" w:pos="1760" w:val="left"/>
        </w:tabs>
        <w:numPr>
          <w:ilvl w:val="1"/>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principal amount of such Additional Securities to be authenticated and delivered pursuant to this Indenture; and</w:t>
      </w:r>
    </w:p>
    <w:p>
      <w:pPr>
        <w:spacing w:after="0" w:line="203" w:lineRule="exact"/>
        <w:rPr>
          <w:rFonts w:ascii="Times New Roman" w:cs="Times New Roman" w:eastAsia="Times New Roman" w:hAnsi="Times New Roman"/>
          <w:sz w:val="16"/>
          <w:szCs w:val="16"/>
          <w:color w:val="auto"/>
        </w:rPr>
      </w:pPr>
    </w:p>
    <w:p>
      <w:pPr>
        <w:ind w:left="580" w:right="160" w:firstLine="587"/>
        <w:spacing w:after="0" w:line="272" w:lineRule="auto"/>
        <w:tabs>
          <w:tab w:leader="none" w:pos="1769" w:val="left"/>
        </w:tabs>
        <w:numPr>
          <w:ilvl w:val="1"/>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issue price, the issue date and the CUSIP, ISIN or other identifying number of such Additional Securities;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Additional Securities of a series may be issued at a price that would cause such Additional Securities to not be fungible for U.S. federal income tax purposes with any other Securities of such series issued under this Indenture, unless such Securities bear a separate CUSIP, ISIN or other identifying number.</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2.19. Computation of Interest.</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Interest on the Securities shall be computed in accordance with the terms of the Securities of a series as specified pursuant to Section 2.02.</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2.20. Currency of Payments in Respect of Securities.</w:t>
      </w:r>
    </w:p>
    <w:p>
      <w:pPr>
        <w:spacing w:after="0" w:line="208" w:lineRule="exact"/>
        <w:rPr>
          <w:sz w:val="20"/>
          <w:szCs w:val="20"/>
          <w:color w:val="auto"/>
        </w:rPr>
      </w:pPr>
    </w:p>
    <w:p>
      <w:pPr>
        <w:ind w:right="140" w:firstLine="582"/>
        <w:spacing w:after="0" w:line="288" w:lineRule="auto"/>
        <w:tabs>
          <w:tab w:leader="none" w:pos="886"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specified pursuant to Section 2.02 for any series of Securities, payment of the principal of and premium, if any, and interest on Securities of such series will be made in U.S. Dollars.</w:t>
      </w:r>
    </w:p>
    <w:p>
      <w:pPr>
        <w:spacing w:after="0" w:line="143" w:lineRule="exact"/>
        <w:rPr>
          <w:rFonts w:ascii="Times New Roman" w:cs="Times New Roman" w:eastAsia="Times New Roman" w:hAnsi="Times New Roman"/>
          <w:sz w:val="16"/>
          <w:szCs w:val="16"/>
          <w:color w:val="auto"/>
        </w:rPr>
      </w:pPr>
    </w:p>
    <w:p>
      <w:pPr>
        <w:ind w:firstLine="582"/>
        <w:spacing w:after="0" w:line="261" w:lineRule="auto"/>
        <w:tabs>
          <w:tab w:leader="none" w:pos="896"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any provision of this Indenture where the Holders of outstanding Securities may perform an action that requires that a specified percentage of the Securities of all series perform such action and for purposes of any decision or determination by the Trustee of amounts due and unpaid for the principal of and premium, if any, and interest on the outstanding Securities of all series in respect of which moneys are to be disbursed ratably, the principal of and premium, if any, and interest on the outstanding Securities denominated in a Foreign Currency will be the amount in U.S. Dollars based upon exchange rates, determined as specified pursuant to Section 2.02 for Securities of such series, as of the date for determining whether the Holders entitled to perform such action have performed it or as of the date of such decision or determination by the Trustee, as the case may be.</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1" w:name="page212"/>
    <w:bookmarkEnd w:id="211"/>
    <w:p>
      <w:pPr>
        <w:ind w:firstLine="582"/>
        <w:spacing w:after="0" w:line="263" w:lineRule="auto"/>
        <w:tabs>
          <w:tab w:leader="none" w:pos="886"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decision or determination to be made regarding exchange rates shall be made by an agent appointed by the Company;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agent shall accept such appointment in writing and the terms of such appointment shall, in the opinion of the Company at the time of such appointment, require such agent to make such determination by a method consistent with the method provided pursuant to Section 2.02 for the making of such decision or determination. All decisions and determinations of such agent regarding exchange rates shall, in the absence of manifest error, be conclusive for all purposes and irrevocably binding upon the Company, the Trustee and all Holders of the Securities.</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2.21. Judgments.</w:t>
      </w:r>
    </w:p>
    <w:p>
      <w:pPr>
        <w:spacing w:after="0" w:line="208" w:lineRule="exact"/>
        <w:rPr>
          <w:sz w:val="20"/>
          <w:szCs w:val="20"/>
          <w:color w:val="auto"/>
        </w:rPr>
      </w:pPr>
    </w:p>
    <w:p>
      <w:pPr>
        <w:ind w:right="100" w:firstLine="585"/>
        <w:spacing w:after="0" w:line="258" w:lineRule="auto"/>
        <w:rPr>
          <w:sz w:val="20"/>
          <w:szCs w:val="20"/>
          <w:color w:val="auto"/>
        </w:rPr>
      </w:pPr>
      <w:r>
        <w:rPr>
          <w:rFonts w:ascii="Times New Roman" w:cs="Times New Roman" w:eastAsia="Times New Roman" w:hAnsi="Times New Roman"/>
          <w:sz w:val="16"/>
          <w:szCs w:val="16"/>
          <w:color w:val="auto"/>
        </w:rPr>
        <w:t>The Company may provide pursuant to Section 2.02 for Securities of any series that (a) the obligation, if any, of the Company to pay the principal of, premium, if any, and interest on the Securities of any series in a Foreign Currency or U.S. Dollars (the “</w:t>
      </w:r>
      <w:r>
        <w:rPr>
          <w:rFonts w:ascii="Times New Roman" w:cs="Times New Roman" w:eastAsia="Times New Roman" w:hAnsi="Times New Roman"/>
          <w:sz w:val="16"/>
          <w:szCs w:val="16"/>
          <w:i w:val="1"/>
          <w:iCs w:val="1"/>
          <w:color w:val="auto"/>
        </w:rPr>
        <w:t>Designated Currency</w:t>
      </w:r>
      <w:r>
        <w:rPr>
          <w:rFonts w:ascii="Times New Roman" w:cs="Times New Roman" w:eastAsia="Times New Roman" w:hAnsi="Times New Roman"/>
          <w:sz w:val="16"/>
          <w:szCs w:val="16"/>
          <w:color w:val="auto"/>
        </w:rPr>
        <w:t>”) as may be specified pursuant to Section 2.02 is of the essence and agrees that, to the fullest extent possible under applicable law, judgments in respect of such Securities shall be given in the Designated Currency; (b) the obligation of the Company to make payments in the Designated Currency of the principal of and premium, if any, and interest on such Securities shall, notwithstanding any payment in any other Currency (whether pursuant to a judgment or otherwise), be discharged only to the extent of the amount in the Designated Currency that the Holder receiving such payment may, in accordance with normal banking procedures, purchase with the sum paid in such other Currency (after any premium and cost of exchange) on the business day in the country of issue of the Designated Currency or in the international banking community (in the case of a composite currency) immediately following the day on which such Holder receives such payment; (c) if the amount in the Designated Currency that may be so purchased for any reason falls short of the amount originally due, the Company shall pay such additional amounts as may be necessary to compensate for such shortfall; and (d) any obligation of the Company not discharged by such payment shall be due as a separate and independent obligation and, until discharged as provided herein, shall continue in full force and effect.</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REDEMPTION AND PREPAYMENT</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3.01. Applicability of Right of Redemption.</w:t>
      </w:r>
    </w:p>
    <w:p>
      <w:pPr>
        <w:spacing w:after="0" w:line="208" w:lineRule="exact"/>
        <w:rPr>
          <w:sz w:val="20"/>
          <w:szCs w:val="20"/>
          <w:color w:val="auto"/>
        </w:rPr>
      </w:pPr>
    </w:p>
    <w:p>
      <w:pPr>
        <w:ind w:right="240" w:firstLine="585"/>
        <w:spacing w:after="0" w:line="288" w:lineRule="auto"/>
        <w:rPr>
          <w:sz w:val="20"/>
          <w:szCs w:val="20"/>
          <w:color w:val="auto"/>
        </w:rPr>
      </w:pPr>
      <w:r>
        <w:rPr>
          <w:rFonts w:ascii="Times New Roman" w:cs="Times New Roman" w:eastAsia="Times New Roman" w:hAnsi="Times New Roman"/>
          <w:sz w:val="16"/>
          <w:szCs w:val="16"/>
          <w:color w:val="auto"/>
        </w:rPr>
        <w:t>Except as otherwise provided as contemplated by Section 2.02 with respect to any series of Securities, redemption of Securities (other than pursuant to a sinking fund, amortization or analogous provision) permitted by the terms of any series of Securities shall be made in accordance with this Article III.</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3.02. Election To Redeem; Notices to Trustee.</w:t>
      </w:r>
    </w:p>
    <w:p>
      <w:pPr>
        <w:spacing w:after="0" w:line="208" w:lineRule="exact"/>
        <w:rPr>
          <w:sz w:val="20"/>
          <w:szCs w:val="20"/>
          <w:color w:val="auto"/>
        </w:rPr>
      </w:pPr>
    </w:p>
    <w:p>
      <w:pPr>
        <w:ind w:right="60" w:firstLine="585"/>
        <w:spacing w:after="0" w:line="259" w:lineRule="auto"/>
        <w:rPr>
          <w:sz w:val="20"/>
          <w:szCs w:val="20"/>
          <w:color w:val="auto"/>
        </w:rPr>
      </w:pPr>
      <w:r>
        <w:rPr>
          <w:rFonts w:ascii="Times New Roman" w:cs="Times New Roman" w:eastAsia="Times New Roman" w:hAnsi="Times New Roman"/>
          <w:sz w:val="16"/>
          <w:szCs w:val="16"/>
          <w:color w:val="auto"/>
        </w:rPr>
        <w:t>If the Company elects to redeem any Securities pursuant to this Article III, at least 10 days prior to the Redemption Date (unless a shorter notice shall be agreed to in writing by the Trustee) but not more than 60 days before the Redemption Date, the Company shall notify the Trustee in writing of the series of Securities to be redeemed, the Redemption Date and the principal amount of such Securities to be redeemed and the Redemption Price (or, if not then ascertainable, the manner of calculation thereof), and deliver to the Trustee, no later than two Business Days prior to the Redemption Date, an Officer’s Certificate stating that such redemption will comply with the conditions contained this Article III. Notice given to the Trustee pursuant to this Section 3.02 may, at the Company’s discretion, be subject to the satisfaction or waiver of one or more conditions precedent. Failure to give such notice, or any defect in such notice, shall not affect the sufficiency of any notice of redemption sent to the Holder of any Security of such series.</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3.03. Selection by Trustee of Securities To Be Redeemed.</w:t>
      </w:r>
    </w:p>
    <w:p>
      <w:pPr>
        <w:spacing w:after="0" w:line="208" w:lineRule="exact"/>
        <w:rPr>
          <w:sz w:val="20"/>
          <w:szCs w:val="20"/>
          <w:color w:val="auto"/>
        </w:rPr>
      </w:pPr>
    </w:p>
    <w:p>
      <w:pPr>
        <w:jc w:val="both"/>
        <w:ind w:right="260" w:firstLine="585"/>
        <w:spacing w:after="0" w:line="271" w:lineRule="auto"/>
        <w:rPr>
          <w:sz w:val="20"/>
          <w:szCs w:val="20"/>
          <w:color w:val="auto"/>
        </w:rPr>
      </w:pPr>
      <w:r>
        <w:rPr>
          <w:rFonts w:ascii="Times New Roman" w:cs="Times New Roman" w:eastAsia="Times New Roman" w:hAnsi="Times New Roman"/>
          <w:sz w:val="16"/>
          <w:szCs w:val="16"/>
          <w:color w:val="auto"/>
        </w:rPr>
        <w:t xml:space="preserve">If the Company elects to redeem less than all of the Securities of any series at any time, in the case of Securities issued in definitive form, the Trustee will select Securities of such series by lot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(or, in the case of Global Securities, the Securities will be selected in accordance with the applicable procedures of the relevant Depositary) unless an alternative method of selection is otherwise required by law or applicable stock exchange or Depositary requirements.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2" w:name="page213"/>
    <w:bookmarkEnd w:id="212"/>
    <w:p>
      <w:pPr>
        <w:ind w:right="80" w:firstLine="585"/>
        <w:spacing w:after="0" w:line="288" w:lineRule="auto"/>
        <w:rPr>
          <w:sz w:val="20"/>
          <w:szCs w:val="20"/>
          <w:color w:val="auto"/>
        </w:rPr>
      </w:pPr>
      <w:r>
        <w:rPr>
          <w:rFonts w:ascii="Times New Roman" w:cs="Times New Roman" w:eastAsia="Times New Roman" w:hAnsi="Times New Roman"/>
          <w:sz w:val="16"/>
          <w:szCs w:val="16"/>
          <w:color w:val="auto"/>
        </w:rPr>
        <w:t>The Trustee shall promptly notify the Company of the Securities selected for redemption and, in the case of any partial redemption, the principal amount thereof to be redeemed.</w:t>
      </w:r>
    </w:p>
    <w:p>
      <w:pPr>
        <w:spacing w:after="0" w:line="143" w:lineRule="exact"/>
        <w:rPr>
          <w:sz w:val="20"/>
          <w:szCs w:val="20"/>
          <w:color w:val="auto"/>
        </w:rPr>
      </w:pPr>
    </w:p>
    <w:p>
      <w:pPr>
        <w:ind w:right="60" w:firstLine="585"/>
        <w:spacing w:after="0" w:line="288" w:lineRule="auto"/>
        <w:rPr>
          <w:sz w:val="20"/>
          <w:szCs w:val="20"/>
          <w:color w:val="auto"/>
        </w:rPr>
      </w:pPr>
      <w:r>
        <w:rPr>
          <w:rFonts w:ascii="Times New Roman" w:cs="Times New Roman" w:eastAsia="Times New Roman" w:hAnsi="Times New Roman"/>
          <w:sz w:val="16"/>
          <w:szCs w:val="16"/>
          <w:color w:val="auto"/>
        </w:rPr>
        <w:t>The Company will redeem Securities of $2,000 or less in whole and not in part. For all purposes of this Indenture, unless the context otherwise requires, provisions of this Indenture that apply to Securities called for redemption also apply to portions of Securities called for redemption.</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3.04. Notice of Redemption.</w:t>
      </w:r>
    </w:p>
    <w:p>
      <w:pPr>
        <w:spacing w:after="0" w:line="208" w:lineRule="exact"/>
        <w:rPr>
          <w:sz w:val="20"/>
          <w:szCs w:val="20"/>
          <w:color w:val="auto"/>
        </w:rPr>
      </w:pPr>
    </w:p>
    <w:p>
      <w:pPr>
        <w:ind w:right="40" w:firstLine="585"/>
        <w:spacing w:after="0" w:line="265" w:lineRule="auto"/>
        <w:rPr>
          <w:sz w:val="20"/>
          <w:szCs w:val="20"/>
          <w:color w:val="auto"/>
        </w:rPr>
      </w:pPr>
      <w:r>
        <w:rPr>
          <w:rFonts w:ascii="Times New Roman" w:cs="Times New Roman" w:eastAsia="Times New Roman" w:hAnsi="Times New Roman"/>
          <w:sz w:val="16"/>
          <w:szCs w:val="16"/>
          <w:color w:val="auto"/>
        </w:rPr>
        <w:t>The Company will cause notices of redemption to be sent by electronic transmission or by first-class mail at least 10 but not more than 60 days before the Redemption Date to each Holder of Securities of the series to be redeemed at its registered address or otherwise in accordance with the applicable procedures of the Depositary. The Company may provide in the notice that payment of the Redemption Price and performance of the Company’s obligations with respect to the redemption or purchase may be performed by another Person. Any notice may, at the Company’s discretion, be subject to the satisfaction or waiver of one or more conditions precedent.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notice shall identify the Securities to be redeemed (including the series and the CUSIP, ISIN or other identifying numbers thereof) and shall state:</w:t>
      </w:r>
    </w:p>
    <w:p>
      <w:pPr>
        <w:spacing w:after="0" w:line="206" w:lineRule="exact"/>
        <w:rPr>
          <w:sz w:val="20"/>
          <w:szCs w:val="20"/>
          <w:color w:val="auto"/>
        </w:rPr>
      </w:pPr>
    </w:p>
    <w:p>
      <w:pPr>
        <w:ind w:left="1440" w:hanging="273"/>
        <w:spacing w:after="0"/>
        <w:tabs>
          <w:tab w:leader="none" w:pos="144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Date;</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Price (or, if not then ascertainable, the manner of calculation thereof);</w:t>
      </w:r>
    </w:p>
    <w:p>
      <w:pPr>
        <w:spacing w:after="0" w:line="205" w:lineRule="exact"/>
        <w:rPr>
          <w:rFonts w:ascii="Times New Roman" w:cs="Times New Roman" w:eastAsia="Times New Roman" w:hAnsi="Times New Roman"/>
          <w:sz w:val="16"/>
          <w:szCs w:val="16"/>
          <w:color w:val="auto"/>
        </w:rPr>
      </w:pPr>
    </w:p>
    <w:p>
      <w:pPr>
        <w:ind w:left="580" w:right="180" w:firstLine="587"/>
        <w:spacing w:after="0" w:line="271" w:lineRule="auto"/>
        <w:tabs>
          <w:tab w:leader="none" w:pos="1435"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fewer than all outstanding Securities of a series are to be redeemed, the portion of the principal amount of such Security to be redeemed and that, after the Redemption Date and upon surrender of such Security, a new Security or Securities of the applicable series in principal amount equal to the unredeemed portion will be issued;</w:t>
      </w:r>
    </w:p>
    <w:p>
      <w:pPr>
        <w:spacing w:after="0" w:line="156"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and address of the Paying Agent;</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Securities called for redemption must be surrendered to the Paying Agent to collect the Redemption Price;</w:t>
      </w:r>
    </w:p>
    <w:p>
      <w:pPr>
        <w:spacing w:after="0" w:line="205" w:lineRule="exact"/>
        <w:rPr>
          <w:rFonts w:ascii="Times New Roman" w:cs="Times New Roman" w:eastAsia="Times New Roman" w:hAnsi="Times New Roman"/>
          <w:sz w:val="16"/>
          <w:szCs w:val="16"/>
          <w:color w:val="auto"/>
        </w:rPr>
      </w:pPr>
    </w:p>
    <w:p>
      <w:pPr>
        <w:ind w:left="580" w:right="140" w:firstLine="587"/>
        <w:spacing w:after="0" w:line="288" w:lineRule="auto"/>
        <w:tabs>
          <w:tab w:leader="none" w:pos="1435"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unless the Company defaults in the payment of the applicable Redemption Price, interest on Securities called for redemption ceases to accrue on and after the Redemption Date;</w:t>
      </w:r>
    </w:p>
    <w:p>
      <w:pPr>
        <w:spacing w:after="0" w:line="14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such notice is conditioned upon the occurrence of one or more conditions precedent, the nature of such conditions precedent;</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principal amount of Securities of such series that are being redeemed;</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redemption is for a sinking fund, if such is the case;</w:t>
      </w:r>
    </w:p>
    <w:p>
      <w:pPr>
        <w:spacing w:after="0" w:line="205" w:lineRule="exact"/>
        <w:rPr>
          <w:rFonts w:ascii="Times New Roman" w:cs="Times New Roman" w:eastAsia="Times New Roman" w:hAnsi="Times New Roman"/>
          <w:sz w:val="16"/>
          <w:szCs w:val="16"/>
          <w:color w:val="auto"/>
        </w:rPr>
      </w:pPr>
    </w:p>
    <w:p>
      <w:pPr>
        <w:ind w:left="1520" w:hanging="353"/>
        <w:spacing w:after="0"/>
        <w:tabs>
          <w:tab w:leader="none" w:pos="152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paragraph of the Securities and/or Section of this Indenture pursuant to which the Securities called for redemption are being redeemed; and</w:t>
      </w:r>
    </w:p>
    <w:p>
      <w:pPr>
        <w:spacing w:after="0" w:line="205" w:lineRule="exact"/>
        <w:rPr>
          <w:rFonts w:ascii="Times New Roman" w:cs="Times New Roman" w:eastAsia="Times New Roman" w:hAnsi="Times New Roman"/>
          <w:sz w:val="16"/>
          <w:szCs w:val="16"/>
          <w:color w:val="auto"/>
        </w:rPr>
      </w:pPr>
    </w:p>
    <w:p>
      <w:pPr>
        <w:ind w:left="580" w:right="20" w:firstLine="587"/>
        <w:spacing w:after="0" w:line="288" w:lineRule="auto"/>
        <w:tabs>
          <w:tab w:leader="none" w:pos="151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no representation is made as to the correctness or accuracy of the CUSIP, ISIN or other identifying number, if any, listed in such notice or printed on the Securities.</w:t>
      </w:r>
    </w:p>
    <w:p>
      <w:pPr>
        <w:spacing w:after="0" w:line="143" w:lineRule="exact"/>
        <w:rPr>
          <w:sz w:val="20"/>
          <w:szCs w:val="20"/>
          <w:color w:val="auto"/>
        </w:rPr>
      </w:pPr>
    </w:p>
    <w:p>
      <w:pPr>
        <w:ind w:right="140" w:firstLine="585"/>
        <w:spacing w:after="0" w:line="288" w:lineRule="auto"/>
        <w:rPr>
          <w:sz w:val="20"/>
          <w:szCs w:val="20"/>
          <w:color w:val="auto"/>
        </w:rPr>
      </w:pPr>
      <w:r>
        <w:rPr>
          <w:rFonts w:ascii="Times New Roman" w:cs="Times New Roman" w:eastAsia="Times New Roman" w:hAnsi="Times New Roman"/>
          <w:sz w:val="16"/>
          <w:szCs w:val="16"/>
          <w:color w:val="auto"/>
        </w:rPr>
        <w:t>At the Company’s written request made at least five Business Days prior to the date on which notice is to be given, the Trustee shall give the notice of redemption in the Company’s name and at the Company’s sole expense.</w:t>
      </w:r>
    </w:p>
    <w:p>
      <w:pPr>
        <w:spacing w:after="0" w:line="143" w:lineRule="exact"/>
        <w:rPr>
          <w:sz w:val="20"/>
          <w:szCs w:val="20"/>
          <w:color w:val="auto"/>
        </w:rPr>
      </w:pPr>
    </w:p>
    <w:p>
      <w:pPr>
        <w:ind w:firstLine="585"/>
        <w:spacing w:after="0" w:line="288" w:lineRule="auto"/>
        <w:rPr>
          <w:sz w:val="20"/>
          <w:szCs w:val="20"/>
          <w:color w:val="auto"/>
        </w:rPr>
      </w:pPr>
      <w:r>
        <w:rPr>
          <w:rFonts w:ascii="Times New Roman" w:cs="Times New Roman" w:eastAsia="Times New Roman" w:hAnsi="Times New Roman"/>
          <w:sz w:val="16"/>
          <w:szCs w:val="16"/>
          <w:color w:val="auto"/>
        </w:rPr>
        <w:t>If the Redemption Price is not ascertainable on the date on which the notice of redemption is delivered, the Company shall send to the Trustee, at least one Business Day prior to the Redemption Date, the Redemption Price.</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3" w:name="page214"/>
    <w:bookmarkEnd w:id="213"/>
    <w:p>
      <w:pPr>
        <w:ind w:left="580"/>
        <w:spacing w:after="0"/>
        <w:rPr>
          <w:sz w:val="20"/>
          <w:szCs w:val="20"/>
          <w:color w:val="auto"/>
        </w:rPr>
      </w:pPr>
      <w:r>
        <w:rPr>
          <w:rFonts w:ascii="Times New Roman" w:cs="Times New Roman" w:eastAsia="Times New Roman" w:hAnsi="Times New Roman"/>
          <w:sz w:val="16"/>
          <w:szCs w:val="16"/>
          <w:i w:val="1"/>
          <w:iCs w:val="1"/>
          <w:color w:val="auto"/>
        </w:rPr>
        <w:t>Section 3.05. Effect of Notice of Redemption.</w:t>
      </w:r>
    </w:p>
    <w:p>
      <w:pPr>
        <w:spacing w:after="0" w:line="208" w:lineRule="exact"/>
        <w:rPr>
          <w:sz w:val="20"/>
          <w:szCs w:val="20"/>
          <w:color w:val="auto"/>
        </w:rPr>
      </w:pPr>
    </w:p>
    <w:p>
      <w:pPr>
        <w:ind w:firstLine="585"/>
        <w:spacing w:after="0" w:line="258" w:lineRule="auto"/>
        <w:rPr>
          <w:sz w:val="20"/>
          <w:szCs w:val="20"/>
          <w:color w:val="auto"/>
        </w:rPr>
      </w:pPr>
      <w:r>
        <w:rPr>
          <w:rFonts w:ascii="Times New Roman" w:cs="Times New Roman" w:eastAsia="Times New Roman" w:hAnsi="Times New Roman"/>
          <w:sz w:val="16"/>
          <w:szCs w:val="16"/>
          <w:color w:val="auto"/>
        </w:rPr>
        <w:t xml:space="preserve">Once the notice of redemption described in Section 3.04 is delivered, except as provided in the last sentence of the first paragraph of Section 3.04, Securities called for redemption become irrevocably due and payable on the Redemption Date and at the Redemption Price, including any premium, plus accrued and unpaid interest thereon, if any, to, but excluding, the Redemption Date. Upon surrender to the Paying Agent, such Securities shall be paid at the Redemption Price, including any premium, plus accrued and unpaid interest thereon, if any, to, but excluding, the Redemption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if the Redemption Date is on or after a regular record date and on or before the related Interest Payment Date, the accrued and unpaid interest thereon, if any, shall be paid to the Holder in whose name the Security is registered at the close of business on such regular record date, and no additional interest will be payable to Holders whose Securities are subject to redemption by the Company; and (b) if a Redemption Date is not a Business Day, payment shall be made on the next succeeding Business Day and no interest shall accrue for the period from such Redemption Date to such succeeding Business Day. Such notice, if delivered in the manner provided in Section 3.04, shall be conclusively presumed to have been given whether or not the Holder receives such notice. Failure to give notice, or any defect in such notice to the Holder of any Security of a series designated for redemption, in whole or in part, shall not affect the sufficiency of any notice of redemption with respect to the Holder of any other Security of such series.</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3.06. Deposit of Redemption Price.</w:t>
      </w:r>
    </w:p>
    <w:p>
      <w:pPr>
        <w:spacing w:after="0" w:line="208" w:lineRule="exact"/>
        <w:rPr>
          <w:sz w:val="20"/>
          <w:szCs w:val="20"/>
          <w:color w:val="auto"/>
        </w:rPr>
      </w:pPr>
    </w:p>
    <w:p>
      <w:pPr>
        <w:ind w:right="100" w:firstLine="585"/>
        <w:spacing w:after="0" w:line="265" w:lineRule="auto"/>
        <w:rPr>
          <w:sz w:val="20"/>
          <w:szCs w:val="20"/>
          <w:color w:val="auto"/>
        </w:rPr>
      </w:pPr>
      <w:r>
        <w:rPr>
          <w:rFonts w:ascii="Times New Roman" w:cs="Times New Roman" w:eastAsia="Times New Roman" w:hAnsi="Times New Roman"/>
          <w:sz w:val="16"/>
          <w:szCs w:val="16"/>
          <w:color w:val="auto"/>
        </w:rPr>
        <w:t>On or prior to 11:00 A.M., New York City time, on each Redemption Date, the Company shall deposit with the Paying Agent in immediately available funds money in the Currency in which such Securities are denominated (except as provided pursuant to Section 2.02) sufficient to pay the Redemption Price of, including premium, if any, and accrued and unpaid interest, if any, on all Securities to be redeemed on that date other than Securities or portions thereof called for redemption on that date which have been delivered by the Company to the Trustee for cancellation.</w:t>
      </w:r>
    </w:p>
    <w:p>
      <w:pPr>
        <w:spacing w:after="0" w:line="162" w:lineRule="exact"/>
        <w:rPr>
          <w:sz w:val="20"/>
          <w:szCs w:val="20"/>
          <w:color w:val="auto"/>
        </w:rPr>
      </w:pPr>
    </w:p>
    <w:p>
      <w:pPr>
        <w:ind w:right="80" w:firstLine="585"/>
        <w:spacing w:after="0" w:line="261" w:lineRule="auto"/>
        <w:rPr>
          <w:sz w:val="20"/>
          <w:szCs w:val="20"/>
          <w:color w:val="auto"/>
        </w:rPr>
      </w:pPr>
      <w:r>
        <w:rPr>
          <w:rFonts w:ascii="Times New Roman" w:cs="Times New Roman" w:eastAsia="Times New Roman" w:hAnsi="Times New Roman"/>
          <w:sz w:val="16"/>
          <w:szCs w:val="16"/>
          <w:color w:val="auto"/>
        </w:rPr>
        <w:t>On and after any Redemption Date, if money sufficient to pay the Redemption Price of, including premium, if any, and accrued and unpaid interest, if any, on Securities called for redemption shall have been made available in accordance with the immediately preceding paragraph, the Securities called for redemption will cease to accrue interest and the only right of the Holders of such Securities will be to receive payment of the Redemption Price of and, subject to Section 3.05, accrued and unpaid interest on such Securities to, but excluding, the Redemption Date. If any Security surrendered for redemption shall not be so paid because of the failure of the Company to comply with the preceding paragraph, interest will be paid, from the Redemption Date until such redemption payment is made, on the unpaid principal of the Security and any interest not paid on such unpaid principal, in each case at the rate and in the manner provided in the Securities.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3.07. Securities Redeemed in Part.</w:t>
      </w:r>
    </w:p>
    <w:p>
      <w:pPr>
        <w:spacing w:after="0" w:line="208" w:lineRule="exact"/>
        <w:rPr>
          <w:sz w:val="20"/>
          <w:szCs w:val="20"/>
          <w:color w:val="auto"/>
        </w:rPr>
      </w:pPr>
    </w:p>
    <w:p>
      <w:pPr>
        <w:ind w:right="20" w:firstLine="585"/>
        <w:spacing w:after="0" w:line="262" w:lineRule="auto"/>
        <w:rPr>
          <w:sz w:val="20"/>
          <w:szCs w:val="20"/>
          <w:color w:val="auto"/>
        </w:rPr>
      </w:pPr>
      <w:r>
        <w:rPr>
          <w:rFonts w:ascii="Times New Roman" w:cs="Times New Roman" w:eastAsia="Times New Roman" w:hAnsi="Times New Roman"/>
          <w:sz w:val="16"/>
          <w:szCs w:val="16"/>
          <w:color w:val="auto"/>
        </w:rPr>
        <w:t>If any Security is to be redeemed in part only, the notice of redemption that relates to that Security will state the portion of the principal amount thereof that is to be redeemed. The Company will issue a new Security of the applicable series in a principal amount equal to the unredeemed portion of the original Security in the name of the Holder upon cancellation of the original Security; except that if a Global Security is so redeemed, the balance of such Global Security shall be reduced in accordance with Section 2.17. Securities called for redemption become due on the date fixed for redemption. Unless the Company defaults in payment of the Redemption Price, interest will cease to accrue on the Securities or portions thereof called for such redemption on the Redemption Date.</w:t>
      </w:r>
    </w:p>
    <w:p>
      <w:pPr>
        <w:spacing w:after="0" w:line="16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ARTICLE IV</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COVENANTS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4.01. Payment of Principal, Premium and Interest.</w:t>
      </w:r>
    </w:p>
    <w:p>
      <w:pPr>
        <w:spacing w:after="0" w:line="208" w:lineRule="exact"/>
        <w:rPr>
          <w:sz w:val="20"/>
          <w:szCs w:val="20"/>
          <w:color w:val="auto"/>
        </w:rPr>
      </w:pPr>
    </w:p>
    <w:p>
      <w:pPr>
        <w:ind w:right="60" w:firstLine="585"/>
        <w:spacing w:after="0" w:line="288" w:lineRule="auto"/>
        <w:rPr>
          <w:sz w:val="20"/>
          <w:szCs w:val="20"/>
          <w:color w:val="auto"/>
        </w:rPr>
      </w:pPr>
      <w:r>
        <w:rPr>
          <w:rFonts w:ascii="Times New Roman" w:cs="Times New Roman" w:eastAsia="Times New Roman" w:hAnsi="Times New Roman"/>
          <w:sz w:val="16"/>
          <w:szCs w:val="16"/>
          <w:color w:val="auto"/>
        </w:rPr>
        <w:t>The Company covenants and agrees that it will duly and punctually pay the principal of (and premium, if any) and interest on the Securities in accordance with the terms of the Securities and this Indenture.</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4" w:name="page215"/>
    <w:bookmarkEnd w:id="214"/>
    <w:p>
      <w:pPr>
        <w:ind w:left="580"/>
        <w:spacing w:after="0"/>
        <w:rPr>
          <w:sz w:val="20"/>
          <w:szCs w:val="20"/>
          <w:color w:val="auto"/>
        </w:rPr>
      </w:pPr>
      <w:r>
        <w:rPr>
          <w:rFonts w:ascii="Times New Roman" w:cs="Times New Roman" w:eastAsia="Times New Roman" w:hAnsi="Times New Roman"/>
          <w:sz w:val="16"/>
          <w:szCs w:val="16"/>
          <w:i w:val="1"/>
          <w:iCs w:val="1"/>
          <w:color w:val="auto"/>
        </w:rPr>
        <w:t>Section 4.02. Maintenance of Office or Agency.</w:t>
      </w:r>
    </w:p>
    <w:p>
      <w:pPr>
        <w:spacing w:after="0" w:line="208" w:lineRule="exact"/>
        <w:rPr>
          <w:sz w:val="20"/>
          <w:szCs w:val="20"/>
          <w:color w:val="auto"/>
        </w:rPr>
      </w:pPr>
    </w:p>
    <w:p>
      <w:pPr>
        <w:ind w:right="20" w:firstLine="585"/>
        <w:spacing w:after="0" w:line="261" w:lineRule="auto"/>
        <w:rPr>
          <w:sz w:val="20"/>
          <w:szCs w:val="20"/>
          <w:color w:val="auto"/>
        </w:rPr>
      </w:pPr>
      <w:r>
        <w:rPr>
          <w:rFonts w:ascii="Times New Roman" w:cs="Times New Roman" w:eastAsia="Times New Roman" w:hAnsi="Times New Roman"/>
          <w:sz w:val="16"/>
          <w:szCs w:val="16"/>
          <w:color w:val="auto"/>
        </w:rPr>
        <w:t>The Company will maintain in each Place of Payment for Securities an office or agency where Securities may be presented or surrendered for payment, where Securities may be surrendered for registration of transfer or exchange and where notices and demands to or upon the Company in respect of the Securities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64" w:lineRule="exact"/>
        <w:rPr>
          <w:sz w:val="20"/>
          <w:szCs w:val="20"/>
          <w:color w:val="auto"/>
        </w:rPr>
      </w:pPr>
    </w:p>
    <w:p>
      <w:pPr>
        <w:ind w:right="60" w:firstLine="585"/>
        <w:spacing w:after="0" w:line="265" w:lineRule="auto"/>
        <w:rPr>
          <w:sz w:val="20"/>
          <w:szCs w:val="20"/>
          <w:color w:val="auto"/>
        </w:rPr>
      </w:pPr>
      <w:r>
        <w:rPr>
          <w:rFonts w:ascii="Times New Roman" w:cs="Times New Roman" w:eastAsia="Times New Roman" w:hAnsi="Times New Roman"/>
          <w:sz w:val="16"/>
          <w:szCs w:val="16"/>
          <w:color w:val="auto"/>
        </w:rPr>
        <w:t xml:space="preserve">The Company may also from time to time designate one or more other offices or agencies where the Securities may be presented or surrendered for any or all such purposes and may from time to time rescind such designations;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such designation or rescission shall in any manner relieve the Company of its obligation to maintain an office or agency in each Place of Payment for Securities for such purposes. The Company will give prompt written notice to the Trustee of any such designation or rescission and of any change in the location of any such other office or agency.</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4.03. Reports to Holders.</w:t>
      </w:r>
    </w:p>
    <w:p>
      <w:pPr>
        <w:spacing w:after="0" w:line="208" w:lineRule="exact"/>
        <w:rPr>
          <w:sz w:val="20"/>
          <w:szCs w:val="20"/>
          <w:color w:val="auto"/>
        </w:rPr>
      </w:pPr>
    </w:p>
    <w:p>
      <w:pPr>
        <w:ind w:firstLine="582"/>
        <w:spacing w:after="0" w:line="257" w:lineRule="auto"/>
        <w:tabs>
          <w:tab w:leader="none" w:pos="846"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that the Company may not be subject to the reporting requirements of Section 13 or 15(d) of the Exchange Act, the Company will file with the Commission and provide the Trustee with such annual and quarterly reports and such information, documents and other reports as are specified in Sections 13 and 15(d) of the Exchange Act and applicable to a U.S. corporation subject to such sections, such information, documents and reports to be so filed and provided at the times specified for the filing of such information, documents and reports under such sections;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(1) the Company will not be required to provide the Trustee with any such information, documents and reports that are filed with the Commission and (2) the Company will not be so obligated to file such information, documents and reports with the Commission if the Commission does not permit such filings;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the Commission does not permit such filings, the Company will be required to provide to Holders any such information, documents or reports that are not so filed. The Company will also comply with the other provisions of TIA § 314(a), including the provision of the compliance certificate under TIA § 314(a)(4), which compliance certificate shall be delivered to the Trustee, commencing with the first fiscal year in which Securities are offered pursuant to this Indenture. Delivery of such reports, information and documents to the Trustee is for informational purposes only and the Trustee’s receipt of such shall not constitute actual or constructive notice or knowledge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71" w:lineRule="exact"/>
        <w:rPr>
          <w:rFonts w:ascii="Times New Roman" w:cs="Times New Roman" w:eastAsia="Times New Roman" w:hAnsi="Times New Roman"/>
          <w:sz w:val="16"/>
          <w:szCs w:val="16"/>
          <w:color w:val="auto"/>
        </w:rPr>
      </w:pPr>
    </w:p>
    <w:p>
      <w:pPr>
        <w:ind w:right="180" w:firstLine="582"/>
        <w:spacing w:after="0" w:line="265" w:lineRule="auto"/>
        <w:tabs>
          <w:tab w:leader="none" w:pos="855"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herein to the contrary, in the event that the Company fails to comply with its obligation to file or provide such information, documents and reports as required hereunder, the Company will be deemed to have cured such Default for purposes of Section 6.01(4) upon the filing or provision of all such information, documents and reports required hereunder prior to the expiration of 120 days after written notice to the Company of such failure from the Trustee or the Holders of at least 25% of the principal amount of the applicable series of Securities.</w:t>
      </w:r>
    </w:p>
    <w:p>
      <w:pPr>
        <w:spacing w:after="0" w:line="161" w:lineRule="exact"/>
        <w:rPr>
          <w:rFonts w:ascii="Times New Roman" w:cs="Times New Roman" w:eastAsia="Times New Roman" w:hAnsi="Times New Roman"/>
          <w:sz w:val="16"/>
          <w:szCs w:val="16"/>
          <w:color w:val="auto"/>
        </w:rPr>
      </w:pPr>
    </w:p>
    <w:p>
      <w:pPr>
        <w:jc w:val="both"/>
        <w:ind w:right="20" w:firstLine="582"/>
        <w:spacing w:after="0" w:line="265" w:lineRule="auto"/>
        <w:tabs>
          <w:tab w:leader="none" w:pos="846"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herein to the contrary, the information, documents and reports required pursuant to this Indenture may, at the option of the Company, instead be those of any direct or indirect parent entity of the Company so long as such parent entity fully and unconditionally guarantees, by execution of this Indenture or a supplemental indenture, the obligations of the Company in respect of the Securities and such parent entity and the Company comply with the requirements of Rule 3-10 and Rule 13-01 of Regulation S-X promulgated by the Commission (or any successor provisions).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4.04. Additional Guarantees.</w:t>
      </w:r>
    </w:p>
    <w:p>
      <w:pPr>
        <w:spacing w:after="0" w:line="208" w:lineRule="exact"/>
        <w:rPr>
          <w:sz w:val="20"/>
          <w:szCs w:val="20"/>
          <w:color w:val="auto"/>
        </w:rPr>
      </w:pPr>
    </w:p>
    <w:p>
      <w:pPr>
        <w:ind w:right="80" w:firstLine="585"/>
        <w:spacing w:after="0" w:line="261" w:lineRule="auto"/>
        <w:rPr>
          <w:sz w:val="20"/>
          <w:szCs w:val="20"/>
          <w:color w:val="auto"/>
        </w:rPr>
      </w:pPr>
      <w:r>
        <w:rPr>
          <w:rFonts w:ascii="Times New Roman" w:cs="Times New Roman" w:eastAsia="Times New Roman" w:hAnsi="Times New Roman"/>
          <w:sz w:val="16"/>
          <w:szCs w:val="16"/>
          <w:color w:val="auto"/>
        </w:rPr>
        <w:t xml:space="preserve">Except as otherwise provided as contemplated by Section 2.02 with respect to any series of Securities, if any Subsidiary of the Company (other than a Receivables Entity) that was not a Guarantor at the time of the execution of this Indenture becomes a guarantor or an obligor in respect of any Triggering Indebtedness, within 10 Business Days of such event, the Company shall cause such Subsidiary to enter into a supplemental indenture pursuant to which such Subsidiary shall agree to Guarantee the Company’s Indenture Obligations, fully and unconditionally and on a junior subordinated basis as provided in Article X;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no event shall a Subsidiary of the Company be required to provide a Guarantee of the Company’s Indenture Obligations if the Company reasonably determines that such Guarantee is prohibited by, or would be unduly burdensome under, applicable laws or would result in adverse tax consequences to the Company or any of its Subsidiaries.</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5" w:name="page216"/>
    <w:bookmarkEnd w:id="215"/>
    <w:p>
      <w:pPr>
        <w:ind w:right="20" w:firstLine="585"/>
        <w:spacing w:after="0" w:line="288" w:lineRule="auto"/>
        <w:rPr>
          <w:sz w:val="20"/>
          <w:szCs w:val="20"/>
          <w:color w:val="auto"/>
        </w:rPr>
      </w:pPr>
      <w:r>
        <w:rPr>
          <w:rFonts w:ascii="Times New Roman" w:cs="Times New Roman" w:eastAsia="Times New Roman" w:hAnsi="Times New Roman"/>
          <w:sz w:val="16"/>
          <w:szCs w:val="16"/>
          <w:color w:val="auto"/>
        </w:rPr>
        <w:t>Notwithstanding the foregoing, any Guarantee by any Guarantor shall be automatically and unconditionally terminated and released, without any action on the part of the Trustee, any Holder of the Securities or any other person in accordance with Section 10.07.</w:t>
      </w:r>
    </w:p>
    <w:p>
      <w:pPr>
        <w:spacing w:after="0" w:line="143" w:lineRule="exact"/>
        <w:rPr>
          <w:sz w:val="20"/>
          <w:szCs w:val="20"/>
          <w:color w:val="auto"/>
        </w:rPr>
      </w:pPr>
    </w:p>
    <w:p>
      <w:pPr>
        <w:ind w:right="40" w:firstLine="585"/>
        <w:spacing w:after="0" w:line="271" w:lineRule="auto"/>
        <w:rPr>
          <w:sz w:val="20"/>
          <w:szCs w:val="20"/>
          <w:color w:val="auto"/>
        </w:rPr>
      </w:pPr>
      <w:r>
        <w:rPr>
          <w:rFonts w:ascii="Times New Roman" w:cs="Times New Roman" w:eastAsia="Times New Roman" w:hAnsi="Times New Roman"/>
          <w:sz w:val="16"/>
          <w:szCs w:val="16"/>
          <w:color w:val="auto"/>
        </w:rPr>
        <w:t>Each Guarantee shall be limited in amount to an amount not to exceed the maximum amount that can be guaranteed by the applicable Guarantor without rendering the Guarantee, as it relates to such Guarantor, voidable under applicable law relating to fraudulent conveyance or fraudulent transfer or similar laws affecting the rights of creditors generally.</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4.05. Compliance Certificate.</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Except as otherwise provided as contemplated by Section 2.02 with respect to any series of Securities:</w:t>
      </w:r>
    </w:p>
    <w:p>
      <w:pPr>
        <w:spacing w:after="0" w:line="206" w:lineRule="exact"/>
        <w:rPr>
          <w:sz w:val="20"/>
          <w:szCs w:val="20"/>
          <w:color w:val="auto"/>
        </w:rPr>
      </w:pPr>
    </w:p>
    <w:p>
      <w:pPr>
        <w:ind w:firstLine="582"/>
        <w:spacing w:after="0" w:line="262" w:lineRule="auto"/>
        <w:tabs>
          <w:tab w:leader="none" w:pos="846"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any Guarantor shall furnish to the Trustee annually, within 120 days after the end of each fiscal year, a brief certificate from the principal executive officer, principal financial officer or principal accounting officer (or, if no such officer exists, a board member), to such person’s knowledge, of the compliance by the Company or any Guarantor, as applicable, with all conditions and covenants under this Indenture (which compliance shall be determined without regard to any period of grace or requirement of notice provided under this Indenture) and, in the event of any Default, specifying each such Default and the nature and status thereof of which such Person may have knowledge. Such certificates need not comply with Sections 12.03 and 12.04 of this Indenture.</w:t>
      </w:r>
    </w:p>
    <w:p>
      <w:pPr>
        <w:spacing w:after="0" w:line="164" w:lineRule="exact"/>
        <w:rPr>
          <w:rFonts w:ascii="Times New Roman" w:cs="Times New Roman" w:eastAsia="Times New Roman" w:hAnsi="Times New Roman"/>
          <w:sz w:val="16"/>
          <w:szCs w:val="16"/>
          <w:color w:val="auto"/>
        </w:rPr>
      </w:pPr>
    </w:p>
    <w:p>
      <w:pPr>
        <w:ind w:right="80" w:firstLine="582"/>
        <w:spacing w:after="0" w:line="288" w:lineRule="auto"/>
        <w:tabs>
          <w:tab w:leader="none" w:pos="855"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 long as any of the Securities are outstanding, the Company will deliver to the Trustee, forthwith upon any Officer becoming aware of any Default or Event of Default, an Officer’s Certificate specifying such Default or Event of Default and what action the Company is taking or proposes to take with respect thereto.</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ARTICLE V</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SUCCESSORS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5.01. Consolidation, Merger and Sale of Assets.</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Except as otherwise provided as contemplated by Section 2.02 with respect to any series of Securities:</w:t>
      </w:r>
    </w:p>
    <w:p>
      <w:pPr>
        <w:spacing w:after="0" w:line="206" w:lineRule="exact"/>
        <w:rPr>
          <w:sz w:val="20"/>
          <w:szCs w:val="20"/>
          <w:color w:val="auto"/>
        </w:rPr>
      </w:pPr>
    </w:p>
    <w:p>
      <w:pPr>
        <w:ind w:right="320" w:firstLine="582"/>
        <w:spacing w:after="0" w:line="288" w:lineRule="auto"/>
        <w:tabs>
          <w:tab w:leader="none" w:pos="846"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not consolidate with any other entity or accept a merger of any other entity into the Company or permit the Company to be merged into another Person, or sell or lease all or substantially all the assets of the Company and its Subsidiaries to, any entity, unless:</w:t>
      </w:r>
    </w:p>
    <w:p>
      <w:pPr>
        <w:spacing w:after="0" w:line="141" w:lineRule="exact"/>
        <w:rPr>
          <w:rFonts w:ascii="Times New Roman" w:cs="Times New Roman" w:eastAsia="Times New Roman" w:hAnsi="Times New Roman"/>
          <w:sz w:val="16"/>
          <w:szCs w:val="16"/>
          <w:color w:val="auto"/>
        </w:rPr>
      </w:pPr>
    </w:p>
    <w:p>
      <w:pPr>
        <w:ind w:left="580" w:right="40" w:firstLine="587"/>
        <w:spacing w:after="0" w:line="272" w:lineRule="auto"/>
        <w:tabs>
          <w:tab w:leader="none" w:pos="1435" w:val="left"/>
        </w:tabs>
        <w:numPr>
          <w:ilvl w:val="1"/>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 the Company shall be the continuing entity or the successor, transferee or lessee entity, if other than the Company (the “</w:t>
      </w:r>
      <w:r>
        <w:rPr>
          <w:rFonts w:ascii="Times New Roman" w:cs="Times New Roman" w:eastAsia="Times New Roman" w:hAnsi="Times New Roman"/>
          <w:sz w:val="16"/>
          <w:szCs w:val="16"/>
          <w:i w:val="1"/>
          <w:iCs w:val="1"/>
          <w:color w:val="auto"/>
        </w:rPr>
        <w:t>Successor Company</w:t>
      </w:r>
      <w:r>
        <w:rPr>
          <w:rFonts w:ascii="Times New Roman" w:cs="Times New Roman" w:eastAsia="Times New Roman" w:hAnsi="Times New Roman"/>
          <w:sz w:val="16"/>
          <w:szCs w:val="16"/>
          <w:color w:val="auto"/>
        </w:rPr>
        <w:t>”), shall expressly assume, by a supplemental indenture, executed and delivered to the Trustee, in form reasonably satisfactory to the Trustee, all the obligations of the Company under the Securities and this Indenture;</w:t>
      </w:r>
    </w:p>
    <w:p>
      <w:pPr>
        <w:spacing w:after="0" w:line="15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after such transaction, no Default shall have occurred and be continuing; and</w:t>
      </w:r>
    </w:p>
    <w:p>
      <w:pPr>
        <w:spacing w:after="0" w:line="205" w:lineRule="exact"/>
        <w:rPr>
          <w:rFonts w:ascii="Times New Roman" w:cs="Times New Roman" w:eastAsia="Times New Roman" w:hAnsi="Times New Roman"/>
          <w:sz w:val="16"/>
          <w:szCs w:val="16"/>
          <w:color w:val="auto"/>
        </w:rPr>
      </w:pPr>
    </w:p>
    <w:p>
      <w:pPr>
        <w:ind w:left="580" w:right="40" w:firstLine="587"/>
        <w:spacing w:after="0" w:line="288" w:lineRule="auto"/>
        <w:tabs>
          <w:tab w:leader="none" w:pos="1435" w:val="left"/>
        </w:tabs>
        <w:numPr>
          <w:ilvl w:val="1"/>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the Trustee an Officer’s Certificate and an Opinion of Counsel, each stating that such consolidation, merger, sale or lease and such supplemental indenture (if any) comply with this Indenture.</w:t>
      </w:r>
    </w:p>
    <w:p>
      <w:pPr>
        <w:spacing w:after="0" w:line="143" w:lineRule="exact"/>
        <w:rPr>
          <w:rFonts w:ascii="Times New Roman" w:cs="Times New Roman" w:eastAsia="Times New Roman" w:hAnsi="Times New Roman"/>
          <w:sz w:val="16"/>
          <w:szCs w:val="16"/>
          <w:color w:val="auto"/>
        </w:rPr>
      </w:pPr>
    </w:p>
    <w:p>
      <w:pPr>
        <w:ind w:right="100" w:firstLine="582"/>
        <w:spacing w:after="0" w:line="271" w:lineRule="auto"/>
        <w:tabs>
          <w:tab w:leader="none" w:pos="855"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Section 5.01, the sale, lease, conveyance, assignment, transfer or other disposition of all or substantially all of the properties and assets or one or more Subsidiaries of the Company, which properties and assets, if held by the Company instead of such Subsidiaries, would constitute all or substantially all of the properties and assets of the Company on a consolidated basis, shall be deemed to be the transfer of all or substantially all of the properties and assets of the Company.</w:t>
      </w:r>
    </w:p>
    <w:p>
      <w:pPr>
        <w:spacing w:after="0" w:line="156" w:lineRule="exact"/>
        <w:rPr>
          <w:rFonts w:ascii="Times New Roman" w:cs="Times New Roman" w:eastAsia="Times New Roman" w:hAnsi="Times New Roman"/>
          <w:sz w:val="16"/>
          <w:szCs w:val="16"/>
          <w:color w:val="auto"/>
        </w:rPr>
      </w:pPr>
    </w:p>
    <w:p>
      <w:pPr>
        <w:ind w:right="140" w:firstLine="582"/>
        <w:spacing w:after="0" w:line="271" w:lineRule="auto"/>
        <w:tabs>
          <w:tab w:leader="none" w:pos="846"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Successor Company will be the successor to the Company and shall succeed to, and be substituted for, and may exercise every right and power of, the Company under this Indenture, and the Company, as the predecessor company, except in the case of a lease, shall be released from all obligations under this Indenture and the Securities.</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16" w:name="page217"/>
    <w:bookmarkEnd w:id="216"/>
    <w:p>
      <w:pPr>
        <w:jc w:val="center"/>
        <w:ind w:right="-39"/>
        <w:spacing w:after="0"/>
        <w:rPr>
          <w:sz w:val="20"/>
          <w:szCs w:val="20"/>
          <w:color w:val="auto"/>
        </w:rPr>
      </w:pPr>
      <w:r>
        <w:rPr>
          <w:rFonts w:ascii="Times New Roman" w:cs="Times New Roman" w:eastAsia="Times New Roman" w:hAnsi="Times New Roman"/>
          <w:sz w:val="16"/>
          <w:szCs w:val="16"/>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DEFAULTS AND REMEDIES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6.01. Events of Default.</w:t>
      </w:r>
    </w:p>
    <w:p>
      <w:pPr>
        <w:spacing w:after="0" w:line="208" w:lineRule="exact"/>
        <w:rPr>
          <w:sz w:val="20"/>
          <w:szCs w:val="20"/>
          <w:color w:val="auto"/>
        </w:rPr>
      </w:pPr>
    </w:p>
    <w:p>
      <w:pPr>
        <w:ind w:right="260" w:firstLine="585"/>
        <w:spacing w:after="0" w:line="271" w:lineRule="auto"/>
        <w:rPr>
          <w:sz w:val="20"/>
          <w:szCs w:val="20"/>
          <w:color w:val="auto"/>
        </w:rPr>
      </w:pPr>
      <w:r>
        <w:rPr>
          <w:rFonts w:ascii="Times New Roman" w:cs="Times New Roman" w:eastAsia="Times New Roman" w:hAnsi="Times New Roman"/>
          <w:sz w:val="16"/>
          <w:szCs w:val="16"/>
          <w:color w:val="auto"/>
        </w:rPr>
        <w:t>Except where otherwise indicated by the context, the term is otherwise defined for a specific purpose or as otherwise provided as contemplated by Section 2.02 with respect to any series of Securities, the term “</w:t>
      </w:r>
      <w:r>
        <w:rPr>
          <w:rFonts w:ascii="Times New Roman" w:cs="Times New Roman" w:eastAsia="Times New Roman" w:hAnsi="Times New Roman"/>
          <w:sz w:val="16"/>
          <w:szCs w:val="16"/>
          <w:i w:val="1"/>
          <w:iCs w:val="1"/>
          <w:color w:val="auto"/>
        </w:rPr>
        <w:t>Event of Default</w:t>
      </w:r>
      <w:r>
        <w:rPr>
          <w:rFonts w:ascii="Times New Roman" w:cs="Times New Roman" w:eastAsia="Times New Roman" w:hAnsi="Times New Roman"/>
          <w:sz w:val="16"/>
          <w:szCs w:val="16"/>
          <w:color w:val="auto"/>
        </w:rPr>
        <w:t>” as used in this Indenture with respect to the Securities of a series shall mean one of the following described events unless it is inapplicable to a particular series:</w:t>
      </w:r>
    </w:p>
    <w:p>
      <w:pPr>
        <w:spacing w:after="0" w:line="156" w:lineRule="exact"/>
        <w:rPr>
          <w:sz w:val="20"/>
          <w:szCs w:val="20"/>
          <w:color w:val="auto"/>
        </w:rPr>
      </w:pPr>
    </w:p>
    <w:p>
      <w:pPr>
        <w:ind w:left="1440" w:hanging="273"/>
        <w:spacing w:after="0"/>
        <w:tabs>
          <w:tab w:leader="none" w:pos="1440"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to pay interest on the Securities of such series that continues for a period of 30 days after payment is due;</w:t>
      </w:r>
    </w:p>
    <w:p>
      <w:pPr>
        <w:spacing w:after="0" w:line="205" w:lineRule="exact"/>
        <w:rPr>
          <w:rFonts w:ascii="Times New Roman" w:cs="Times New Roman" w:eastAsia="Times New Roman" w:hAnsi="Times New Roman"/>
          <w:sz w:val="16"/>
          <w:szCs w:val="16"/>
          <w:color w:val="auto"/>
        </w:rPr>
      </w:pPr>
    </w:p>
    <w:p>
      <w:pPr>
        <w:ind w:left="580" w:right="240" w:firstLine="587"/>
        <w:spacing w:after="0" w:line="288" w:lineRule="auto"/>
        <w:tabs>
          <w:tab w:leader="none" w:pos="1435"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to pay the principal or premium, if any, on the Securities of such series when due upon maturity, redemption (otherwise than pursuant to a sinking fund), acceleration or otherwise;</w:t>
      </w:r>
    </w:p>
    <w:p>
      <w:pPr>
        <w:spacing w:after="0" w:line="14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to comply with Section 5.01;</w:t>
      </w:r>
    </w:p>
    <w:p>
      <w:pPr>
        <w:spacing w:after="0" w:line="205" w:lineRule="exact"/>
        <w:rPr>
          <w:rFonts w:ascii="Times New Roman" w:cs="Times New Roman" w:eastAsia="Times New Roman" w:hAnsi="Times New Roman"/>
          <w:sz w:val="16"/>
          <w:szCs w:val="16"/>
          <w:color w:val="auto"/>
        </w:rPr>
      </w:pPr>
    </w:p>
    <w:p>
      <w:pPr>
        <w:ind w:left="580" w:right="60" w:firstLine="587"/>
        <w:spacing w:after="0" w:line="261" w:lineRule="auto"/>
        <w:tabs>
          <w:tab w:leader="none" w:pos="1435"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to comply with (x) any of the Company’s and the Guarantors’ other applicable agreements contained in this Indenture and applicable to the Securities of such series (other than (i) a failure that is subject to clause (1), (2) or (3) of this Section 6.01 or (ii) a failure to comply with Section 4.03) for a period of 60 days after receipt by the Company of written notice of such failure from the Trustee (or receipt by the Company and the Trustee of written notice of such failure from the Holders of at least 25% of the principal amount of the applicable series of Securities) or (y) the requirements set forth in Section 4.03 for a period of 120 days after receipt by the Company of written notice of such failure from the Trustee (or receipt by the Company and the Trustee of written notice of such failure from the Holders of at least 25% of the principal amount of the applicable series of Securities);</w:t>
      </w:r>
    </w:p>
    <w:p>
      <w:pPr>
        <w:spacing w:after="0" w:line="16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[Reserved];</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[Reserved];</w:t>
      </w:r>
    </w:p>
    <w:p>
      <w:pPr>
        <w:spacing w:after="0" w:line="205" w:lineRule="exact"/>
        <w:rPr>
          <w:rFonts w:ascii="Times New Roman" w:cs="Times New Roman" w:eastAsia="Times New Roman" w:hAnsi="Times New Roman"/>
          <w:sz w:val="16"/>
          <w:szCs w:val="16"/>
          <w:color w:val="auto"/>
        </w:rPr>
      </w:pPr>
    </w:p>
    <w:p>
      <w:pPr>
        <w:ind w:left="580" w:firstLine="587"/>
        <w:spacing w:after="0" w:line="265" w:lineRule="auto"/>
        <w:tabs>
          <w:tab w:leader="none" w:pos="1435"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Guarantee by a Significant Subsidiary of the Company’s Indenture Obligations under the Securities of such series shall for any reason cease to be, or shall for any reason be held in any judicial proceeding not to be, or asserted in writing by any Significant Subsidiary or the Company not to be, in full force and effect and enforceable in accordance with its terms, except to the extent contemplated by this Indenture and any such Guarantee by such Significant Subsidiary of the Company’s Indenture Obligations under the Securities of such series, and any such Default continues for 10 days;</w:t>
      </w:r>
    </w:p>
    <w:p>
      <w:pPr>
        <w:spacing w:after="0" w:line="161"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any Significant Subsidiary:</w:t>
      </w:r>
    </w:p>
    <w:p>
      <w:pPr>
        <w:spacing w:after="0" w:line="205" w:lineRule="exact"/>
        <w:rPr>
          <w:rFonts w:ascii="Times New Roman" w:cs="Times New Roman" w:eastAsia="Times New Roman" w:hAnsi="Times New Roman"/>
          <w:sz w:val="16"/>
          <w:szCs w:val="16"/>
          <w:color w:val="auto"/>
        </w:rPr>
      </w:pPr>
    </w:p>
    <w:p>
      <w:pPr>
        <w:ind w:left="2060" w:hanging="309"/>
        <w:spacing w:after="0"/>
        <w:tabs>
          <w:tab w:leader="none" w:pos="2060" w:val="left"/>
        </w:tabs>
        <w:numPr>
          <w:ilvl w:val="1"/>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commences a voluntary insolvency proceeding;</w:t>
      </w:r>
    </w:p>
    <w:p>
      <w:pPr>
        <w:spacing w:after="0" w:line="205" w:lineRule="exact"/>
        <w:rPr>
          <w:rFonts w:ascii="Times New Roman" w:cs="Times New Roman" w:eastAsia="Times New Roman" w:hAnsi="Times New Roman"/>
          <w:sz w:val="16"/>
          <w:szCs w:val="16"/>
          <w:color w:val="auto"/>
        </w:rPr>
      </w:pPr>
    </w:p>
    <w:p>
      <w:pPr>
        <w:ind w:left="2040" w:hanging="289"/>
        <w:spacing w:after="0"/>
        <w:tabs>
          <w:tab w:leader="none" w:pos="2040" w:val="left"/>
        </w:tabs>
        <w:numPr>
          <w:ilvl w:val="1"/>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consents to the entry of an order for relief against it in an involuntary insolvency proceeding or consents to its dissolution or winding-up;</w:t>
      </w:r>
    </w:p>
    <w:p>
      <w:pPr>
        <w:spacing w:after="0" w:line="205" w:lineRule="exact"/>
        <w:rPr>
          <w:rFonts w:ascii="Times New Roman" w:cs="Times New Roman" w:eastAsia="Times New Roman" w:hAnsi="Times New Roman"/>
          <w:sz w:val="16"/>
          <w:szCs w:val="16"/>
          <w:color w:val="auto"/>
        </w:rPr>
      </w:pPr>
    </w:p>
    <w:p>
      <w:pPr>
        <w:ind w:left="2040" w:hanging="289"/>
        <w:spacing w:after="0"/>
        <w:tabs>
          <w:tab w:leader="none" w:pos="2040" w:val="left"/>
        </w:tabs>
        <w:numPr>
          <w:ilvl w:val="1"/>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consents to the appointment of a Custodian of it or for any substantial part of its property;</w:t>
      </w:r>
    </w:p>
    <w:p>
      <w:pPr>
        <w:spacing w:after="0" w:line="205" w:lineRule="exact"/>
        <w:rPr>
          <w:rFonts w:ascii="Times New Roman" w:cs="Times New Roman" w:eastAsia="Times New Roman" w:hAnsi="Times New Roman"/>
          <w:sz w:val="16"/>
          <w:szCs w:val="16"/>
          <w:color w:val="auto"/>
        </w:rPr>
      </w:pPr>
    </w:p>
    <w:p>
      <w:pPr>
        <w:ind w:left="2060" w:hanging="309"/>
        <w:spacing w:after="0"/>
        <w:tabs>
          <w:tab w:leader="none" w:pos="2060" w:val="left"/>
        </w:tabs>
        <w:numPr>
          <w:ilvl w:val="1"/>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makes a general assignment for the benefit of its creditors;</w:t>
      </w:r>
    </w:p>
    <w:p>
      <w:pPr>
        <w:spacing w:after="0" w:line="205" w:lineRule="exact"/>
        <w:rPr>
          <w:rFonts w:ascii="Times New Roman" w:cs="Times New Roman" w:eastAsia="Times New Roman" w:hAnsi="Times New Roman"/>
          <w:sz w:val="16"/>
          <w:szCs w:val="16"/>
          <w:color w:val="auto"/>
        </w:rPr>
      </w:pPr>
    </w:p>
    <w:p>
      <w:pPr>
        <w:ind w:left="2040" w:hanging="289"/>
        <w:spacing w:after="0"/>
        <w:tabs>
          <w:tab w:leader="none" w:pos="2040" w:val="left"/>
        </w:tabs>
        <w:numPr>
          <w:ilvl w:val="1"/>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generally is not paying its debts as they become due; or</w:t>
      </w:r>
    </w:p>
    <w:p>
      <w:pPr>
        <w:spacing w:after="0" w:line="205" w:lineRule="exact"/>
        <w:rPr>
          <w:rFonts w:ascii="Times New Roman" w:cs="Times New Roman" w:eastAsia="Times New Roman" w:hAnsi="Times New Roman"/>
          <w:sz w:val="16"/>
          <w:szCs w:val="16"/>
          <w:color w:val="auto"/>
        </w:rPr>
      </w:pPr>
    </w:p>
    <w:p>
      <w:pPr>
        <w:ind w:left="2040" w:hanging="289"/>
        <w:spacing w:after="0"/>
        <w:tabs>
          <w:tab w:leader="none" w:pos="2040" w:val="left"/>
        </w:tabs>
        <w:numPr>
          <w:ilvl w:val="1"/>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takes any comparable action under any foreign laws relating to insolvency;</w:t>
      </w:r>
    </w:p>
    <w:p>
      <w:pPr>
        <w:spacing w:after="0" w:line="204" w:lineRule="exact"/>
        <w:rPr>
          <w:sz w:val="20"/>
          <w:szCs w:val="20"/>
          <w:color w:val="auto"/>
        </w:rPr>
      </w:pPr>
    </w:p>
    <w:p>
      <w:pPr>
        <w:ind w:right="800"/>
        <w:spacing w:after="0" w:line="291" w:lineRule="auto"/>
        <w:rPr>
          <w:sz w:val="20"/>
          <w:szCs w:val="20"/>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the liquidation of any Subsidiary of the Company into the Company or another Subsidiary of the Company, other than as part of a credit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reorganization, shall not constitute an Event of Default under this Section 6.01(8);</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17" w:name="page218"/>
    <w:bookmarkEnd w:id="217"/>
    <w:p>
      <w:pPr>
        <w:ind w:left="1440" w:hanging="273"/>
        <w:spacing w:after="0"/>
        <w:tabs>
          <w:tab w:leader="none" w:pos="144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court of competent jurisdiction enters an order or decree under any Bankruptcy Law that:</w:t>
      </w:r>
    </w:p>
    <w:p>
      <w:pPr>
        <w:spacing w:after="0" w:line="205" w:lineRule="exact"/>
        <w:rPr>
          <w:rFonts w:ascii="Times New Roman" w:cs="Times New Roman" w:eastAsia="Times New Roman" w:hAnsi="Times New Roman"/>
          <w:sz w:val="16"/>
          <w:szCs w:val="16"/>
          <w:color w:val="auto"/>
        </w:rPr>
      </w:pPr>
    </w:p>
    <w:p>
      <w:pPr>
        <w:ind w:left="2060" w:hanging="309"/>
        <w:spacing w:after="0"/>
        <w:tabs>
          <w:tab w:leader="none" w:pos="2060"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for relief against the Company or any Significant Subsidiary in an involuntary insolvency proceeding;</w:t>
      </w:r>
    </w:p>
    <w:p>
      <w:pPr>
        <w:spacing w:after="0" w:line="205" w:lineRule="exact"/>
        <w:rPr>
          <w:rFonts w:ascii="Times New Roman" w:cs="Times New Roman" w:eastAsia="Times New Roman" w:hAnsi="Times New Roman"/>
          <w:sz w:val="16"/>
          <w:szCs w:val="16"/>
          <w:color w:val="auto"/>
        </w:rPr>
      </w:pPr>
    </w:p>
    <w:p>
      <w:pPr>
        <w:ind w:left="2040" w:hanging="289"/>
        <w:spacing w:after="0"/>
        <w:tabs>
          <w:tab w:leader="none" w:pos="2040"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appoints a Custodian of the Company or any Significant Subsidiary or for any substantial part of their property;</w:t>
      </w:r>
    </w:p>
    <w:p>
      <w:pPr>
        <w:spacing w:after="0" w:line="205" w:lineRule="exact"/>
        <w:rPr>
          <w:rFonts w:ascii="Times New Roman" w:cs="Times New Roman" w:eastAsia="Times New Roman" w:hAnsi="Times New Roman"/>
          <w:sz w:val="16"/>
          <w:szCs w:val="16"/>
          <w:color w:val="auto"/>
        </w:rPr>
      </w:pPr>
    </w:p>
    <w:p>
      <w:pPr>
        <w:ind w:left="2040" w:hanging="289"/>
        <w:spacing w:after="0"/>
        <w:tabs>
          <w:tab w:leader="none" w:pos="2040"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orders the winding-up, liquidation or dissolution of the Company or any Significant Subsidiary;</w:t>
      </w:r>
    </w:p>
    <w:p>
      <w:pPr>
        <w:spacing w:after="0" w:line="205" w:lineRule="exact"/>
        <w:rPr>
          <w:rFonts w:ascii="Times New Roman" w:cs="Times New Roman" w:eastAsia="Times New Roman" w:hAnsi="Times New Roman"/>
          <w:sz w:val="16"/>
          <w:szCs w:val="16"/>
          <w:color w:val="auto"/>
        </w:rPr>
      </w:pPr>
    </w:p>
    <w:p>
      <w:pPr>
        <w:ind w:left="2060" w:hanging="309"/>
        <w:spacing w:after="0"/>
        <w:tabs>
          <w:tab w:leader="none" w:pos="2060"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orders the presentation of any plan or arrangement, compromise or reorganization of the Company or any Significant Subsidiary; or</w:t>
      </w:r>
    </w:p>
    <w:p>
      <w:pPr>
        <w:spacing w:after="0" w:line="205" w:lineRule="exact"/>
        <w:rPr>
          <w:rFonts w:ascii="Times New Roman" w:cs="Times New Roman" w:eastAsia="Times New Roman" w:hAnsi="Times New Roman"/>
          <w:sz w:val="16"/>
          <w:szCs w:val="16"/>
          <w:color w:val="auto"/>
        </w:rPr>
      </w:pPr>
    </w:p>
    <w:p>
      <w:pPr>
        <w:ind w:left="2040" w:hanging="289"/>
        <w:spacing w:after="0"/>
        <w:tabs>
          <w:tab w:leader="none" w:pos="2040"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grants any similar relief under any foreign laws;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in each such case the order or decree remains unstayed and in effect for 60 days;</w:t>
      </w:r>
    </w:p>
    <w:p>
      <w:pPr>
        <w:spacing w:after="0" w:line="206" w:lineRule="exact"/>
        <w:rPr>
          <w:sz w:val="20"/>
          <w:szCs w:val="20"/>
          <w:color w:val="auto"/>
        </w:rPr>
      </w:pPr>
    </w:p>
    <w:p>
      <w:pPr>
        <w:ind w:left="580" w:right="160" w:firstLine="587"/>
        <w:spacing w:after="0" w:line="288" w:lineRule="auto"/>
        <w:tabs>
          <w:tab w:leader="none" w:pos="1557"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of the Company to pay a sinking fund installment, if any, when and as the same shall become payable by the terms of a Security of such series, which failure shall have continued unremedied for a period of 30 days; and</w:t>
      </w:r>
    </w:p>
    <w:p>
      <w:pPr>
        <w:spacing w:after="0" w:line="143" w:lineRule="exact"/>
        <w:rPr>
          <w:rFonts w:ascii="Times New Roman" w:cs="Times New Roman" w:eastAsia="Times New Roman" w:hAnsi="Times New Roman"/>
          <w:sz w:val="16"/>
          <w:szCs w:val="16"/>
          <w:color w:val="auto"/>
        </w:rPr>
      </w:pPr>
    </w:p>
    <w:p>
      <w:pPr>
        <w:ind w:left="1520" w:hanging="353"/>
        <w:spacing w:after="0"/>
        <w:tabs>
          <w:tab w:leader="none" w:pos="152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other Event of Default with respect to Securities of such series as provided in Section 2.02.</w:t>
      </w:r>
    </w:p>
    <w:p>
      <w:pPr>
        <w:spacing w:after="0" w:line="206" w:lineRule="exact"/>
        <w:rPr>
          <w:sz w:val="20"/>
          <w:szCs w:val="20"/>
          <w:color w:val="auto"/>
        </w:rPr>
      </w:pPr>
    </w:p>
    <w:p>
      <w:pPr>
        <w:ind w:right="440" w:firstLine="585"/>
        <w:spacing w:after="0" w:line="288" w:lineRule="auto"/>
        <w:rPr>
          <w:sz w:val="20"/>
          <w:szCs w:val="20"/>
          <w:color w:val="auto"/>
        </w:rPr>
      </w:pPr>
      <w:r>
        <w:rPr>
          <w:rFonts w:ascii="Times New Roman" w:cs="Times New Roman" w:eastAsia="Times New Roman" w:hAnsi="Times New Roman"/>
          <w:sz w:val="16"/>
          <w:szCs w:val="16"/>
          <w:color w:val="auto"/>
        </w:rPr>
        <w:t>The foregoing will constitute Events of Default whatever the reason for any such Event of Default and whether it is voluntary or involuntary or is effected by operation of law or pursuant to any judgment, decree or order of any court or any order, rule or regulation of any administrative or governmental body.</w:t>
      </w:r>
    </w:p>
    <w:p>
      <w:pPr>
        <w:spacing w:after="0" w:line="143" w:lineRule="exact"/>
        <w:rPr>
          <w:sz w:val="20"/>
          <w:szCs w:val="20"/>
          <w:color w:val="auto"/>
        </w:rPr>
      </w:pPr>
    </w:p>
    <w:p>
      <w:pPr>
        <w:ind w:firstLine="585"/>
        <w:spacing w:after="0" w:line="259" w:lineRule="auto"/>
        <w:rPr>
          <w:sz w:val="20"/>
          <w:szCs w:val="20"/>
          <w:color w:val="auto"/>
        </w:rPr>
      </w:pPr>
      <w:r>
        <w:rPr>
          <w:rFonts w:ascii="Times New Roman" w:cs="Times New Roman" w:eastAsia="Times New Roman" w:hAnsi="Times New Roman"/>
          <w:sz w:val="16"/>
          <w:szCs w:val="16"/>
          <w:color w:val="auto"/>
        </w:rPr>
        <w:t>Notwithstanding the foregoing provisions of this Section 6.01, if the principal or any premium or interest on any Security is payable in a Currency other than U.S. Dollars and such Currency is not available to the Company for making payment thereof due to the imposition of exchange controls or other circumstances beyond the control of the Company, the Company will be entitled to satisfy its obligations to Holders of the Securities by making such payment in U.S. Dollars in an amount equal to the U.S. Dollars equivalent of the amount payable in such other Currency, as determined by the Company’s agent in accordance with Section 2.20 by reference to the noon buying rate in The City of New York for cable transfers for such Currency (“</w:t>
      </w:r>
      <w:r>
        <w:rPr>
          <w:rFonts w:ascii="Times New Roman" w:cs="Times New Roman" w:eastAsia="Times New Roman" w:hAnsi="Times New Roman"/>
          <w:sz w:val="16"/>
          <w:szCs w:val="16"/>
          <w:i w:val="1"/>
          <w:iCs w:val="1"/>
          <w:color w:val="auto"/>
        </w:rPr>
        <w:t>Exchange Rate</w:t>
      </w:r>
      <w:r>
        <w:rPr>
          <w:rFonts w:ascii="Times New Roman" w:cs="Times New Roman" w:eastAsia="Times New Roman" w:hAnsi="Times New Roman"/>
          <w:sz w:val="16"/>
          <w:szCs w:val="16"/>
          <w:color w:val="auto"/>
        </w:rPr>
        <w:t>”), as such Exchange Rate is reported or otherwise made available by the Federal Reserve Bank of New York on the date of such payment, or, if such rate is not then available, on the basis of the most recently available Exchange Rate. Notwithstanding the foregoing provisions of this Section 6.01, any payment made under such circumstances in U.S. Dollars where the required payment is in a Currency other than U.S. Dollars will not constitute an Event of Default under this Indenture.</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6.02. Acceleration of Maturity; Rescission.</w:t>
      </w:r>
    </w:p>
    <w:p>
      <w:pPr>
        <w:spacing w:after="0" w:line="208" w:lineRule="exact"/>
        <w:rPr>
          <w:sz w:val="20"/>
          <w:szCs w:val="20"/>
          <w:color w:val="auto"/>
        </w:rPr>
      </w:pPr>
    </w:p>
    <w:p>
      <w:pPr>
        <w:ind w:firstLine="585"/>
        <w:spacing w:after="0" w:line="257" w:lineRule="auto"/>
        <w:rPr>
          <w:sz w:val="20"/>
          <w:szCs w:val="20"/>
          <w:color w:val="auto"/>
        </w:rPr>
      </w:pPr>
      <w:r>
        <w:rPr>
          <w:rFonts w:ascii="Times New Roman" w:cs="Times New Roman" w:eastAsia="Times New Roman" w:hAnsi="Times New Roman"/>
          <w:sz w:val="16"/>
          <w:szCs w:val="16"/>
          <w:color w:val="auto"/>
        </w:rPr>
        <w:t>Except as otherwise provided as contemplated by Section 2.02 with respect to any series of Securities, if an Event of Default with respect to the Securities of a series (other than an Event of Default specified in Sections 6.01(8) and 6.01(9) with respect to the Company) shall have occurred and be continuing, the Trustee or the Holders of at least 25% in outstanding principal amount of the Securities of such series may declare to be immediately due and payable the principal amount of all of the Securities of such series then outstanding, plus accrued but unpaid interest thereon, if any, to the date of acceleration. If an Event of Default specified in Sections 6.01(8) and 6.01(9) with respect to the Company shall occur, such amount with respect to all the Securities shall become automatically due and payable immediately without any further action or notice. However, a notice of Default or notice of continuing Event of Default (including any declaration of acceleration) with respect to the Securities of any series may not be given with respect to any action taken, and reported publicly or to Holders of the Securities of such series, more than two years prior to such notice. After any such acceleration, but before a judgment or decree based on acceleration is obtained by the applicable person, the registered Holders of a majority in principal amount of the then outstanding Securities of such series may cancel such acceleration if (i) the rescission would not conflict with any judgment or decree and (ii) if all existing Events of Default have been cured or waived except nonpayment of principal, that has become due solely because of the acceleration. No such rescission shall affect any subsequent Default or impair any right consequent thereto.</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8" w:name="page219"/>
    <w:bookmarkEnd w:id="218"/>
    <w:p>
      <w:pPr>
        <w:ind w:right="80" w:firstLine="585"/>
        <w:spacing w:after="0" w:line="262" w:lineRule="auto"/>
        <w:rPr>
          <w:sz w:val="20"/>
          <w:szCs w:val="20"/>
          <w:color w:val="auto"/>
        </w:rPr>
      </w:pPr>
      <w:r>
        <w:rPr>
          <w:rFonts w:ascii="Times New Roman" w:cs="Times New Roman" w:eastAsia="Times New Roman" w:hAnsi="Times New Roman"/>
          <w:sz w:val="16"/>
          <w:szCs w:val="16"/>
          <w:color w:val="auto"/>
        </w:rPr>
        <w:t>Subject to Section 7.01, in case an Event of Default shall occur and be continuing, the Trustee shall be under no obligation to exercise any of its rights or powers under this Indenture at the request or direction of any of the Holders of Securities of any series, unless such Holders have offered to the Trustee reasonable security and/or indemnity to its satisfaction. Subject to Section 7.06, the Holders of a majority in aggregate principal amount of any series of Securities then outstanding will have the right to direct the time, method and place of conducting any proceeding for any remedy available to the Trustee or exercising any trust or power the Trustee holds with respect to the Securities of such series.</w:t>
      </w:r>
    </w:p>
    <w:p>
      <w:pPr>
        <w:spacing w:after="0" w:line="165" w:lineRule="exact"/>
        <w:rPr>
          <w:sz w:val="20"/>
          <w:szCs w:val="20"/>
          <w:color w:val="auto"/>
        </w:rPr>
      </w:pPr>
    </w:p>
    <w:p>
      <w:pPr>
        <w:ind w:right="180" w:firstLine="585"/>
        <w:spacing w:after="0" w:line="262" w:lineRule="auto"/>
        <w:rPr>
          <w:sz w:val="20"/>
          <w:szCs w:val="20"/>
          <w:color w:val="auto"/>
        </w:rPr>
      </w:pPr>
      <w:r>
        <w:rPr>
          <w:rFonts w:ascii="Times New Roman" w:cs="Times New Roman" w:eastAsia="Times New Roman" w:hAnsi="Times New Roman"/>
          <w:sz w:val="16"/>
          <w:szCs w:val="16"/>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6.03. Other Remedies.</w:t>
      </w:r>
    </w:p>
    <w:p>
      <w:pPr>
        <w:spacing w:after="0" w:line="208" w:lineRule="exact"/>
        <w:rPr>
          <w:sz w:val="20"/>
          <w:szCs w:val="20"/>
          <w:color w:val="auto"/>
        </w:rPr>
      </w:pPr>
    </w:p>
    <w:p>
      <w:pPr>
        <w:ind w:right="100" w:firstLine="585"/>
        <w:spacing w:after="0" w:line="271" w:lineRule="auto"/>
        <w:rPr>
          <w:sz w:val="20"/>
          <w:szCs w:val="20"/>
          <w:color w:val="auto"/>
        </w:rPr>
      </w:pPr>
      <w:r>
        <w:rPr>
          <w:rFonts w:ascii="Times New Roman" w:cs="Times New Roman" w:eastAsia="Times New Roman" w:hAnsi="Times New Roman"/>
          <w:sz w:val="16"/>
          <w:szCs w:val="16"/>
          <w:color w:val="auto"/>
        </w:rPr>
        <w:t>If an Event of Default occurs and is continuing, the Trustee may pursue any available remedy by proceeding at law or in equity to collect the payment of principal of, or premium, if any, and interest on the Securities of each applicable series or to enforce the performance of any provision of the Securities of each applicable series or this Indenture and may take any necessary action requested of it as Trustee to settle, compromise, adjust or otherwise conclude any proceedings to which it is a party.</w:t>
      </w:r>
    </w:p>
    <w:p>
      <w:pPr>
        <w:spacing w:after="0" w:line="156" w:lineRule="exact"/>
        <w:rPr>
          <w:sz w:val="20"/>
          <w:szCs w:val="20"/>
          <w:color w:val="auto"/>
        </w:rPr>
      </w:pPr>
    </w:p>
    <w:p>
      <w:pPr>
        <w:ind w:right="60" w:firstLine="585"/>
        <w:spacing w:after="0" w:line="261" w:lineRule="auto"/>
        <w:rPr>
          <w:sz w:val="20"/>
          <w:szCs w:val="20"/>
          <w:color w:val="auto"/>
        </w:rPr>
      </w:pPr>
      <w:r>
        <w:rPr>
          <w:rFonts w:ascii="Times New Roman" w:cs="Times New Roman" w:eastAsia="Times New Roman" w:hAnsi="Times New Roman"/>
          <w:sz w:val="16"/>
          <w:szCs w:val="16"/>
          <w:color w:val="auto"/>
        </w:rPr>
        <w:t>The Trustee may maintain a proceeding even if it does not possess any of the Securities or does not produce any of them in the proceeding. Any such proceeding instituted by the Trustee may be brought in its own name and as trustee of an express trust, and any recovery of judgment shall, after provision for the payment of the reasonable compensation, expenses, disbursements of the Trustee and its counsel, be for the ratable benefit of the Holders of the Securities in respect of which such judgment has been recovered.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 Any costs associated with actions taken by the Trustee under this Section 6.03 shall be reimbursed to the Trustee by the Company.</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6.04. Waiver of Past Defaults and Events of Default.</w:t>
      </w:r>
    </w:p>
    <w:p>
      <w:pPr>
        <w:spacing w:after="0" w:line="208" w:lineRule="exact"/>
        <w:rPr>
          <w:sz w:val="20"/>
          <w:szCs w:val="20"/>
          <w:color w:val="auto"/>
        </w:rPr>
      </w:pPr>
    </w:p>
    <w:p>
      <w:pPr>
        <w:ind w:firstLine="585"/>
        <w:spacing w:after="0" w:line="261" w:lineRule="auto"/>
        <w:rPr>
          <w:sz w:val="20"/>
          <w:szCs w:val="20"/>
          <w:color w:val="auto"/>
        </w:rPr>
      </w:pPr>
      <w:r>
        <w:rPr>
          <w:rFonts w:ascii="Times New Roman" w:cs="Times New Roman" w:eastAsia="Times New Roman" w:hAnsi="Times New Roman"/>
          <w:sz w:val="16"/>
          <w:szCs w:val="16"/>
          <w:color w:val="auto"/>
        </w:rPr>
        <w:t xml:space="preserve">Provided the Securities of a series are not then due and payable by reason of a declaration of acceleration, the Holders of a majority in principal amount of the then outstanding Securities of such series may on behalf of the Holders of all the affected Securities of such series waive any past Default with respect to such series of Securities and its consequences by providing written notice thereof to the Company and the Trustee, except a Default (1) in the payment of interest on or the principal of any Security or (2) in respect of a covenant or provision hereof which under this Indenture cannot be modified or amended without the consent of the Holder of each outstanding Security affected. In the case of any such waiver, the Company, the Trustee and the Holders of the Securities of the applicable series will be restored to their former positions and rights under this Indenture, respectively;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such waiver shall extend to any subsequent or other Default or impair any right consequent thereto.</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6.05. Control by Majority.</w:t>
      </w:r>
    </w:p>
    <w:p>
      <w:pPr>
        <w:spacing w:after="0" w:line="208" w:lineRule="exact"/>
        <w:rPr>
          <w:sz w:val="20"/>
          <w:szCs w:val="20"/>
          <w:color w:val="auto"/>
        </w:rPr>
      </w:pPr>
    </w:p>
    <w:p>
      <w:pPr>
        <w:ind w:right="80" w:firstLine="585"/>
        <w:spacing w:after="0" w:line="262" w:lineRule="auto"/>
        <w:rPr>
          <w:sz w:val="20"/>
          <w:szCs w:val="20"/>
          <w:color w:val="auto"/>
        </w:rPr>
      </w:pPr>
      <w:r>
        <w:rPr>
          <w:rFonts w:ascii="Times New Roman" w:cs="Times New Roman" w:eastAsia="Times New Roman" w:hAnsi="Times New Roman"/>
          <w:sz w:val="16"/>
          <w:szCs w:val="16"/>
          <w:color w:val="auto"/>
        </w:rPr>
        <w:t>The Holders of at least a majority in aggregate principal amount of the outstanding Securities of a series may direct the time, method and place of conducting any proceeding for any remedy available to the Trustee or exercising any trust or power conferred on the Trustee with respect to the Securities of such series. However, the Trustee may refuse to follow any direction that conflicts with law or this Indenture, that may involve the Trustee in personal liability, or that the Trustee determines in good faith may be unduly prejudicial to the rights of Holders of the affected Securities not joining in the giving of such direction and may take any other action it deems proper that is not inconsistent with any such direction received from Holders of the Securities.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19" w:name="page220"/>
    <w:bookmarkEnd w:id="219"/>
    <w:p>
      <w:pPr>
        <w:ind w:left="580"/>
        <w:spacing w:after="0"/>
        <w:rPr>
          <w:sz w:val="20"/>
          <w:szCs w:val="20"/>
          <w:color w:val="auto"/>
        </w:rPr>
      </w:pPr>
      <w:r>
        <w:rPr>
          <w:rFonts w:ascii="Times New Roman" w:cs="Times New Roman" w:eastAsia="Times New Roman" w:hAnsi="Times New Roman"/>
          <w:sz w:val="16"/>
          <w:szCs w:val="16"/>
          <w:i w:val="1"/>
          <w:iCs w:val="1"/>
          <w:color w:val="auto"/>
        </w:rPr>
        <w:t>Section 6.06. Limitation on Suits.</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 Holder of the Securities of a series will have any right to institute any proceeding with respect to this Indenture, or for any remedy hereunder, unless:</w:t>
      </w:r>
    </w:p>
    <w:p>
      <w:pPr>
        <w:spacing w:after="0" w:line="206" w:lineRule="exact"/>
        <w:rPr>
          <w:sz w:val="20"/>
          <w:szCs w:val="20"/>
          <w:color w:val="auto"/>
        </w:rPr>
      </w:pPr>
    </w:p>
    <w:p>
      <w:pPr>
        <w:ind w:left="580" w:right="60" w:firstLine="587"/>
        <w:spacing w:after="0" w:line="288" w:lineRule="auto"/>
        <w:tabs>
          <w:tab w:leader="none" w:pos="1435"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has failed to institute such proceeding for 60 days after the Holder has previously given to the Trustee written notice of a continuing Event of Default with respect to the Securities of such series;</w:t>
      </w:r>
    </w:p>
    <w:p>
      <w:pPr>
        <w:spacing w:after="0" w:line="143" w:lineRule="exact"/>
        <w:rPr>
          <w:rFonts w:ascii="Times New Roman" w:cs="Times New Roman" w:eastAsia="Times New Roman" w:hAnsi="Times New Roman"/>
          <w:sz w:val="16"/>
          <w:szCs w:val="16"/>
          <w:color w:val="auto"/>
        </w:rPr>
      </w:pPr>
    </w:p>
    <w:p>
      <w:pPr>
        <w:ind w:left="580" w:right="160" w:firstLine="587"/>
        <w:spacing w:after="0" w:line="288" w:lineRule="auto"/>
        <w:tabs>
          <w:tab w:leader="none" w:pos="1435"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at least 25% in aggregate principal amount of the outstanding Securities of such series have made a written request, and offered to the Trustee reasonable security and/or indemnity satisfactory to it to institute such proceeding as Trustee; and</w:t>
      </w:r>
    </w:p>
    <w:p>
      <w:pPr>
        <w:spacing w:after="0" w:line="143" w:lineRule="exact"/>
        <w:rPr>
          <w:rFonts w:ascii="Times New Roman" w:cs="Times New Roman" w:eastAsia="Times New Roman" w:hAnsi="Times New Roman"/>
          <w:sz w:val="16"/>
          <w:szCs w:val="16"/>
          <w:color w:val="auto"/>
        </w:rPr>
      </w:pPr>
    </w:p>
    <w:p>
      <w:pPr>
        <w:ind w:left="580" w:firstLine="587"/>
        <w:spacing w:after="0" w:line="288" w:lineRule="auto"/>
        <w:tabs>
          <w:tab w:leader="none" w:pos="1435"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has not received from the Holders of a majority in aggregate principal amount of the outstanding Securities of such series a direction that is inconsistent with such request.</w:t>
      </w:r>
    </w:p>
    <w:p>
      <w:pPr>
        <w:spacing w:after="0" w:line="143" w:lineRule="exact"/>
        <w:rPr>
          <w:sz w:val="20"/>
          <w:szCs w:val="20"/>
          <w:color w:val="auto"/>
        </w:rPr>
      </w:pPr>
    </w:p>
    <w:p>
      <w:pPr>
        <w:ind w:right="100" w:firstLine="585"/>
        <w:spacing w:after="0" w:line="288" w:lineRule="auto"/>
        <w:rPr>
          <w:sz w:val="20"/>
          <w:szCs w:val="20"/>
          <w:color w:val="auto"/>
        </w:rPr>
      </w:pPr>
      <w:r>
        <w:rPr>
          <w:rFonts w:ascii="Times New Roman" w:cs="Times New Roman" w:eastAsia="Times New Roman" w:hAnsi="Times New Roman"/>
          <w:sz w:val="16"/>
          <w:szCs w:val="16"/>
          <w:color w:val="auto"/>
        </w:rPr>
        <w:t>However, the Holder of any Security will have an absolute and unconditional right to receive payment of the principal of, and premium, if any, or interest on, such Security on or after the date or dates they are to be paid as expressed in such Security and to institute suit for the enforcement of any such payment.</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6.07. Rights of Holders To Receive Payment.</w:t>
      </w:r>
    </w:p>
    <w:p>
      <w:pPr>
        <w:spacing w:after="0" w:line="208" w:lineRule="exact"/>
        <w:rPr>
          <w:sz w:val="20"/>
          <w:szCs w:val="20"/>
          <w:color w:val="auto"/>
        </w:rPr>
      </w:pPr>
    </w:p>
    <w:p>
      <w:pPr>
        <w:ind w:right="40" w:firstLine="585"/>
        <w:spacing w:after="0" w:line="259" w:lineRule="auto"/>
        <w:rPr>
          <w:sz w:val="20"/>
          <w:szCs w:val="20"/>
          <w:color w:val="auto"/>
        </w:rPr>
      </w:pPr>
      <w:r>
        <w:rPr>
          <w:rFonts w:ascii="Times New Roman" w:cs="Times New Roman" w:eastAsia="Times New Roman" w:hAnsi="Times New Roman"/>
          <w:sz w:val="16"/>
          <w:szCs w:val="16"/>
          <w:color w:val="auto"/>
        </w:rPr>
        <w:t>Notwithstanding any other provision of this Indenture, the right of any Holder of a Security to receive payment of the principal of or premium, if any, or interest, if any, on such Security (including in connection with an offer to purchase) or to bring suit for the enforcement of any such payment, on or after the due date expressed in the Securities shall not be impaired or affected without the consent of such Holder. Notwithstanding the foregoing, each Holder of a Security, and each owner of a beneficial interest in a Security, shall be deemed to acknowledge and agree that the release of any Guarantee in accordance with the terms of this Indenture shall not impair the right of such Holder or owner to receive any payment of the principal of or premium, if any, or interest, if any, on such Security, and each such Holder and each such owner, by acquiring any interest in a Security, thereby consents to any such release and waives any and all claims against the Trustee, the Company and any Guarantor in connection with such release.</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6.08. Collection Suit by Trustee.</w:t>
      </w:r>
    </w:p>
    <w:p>
      <w:pPr>
        <w:spacing w:after="0" w:line="208" w:lineRule="exact"/>
        <w:rPr>
          <w:sz w:val="20"/>
          <w:szCs w:val="20"/>
          <w:color w:val="auto"/>
        </w:rPr>
      </w:pPr>
    </w:p>
    <w:p>
      <w:pPr>
        <w:ind w:right="40" w:firstLine="585"/>
        <w:spacing w:after="0" w:line="271" w:lineRule="auto"/>
        <w:rPr>
          <w:sz w:val="20"/>
          <w:szCs w:val="20"/>
          <w:color w:val="auto"/>
        </w:rPr>
      </w:pPr>
      <w:r>
        <w:rPr>
          <w:rFonts w:ascii="Times New Roman" w:cs="Times New Roman" w:eastAsia="Times New Roman" w:hAnsi="Times New Roman"/>
          <w:sz w:val="16"/>
          <w:szCs w:val="16"/>
          <w:color w:val="auto"/>
        </w:rPr>
        <w:t>If an Event of Default in payment of principal, premium or interest specified in Section 6.01(1) or (2) occurs and is continuing, the Trustee may recover judgment in its own name and as trustee of an express trust against the Company (or any other obligor on the Securities) for the whole amount of unpaid principal and accrued interest remaining unpaid.</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6.09. Trustee May File Proofs of Claim.</w:t>
      </w:r>
    </w:p>
    <w:p>
      <w:pPr>
        <w:spacing w:after="0" w:line="208" w:lineRule="exact"/>
        <w:rPr>
          <w:sz w:val="20"/>
          <w:szCs w:val="20"/>
          <w:color w:val="auto"/>
        </w:rPr>
      </w:pPr>
    </w:p>
    <w:p>
      <w:pPr>
        <w:ind w:right="20" w:firstLine="585"/>
        <w:spacing w:after="0" w:line="259" w:lineRule="auto"/>
        <w:rPr>
          <w:sz w:val="20"/>
          <w:szCs w:val="20"/>
          <w:color w:val="auto"/>
        </w:rPr>
      </w:pPr>
      <w:r>
        <w:rPr>
          <w:rFonts w:ascii="Times New Roman" w:cs="Times New Roman" w:eastAsia="Times New Roman" w:hAnsi="Times New Roman"/>
          <w:sz w:val="16"/>
          <w:szCs w:val="16"/>
          <w:color w:val="auto"/>
        </w:rPr>
        <w:t>The Trustee may file such proofs of claim and other papers or documents as may be necessary or advisable in order to have the claims of the Trustee (including any claim for the reasonable compensation, expenses, disbursements and advances of the Trustee, its agents and counsel, and any other amounts due the Trustee under Section 7.06) and the Holders allowed in any judicial proceedings relative to the Company (or any other obligor upon the Securities), its creditors or its property and, unless prohibited by law,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7.06.</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0" w:name="page221"/>
    <w:bookmarkEnd w:id="220"/>
    <w:p>
      <w:pPr>
        <w:ind w:right="80" w:firstLine="585"/>
        <w:spacing w:after="0" w:line="261" w:lineRule="auto"/>
        <w:rPr>
          <w:sz w:val="20"/>
          <w:szCs w:val="20"/>
          <w:color w:val="auto"/>
        </w:rPr>
      </w:pPr>
      <w:r>
        <w:rPr>
          <w:rFonts w:ascii="Times New Roman" w:cs="Times New Roman" w:eastAsia="Times New Roman" w:hAnsi="Times New Roman"/>
          <w:sz w:val="16"/>
          <w:szCs w:val="16"/>
          <w:color w:val="auto"/>
        </w:rPr>
        <w:t>Nothing herein contained shall be deemed to authorize the Trustee to authorize or consent to or accept or adopt on behalf of any Holder any plan or reorganization, arrangement, adjustment or composition affecting the Securities or the rights of any Holder thereof, or to authorize the Trustee to vote in respect of the claim of any Holder in any such proceedings. All rights of action and claims under this Indenture or the Securities may be prosecuted and enforced by the Trustee without the possession of any of the Securities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in respect of which such judgment has been recovered.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6.10. Priorities.</w:t>
      </w:r>
    </w:p>
    <w:p>
      <w:pPr>
        <w:spacing w:after="0" w:line="208" w:lineRule="exact"/>
        <w:rPr>
          <w:sz w:val="20"/>
          <w:szCs w:val="20"/>
          <w:color w:val="auto"/>
        </w:rPr>
      </w:pPr>
    </w:p>
    <w:p>
      <w:pPr>
        <w:ind w:right="100" w:firstLine="585"/>
        <w:spacing w:after="0" w:line="288" w:lineRule="auto"/>
        <w:rPr>
          <w:sz w:val="20"/>
          <w:szCs w:val="20"/>
          <w:color w:val="auto"/>
        </w:rPr>
      </w:pPr>
      <w:r>
        <w:rPr>
          <w:rFonts w:ascii="Times New Roman" w:cs="Times New Roman" w:eastAsia="Times New Roman" w:hAnsi="Times New Roman"/>
          <w:sz w:val="16"/>
          <w:szCs w:val="16"/>
          <w:color w:val="auto"/>
        </w:rPr>
        <w:t>Any money or property collected by the Trustee pursuant to this Article VI, and any money or other property distributable in respect of the Company’s obligations under this Indenture after an Event of Default shall, subject to Section 10.9 and Article XIII, be applied in the following order:</w:t>
      </w:r>
    </w:p>
    <w:p>
      <w:pPr>
        <w:spacing w:after="0" w:line="1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FIRST: to the Trustee (including any predecessor Trustee) for amounts due under Section 7.06;</w:t>
      </w:r>
    </w:p>
    <w:p>
      <w:pPr>
        <w:spacing w:after="0" w:line="206" w:lineRule="exact"/>
        <w:rPr>
          <w:sz w:val="20"/>
          <w:szCs w:val="20"/>
          <w:color w:val="auto"/>
        </w:rPr>
      </w:pPr>
    </w:p>
    <w:p>
      <w:pPr>
        <w:ind w:left="580" w:right="560" w:firstLine="585"/>
        <w:spacing w:after="0" w:line="288" w:lineRule="auto"/>
        <w:rPr>
          <w:sz w:val="20"/>
          <w:szCs w:val="20"/>
          <w:color w:val="auto"/>
        </w:rPr>
      </w:pPr>
      <w:r>
        <w:rPr>
          <w:rFonts w:ascii="Times New Roman" w:cs="Times New Roman" w:eastAsia="Times New Roman" w:hAnsi="Times New Roman"/>
          <w:sz w:val="16"/>
          <w:szCs w:val="16"/>
          <w:color w:val="auto"/>
        </w:rPr>
        <w:t>SECOND: to Holders for amounts due and unpaid on the affected Securities for principal, premium, if any, and interest as to each, ratably, without preference or priority of any kind, according to the amounts due and payable on the affected Securities; and</w:t>
      </w:r>
    </w:p>
    <w:p>
      <w:pPr>
        <w:spacing w:after="0" w:line="1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THIRD: to the Company.</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Trustee may fix a record date and payment date for any payment to Holders pursuant to this Section 6.10.</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6.11. Undertaking for Costs.</w:t>
      </w:r>
    </w:p>
    <w:p>
      <w:pPr>
        <w:spacing w:after="0" w:line="208" w:lineRule="exact"/>
        <w:rPr>
          <w:sz w:val="20"/>
          <w:szCs w:val="20"/>
          <w:color w:val="auto"/>
        </w:rPr>
      </w:pPr>
    </w:p>
    <w:p>
      <w:pPr>
        <w:ind w:right="40" w:firstLine="585"/>
        <w:spacing w:after="0" w:line="262" w:lineRule="auto"/>
        <w:rPr>
          <w:sz w:val="20"/>
          <w:szCs w:val="20"/>
          <w:color w:val="auto"/>
        </w:rPr>
      </w:pPr>
      <w:r>
        <w:rPr>
          <w:rFonts w:ascii="Times New Roman" w:cs="Times New Roman" w:eastAsia="Times New Roman" w:hAnsi="Times New Roman"/>
          <w:sz w:val="16"/>
          <w:szCs w:val="16"/>
          <w:color w:val="auto"/>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pursuant to Section 6.07 or a suit by Holders of more than 10% in principal amount of the Securities of a series then outstanding.</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6.12. Delay or Omission Not Waiver.</w:t>
      </w:r>
    </w:p>
    <w:p>
      <w:pPr>
        <w:spacing w:after="0" w:line="208" w:lineRule="exact"/>
        <w:rPr>
          <w:sz w:val="20"/>
          <w:szCs w:val="20"/>
          <w:color w:val="auto"/>
        </w:rPr>
      </w:pPr>
    </w:p>
    <w:p>
      <w:pPr>
        <w:ind w:firstLine="585"/>
        <w:spacing w:after="0" w:line="271" w:lineRule="auto"/>
        <w:rPr>
          <w:sz w:val="20"/>
          <w:szCs w:val="20"/>
          <w:color w:val="auto"/>
        </w:rPr>
      </w:pPr>
      <w:r>
        <w:rPr>
          <w:rFonts w:ascii="Times New Roman" w:cs="Times New Roman" w:eastAsia="Times New Roman" w:hAnsi="Times New Roman"/>
          <w:sz w:val="16"/>
          <w:szCs w:val="16"/>
          <w:color w:val="auto"/>
        </w:rPr>
        <w:t>No delay or omission of the Trustee or of any Holder of any Securities to exercise any right or remedy occurring upon an Event of Default shall impair any such right or remedy or constitute a waiver of any such Event of Default or an acquiescence therein. Every right and remedy given by this Article VI or by law to the Trustee or to the Holders may be exercised from time to time, and as often as may be deemed expedient, by the Trustee or by the Holders, as the case may be.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TRUSTEE</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7.01. Duties of Trustee.</w:t>
      </w:r>
    </w:p>
    <w:p>
      <w:pPr>
        <w:spacing w:after="0" w:line="208" w:lineRule="exact"/>
        <w:rPr>
          <w:sz w:val="20"/>
          <w:szCs w:val="20"/>
          <w:color w:val="auto"/>
        </w:rPr>
      </w:pPr>
    </w:p>
    <w:p>
      <w:pPr>
        <w:ind w:right="80" w:firstLine="582"/>
        <w:spacing w:after="0" w:line="271" w:lineRule="auto"/>
        <w:tabs>
          <w:tab w:leader="none" w:pos="846"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Responsible Officer of the Trustee has received written notice that an Event of Default has occurred and is continuing, the Trustee will exercise such of the rights and powers vested in it under this Indenture, and use the same degree of care and skill in their exercise, as a prudent person would exercise or use under the circumstances in the conduct of such person’s own affairs.</w:t>
      </w:r>
    </w:p>
    <w:p>
      <w:pPr>
        <w:spacing w:after="0" w:line="156"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during the continuance of an Event of Default:</w:t>
      </w:r>
    </w:p>
    <w:p>
      <w:pPr>
        <w:spacing w:after="0" w:line="205" w:lineRule="exact"/>
        <w:rPr>
          <w:rFonts w:ascii="Times New Roman" w:cs="Times New Roman" w:eastAsia="Times New Roman" w:hAnsi="Times New Roman"/>
          <w:sz w:val="16"/>
          <w:szCs w:val="16"/>
          <w:color w:val="auto"/>
        </w:rPr>
      </w:pPr>
    </w:p>
    <w:p>
      <w:pPr>
        <w:ind w:left="580" w:right="660" w:firstLine="587"/>
        <w:spacing w:after="0" w:line="288" w:lineRule="auto"/>
        <w:tabs>
          <w:tab w:leader="none" w:pos="1435" w:val="left"/>
        </w:tabs>
        <w:numPr>
          <w:ilvl w:val="1"/>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undertakes to perform such duties and only such duties as are specifically set forth in this Indenture, and no implied covenants or obligations shall be read into this Indenture against the Trustee; and</w:t>
      </w:r>
    </w:p>
    <w:p>
      <w:pPr>
        <w:spacing w:after="0" w:line="143" w:lineRule="exact"/>
        <w:rPr>
          <w:rFonts w:ascii="Times New Roman" w:cs="Times New Roman" w:eastAsia="Times New Roman" w:hAnsi="Times New Roman"/>
          <w:sz w:val="16"/>
          <w:szCs w:val="16"/>
          <w:color w:val="auto"/>
        </w:rPr>
      </w:pPr>
    </w:p>
    <w:p>
      <w:pPr>
        <w:ind w:left="580" w:right="60" w:firstLine="587"/>
        <w:spacing w:after="0" w:line="262" w:lineRule="auto"/>
        <w:tabs>
          <w:tab w:leader="none" w:pos="1435" w:val="left"/>
        </w:tabs>
        <w:numPr>
          <w:ilvl w:val="1"/>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1" w:name="page222"/>
    <w:bookmarkEnd w:id="221"/>
    <w:p>
      <w:pPr>
        <w:ind w:right="300" w:firstLine="582"/>
        <w:spacing w:after="0" w:line="288" w:lineRule="auto"/>
        <w:tabs>
          <w:tab w:leader="none" w:pos="846"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provision of this Indenture shall be construed to relieve the Trustee from liability for its own negligent action, its own negligent failure to act, or its own willful misconduct, except that:</w:t>
      </w:r>
    </w:p>
    <w:p>
      <w:pPr>
        <w:spacing w:after="0" w:line="14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paragraph does not limit the effect of clause (b) or (d) of this Section 7.01;</w:t>
      </w:r>
    </w:p>
    <w:p>
      <w:pPr>
        <w:spacing w:after="0" w:line="205" w:lineRule="exact"/>
        <w:rPr>
          <w:rFonts w:ascii="Times New Roman" w:cs="Times New Roman" w:eastAsia="Times New Roman" w:hAnsi="Times New Roman"/>
          <w:sz w:val="16"/>
          <w:szCs w:val="16"/>
          <w:color w:val="auto"/>
        </w:rPr>
      </w:pPr>
    </w:p>
    <w:p>
      <w:pPr>
        <w:ind w:left="580" w:firstLine="587"/>
        <w:spacing w:after="0" w:line="288" w:lineRule="auto"/>
        <w:tabs>
          <w:tab w:leader="none" w:pos="1435" w:val="left"/>
        </w:tabs>
        <w:numPr>
          <w:ilvl w:val="1"/>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for any error of judgment made in good faith by a Responsible Officer or Responsible Officers of the Trustee, unless it is proved that the Trustee was negligent in ascertaining the pertinent facts; and</w:t>
      </w:r>
    </w:p>
    <w:p>
      <w:pPr>
        <w:spacing w:after="0" w:line="143" w:lineRule="exact"/>
        <w:rPr>
          <w:rFonts w:ascii="Times New Roman" w:cs="Times New Roman" w:eastAsia="Times New Roman" w:hAnsi="Times New Roman"/>
          <w:sz w:val="16"/>
          <w:szCs w:val="16"/>
          <w:color w:val="auto"/>
        </w:rPr>
      </w:pPr>
    </w:p>
    <w:p>
      <w:pPr>
        <w:ind w:left="580" w:firstLine="587"/>
        <w:spacing w:after="0" w:line="265" w:lineRule="auto"/>
        <w:tabs>
          <w:tab w:leader="none" w:pos="1435" w:val="left"/>
        </w:tabs>
        <w:numPr>
          <w:ilvl w:val="1"/>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with respect to any action it takes or omits to take in good faith in accordance with a direction of the Holders of a majority in aggregate principal amount of the outstanding Securities of any series, determined as provided herein, relating to the time, method and place of conducting any proceeding for any remedy available to the Trustee, or exercising any trust or power conferred upon the Trustee, under this Indenture with respect to the Securities of such series.</w:t>
      </w:r>
    </w:p>
    <w:p>
      <w:pPr>
        <w:spacing w:after="0" w:line="161" w:lineRule="exact"/>
        <w:rPr>
          <w:rFonts w:ascii="Times New Roman" w:cs="Times New Roman" w:eastAsia="Times New Roman" w:hAnsi="Times New Roman"/>
          <w:sz w:val="16"/>
          <w:szCs w:val="16"/>
          <w:color w:val="auto"/>
        </w:rPr>
      </w:pPr>
    </w:p>
    <w:p>
      <w:pPr>
        <w:ind w:right="20" w:firstLine="582"/>
        <w:spacing w:after="0" w:line="271" w:lineRule="auto"/>
        <w:tabs>
          <w:tab w:leader="none" w:pos="855"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satisfactory to it against such risk or liability is not reasonably assured to it.</w:t>
      </w:r>
    </w:p>
    <w:p>
      <w:pPr>
        <w:spacing w:after="0" w:line="156" w:lineRule="exact"/>
        <w:rPr>
          <w:rFonts w:ascii="Times New Roman" w:cs="Times New Roman" w:eastAsia="Times New Roman" w:hAnsi="Times New Roman"/>
          <w:sz w:val="16"/>
          <w:szCs w:val="16"/>
          <w:color w:val="auto"/>
        </w:rPr>
      </w:pPr>
    </w:p>
    <w:p>
      <w:pPr>
        <w:ind w:right="200" w:firstLine="582"/>
        <w:spacing w:after="0" w:line="288" w:lineRule="auto"/>
        <w:tabs>
          <w:tab w:leader="none" w:pos="846"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or not therein expressly so provided, every provision of this Indenture relating to the conduct of, affecting the liability of, or affording protection to, the Trustee shall be subject to the provisions of this Section 7.01.</w:t>
      </w:r>
    </w:p>
    <w:p>
      <w:pPr>
        <w:spacing w:after="0" w:line="143" w:lineRule="exact"/>
        <w:rPr>
          <w:rFonts w:ascii="Times New Roman" w:cs="Times New Roman" w:eastAsia="Times New Roman" w:hAnsi="Times New Roman"/>
          <w:sz w:val="16"/>
          <w:szCs w:val="16"/>
          <w:color w:val="auto"/>
        </w:rPr>
      </w:pPr>
    </w:p>
    <w:p>
      <w:pPr>
        <w:ind w:firstLine="582"/>
        <w:spacing w:after="0" w:line="288" w:lineRule="auto"/>
        <w:tabs>
          <w:tab w:leader="none" w:pos="828"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for interest or earnings on any money received by it except as the Trustee may agree in writing with the Company. Money held in trust by the Trustee or Paying Agent need not be segregated from other funds except to the extent required by the law.</w:t>
      </w:r>
    </w:p>
    <w:p>
      <w:pPr>
        <w:spacing w:after="0" w:line="143"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responsible for the application of any money by any Paying Agent other than the Trustee.</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7.02. Rights of Trustee.</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Subject to Section 7.01:</w:t>
      </w:r>
    </w:p>
    <w:p>
      <w:pPr>
        <w:spacing w:after="0" w:line="206" w:lineRule="exact"/>
        <w:rPr>
          <w:sz w:val="20"/>
          <w:szCs w:val="20"/>
          <w:color w:val="auto"/>
        </w:rPr>
      </w:pPr>
    </w:p>
    <w:p>
      <w:pPr>
        <w:jc w:val="both"/>
        <w:ind w:right="280" w:firstLine="582"/>
        <w:spacing w:after="0" w:line="265" w:lineRule="auto"/>
        <w:tabs>
          <w:tab w:leader="none" w:pos="846"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(whether in its original or electronic form) believed in good faith by it to be genuine and to have been signed or presented by the proper person. The Trustee need not investigate any fact or matter stated in the document.</w:t>
      </w:r>
    </w:p>
    <w:p>
      <w:pPr>
        <w:spacing w:after="0" w:line="161" w:lineRule="exact"/>
        <w:rPr>
          <w:rFonts w:ascii="Times New Roman" w:cs="Times New Roman" w:eastAsia="Times New Roman" w:hAnsi="Times New Roman"/>
          <w:sz w:val="16"/>
          <w:szCs w:val="16"/>
          <w:color w:val="auto"/>
        </w:rPr>
      </w:pPr>
    </w:p>
    <w:p>
      <w:pPr>
        <w:ind w:right="220" w:firstLine="582"/>
        <w:spacing w:after="0" w:line="288" w:lineRule="auto"/>
        <w:tabs>
          <w:tab w:leader="none" w:pos="855"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request or direction of the Company mentioned herein shall be sufficiently evidenced by a Company Order and any resolution of the Board of Directors may be sufficiently evidenced by a board resolution.</w:t>
      </w:r>
    </w:p>
    <w:p>
      <w:pPr>
        <w:spacing w:after="0" w:line="143" w:lineRule="exact"/>
        <w:rPr>
          <w:rFonts w:ascii="Times New Roman" w:cs="Times New Roman" w:eastAsia="Times New Roman" w:hAnsi="Times New Roman"/>
          <w:sz w:val="16"/>
          <w:szCs w:val="16"/>
          <w:color w:val="auto"/>
        </w:rPr>
      </w:pPr>
    </w:p>
    <w:p>
      <w:pPr>
        <w:ind w:right="100" w:firstLine="582"/>
        <w:spacing w:after="0" w:line="265" w:lineRule="auto"/>
        <w:tabs>
          <w:tab w:leader="none" w:pos="846"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in the administration of this Indenture the Trustee shall deem it desirable that a matter be proved or established prior to taking, suffering or omitting any action hereunder, the Trustee (unless other evidence be herein specifically prescribed) may require an Officer’s Certificate or an Opinion of Counsel (or both), which shall comply with the requirements of Section 12.03, and, in the absence of bad faith on its part, may conclusively rely upon such Officer’s Certificate or Opinion of Counsel (or both). The Trustee shall not be liable for any action it takes or omits to take in good faith in reliance on such Officer’s Certificate or Opinion of Counsel.</w:t>
      </w:r>
    </w:p>
    <w:p>
      <w:pPr>
        <w:spacing w:after="0" w:line="161" w:lineRule="exact"/>
        <w:rPr>
          <w:rFonts w:ascii="Times New Roman" w:cs="Times New Roman" w:eastAsia="Times New Roman" w:hAnsi="Times New Roman"/>
          <w:sz w:val="16"/>
          <w:szCs w:val="16"/>
          <w:color w:val="auto"/>
        </w:rPr>
      </w:pPr>
    </w:p>
    <w:p>
      <w:pPr>
        <w:ind w:right="400" w:firstLine="582"/>
        <w:spacing w:after="0" w:line="288" w:lineRule="auto"/>
        <w:tabs>
          <w:tab w:leader="none" w:pos="855"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execute any of the trusts or power hereunder or perform any duties hereunder either directly or by or through attorneys or agents and the Trustee shall not be responsible for any misconduct or negligence on the part of any agent appointed with due care by it hereunder.</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2" w:name="page223"/>
    <w:bookmarkEnd w:id="222"/>
    <w:p>
      <w:pPr>
        <w:ind w:right="100" w:firstLine="582"/>
        <w:spacing w:after="0" w:line="288" w:lineRule="auto"/>
        <w:tabs>
          <w:tab w:leader="none" w:pos="846"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for any action taken, suffered, or omitted to be taken in good faith and believed by it to be authorized or within the discretion or rights or powers conferred upon it by this Indenture.</w:t>
      </w:r>
    </w:p>
    <w:p>
      <w:pPr>
        <w:spacing w:after="0" w:line="143" w:lineRule="exact"/>
        <w:rPr>
          <w:rFonts w:ascii="Times New Roman" w:cs="Times New Roman" w:eastAsia="Times New Roman" w:hAnsi="Times New Roman"/>
          <w:sz w:val="16"/>
          <w:szCs w:val="16"/>
          <w:color w:val="auto"/>
        </w:rPr>
      </w:pPr>
    </w:p>
    <w:p>
      <w:pPr>
        <w:ind w:right="220" w:firstLine="582"/>
        <w:spacing w:after="0" w:line="288" w:lineRule="auto"/>
        <w:tabs>
          <w:tab w:leader="none" w:pos="828"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consult with counsel of its selection, and the advice of such counsel or any Opinion of Counsel shall be full and complete authorization and protection from liability in respect of any action taken, omitted or suffered by it hereunder in good faith and in reliance thereon.</w:t>
      </w:r>
    </w:p>
    <w:p>
      <w:pPr>
        <w:spacing w:after="0" w:line="143" w:lineRule="exact"/>
        <w:rPr>
          <w:rFonts w:ascii="Times New Roman" w:cs="Times New Roman" w:eastAsia="Times New Roman" w:hAnsi="Times New Roman"/>
          <w:sz w:val="16"/>
          <w:szCs w:val="16"/>
          <w:color w:val="auto"/>
        </w:rPr>
      </w:pPr>
    </w:p>
    <w:p>
      <w:pPr>
        <w:ind w:right="220" w:firstLine="582"/>
        <w:spacing w:after="0" w:line="271" w:lineRule="auto"/>
        <w:tabs>
          <w:tab w:leader="none" w:pos="855"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be under no obligation to exercise any of the rights or powers vested in it by this Indenture at the request or direction of any of the Holders pursuant to this Indenture, unless such Holders shall have offered to the Trustee security and/or indemnity satisfactory to the Trustee against the costs, expenses and liabilities which might be incurred by it in compliance with such request or direction.</w:t>
      </w:r>
    </w:p>
    <w:p>
      <w:pPr>
        <w:spacing w:after="0" w:line="156" w:lineRule="exact"/>
        <w:rPr>
          <w:rFonts w:ascii="Times New Roman" w:cs="Times New Roman" w:eastAsia="Times New Roman" w:hAnsi="Times New Roman"/>
          <w:sz w:val="16"/>
          <w:szCs w:val="16"/>
          <w:color w:val="auto"/>
        </w:rPr>
      </w:pPr>
    </w:p>
    <w:p>
      <w:pPr>
        <w:ind w:right="140" w:firstLine="582"/>
        <w:spacing w:after="0" w:line="288" w:lineRule="auto"/>
        <w:tabs>
          <w:tab w:leader="none" w:pos="855"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43" w:lineRule="exact"/>
        <w:rPr>
          <w:rFonts w:ascii="Times New Roman" w:cs="Times New Roman" w:eastAsia="Times New Roman" w:hAnsi="Times New Roman"/>
          <w:sz w:val="16"/>
          <w:szCs w:val="16"/>
          <w:color w:val="auto"/>
        </w:rPr>
      </w:pPr>
    </w:p>
    <w:p>
      <w:pPr>
        <w:ind w:right="20" w:firstLine="582"/>
        <w:spacing w:after="0" w:line="262" w:lineRule="auto"/>
        <w:tabs>
          <w:tab w:leader="none" w:pos="819"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64" w:lineRule="exact"/>
        <w:rPr>
          <w:rFonts w:ascii="Times New Roman" w:cs="Times New Roman" w:eastAsia="Times New Roman" w:hAnsi="Times New Roman"/>
          <w:sz w:val="16"/>
          <w:szCs w:val="16"/>
          <w:color w:val="auto"/>
        </w:rPr>
      </w:pPr>
    </w:p>
    <w:p>
      <w:pPr>
        <w:ind w:right="60" w:firstLine="582"/>
        <w:spacing w:after="0" w:line="271" w:lineRule="auto"/>
        <w:tabs>
          <w:tab w:leader="none" w:pos="819"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deemed to have notice or be charged with knowledge of any Default or Event of Default unless written notice of such Default or Event of Default from the Company or any Holder is received by a Responsible Officer of the Trustee at the Corporate Trust Office of the Trustee, and such notice references the Securities and this Indenture.</w:t>
      </w:r>
    </w:p>
    <w:p>
      <w:pPr>
        <w:spacing w:after="0" w:line="156" w:lineRule="exact"/>
        <w:rPr>
          <w:rFonts w:ascii="Times New Roman" w:cs="Times New Roman" w:eastAsia="Times New Roman" w:hAnsi="Times New Roman"/>
          <w:sz w:val="16"/>
          <w:szCs w:val="16"/>
          <w:color w:val="auto"/>
        </w:rPr>
      </w:pPr>
    </w:p>
    <w:p>
      <w:pPr>
        <w:jc w:val="both"/>
        <w:ind w:right="20" w:firstLine="582"/>
        <w:spacing w:after="0" w:line="271" w:lineRule="auto"/>
        <w:tabs>
          <w:tab w:leader="none" w:pos="855"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56" w:lineRule="exact"/>
        <w:rPr>
          <w:rFonts w:ascii="Times New Roman" w:cs="Times New Roman" w:eastAsia="Times New Roman" w:hAnsi="Times New Roman"/>
          <w:sz w:val="16"/>
          <w:szCs w:val="16"/>
          <w:color w:val="auto"/>
        </w:rPr>
      </w:pPr>
    </w:p>
    <w:p>
      <w:pPr>
        <w:ind w:firstLine="582"/>
        <w:spacing w:after="0" w:line="288" w:lineRule="auto"/>
        <w:tabs>
          <w:tab w:leader="none" w:pos="819"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Anything in this Indenture notwithstanding, in no event shall the Trustee be liable for special, indirect, punitive or consequential loss or damage of any kind whatsoever (including, but not limited to, loss of profit), even if the Trustee has been advised as to the likelihood of such loss or damage and regardless of the form of action.</w:t>
      </w:r>
    </w:p>
    <w:p>
      <w:pPr>
        <w:spacing w:after="0" w:line="143" w:lineRule="exact"/>
        <w:rPr>
          <w:rFonts w:ascii="Times New Roman" w:cs="Times New Roman" w:eastAsia="Times New Roman" w:hAnsi="Times New Roman"/>
          <w:sz w:val="16"/>
          <w:szCs w:val="16"/>
          <w:color w:val="auto"/>
        </w:rPr>
      </w:pPr>
    </w:p>
    <w:p>
      <w:pPr>
        <w:ind w:firstLine="582"/>
        <w:spacing w:after="0" w:line="265" w:lineRule="auto"/>
        <w:tabs>
          <w:tab w:leader="none" w:pos="90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responsible or liable for any failure or delay in the performance of its obligations under this Indenture arising out of or caused, directly or indirectly, by circumstances beyond its control, including, without limitation, any provision of any law or regulation or any act of any Governmental Authority, acts of God; earthquakes; fire; flood; terrorism; wars and other military disturbances; sabotage; epidemics; riots; interruptions; loss or malfunctions of utilities, computer (hardware or software) or communication services; accidents; labor disputes; acts of civil or military authority and governmental action.</w:t>
      </w:r>
    </w:p>
    <w:p>
      <w:pPr>
        <w:spacing w:after="0" w:line="161"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permissive right of the Trustee to take or refrain from taking action hereunder shall not be construed as a duty.</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7.03. Individual Rights of Trustee.</w:t>
      </w:r>
    </w:p>
    <w:p>
      <w:pPr>
        <w:spacing w:after="0" w:line="208" w:lineRule="exact"/>
        <w:rPr>
          <w:sz w:val="20"/>
          <w:szCs w:val="20"/>
          <w:color w:val="auto"/>
        </w:rPr>
      </w:pPr>
    </w:p>
    <w:p>
      <w:pPr>
        <w:ind w:right="40" w:firstLine="585"/>
        <w:spacing w:after="0" w:line="262" w:lineRule="auto"/>
        <w:rPr>
          <w:sz w:val="20"/>
          <w:szCs w:val="20"/>
          <w:color w:val="auto"/>
        </w:rPr>
      </w:pPr>
      <w:r>
        <w:rPr>
          <w:rFonts w:ascii="Times New Roman" w:cs="Times New Roman" w:eastAsia="Times New Roman" w:hAnsi="Times New Roman"/>
          <w:sz w:val="16"/>
          <w:szCs w:val="16"/>
          <w:color w:val="auto"/>
        </w:rPr>
        <w:t xml:space="preserve">The Trustee in its individual or any other capacity may become the owner or pledgee of Securities and may make loans to, accept deposits from, perform services for or otherwise deal with the Company or any Affiliate thereof with the same rights it would have if it were not Trustee. However, in the event that the Trustee acquires any conflicting interest within the meaning of Section 310(b)(1) of the TIA, it must eliminate such conflict within 90 days or resign;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there shall be excluded from the operation of TIA §310(b)(1) any indenture or indentures under which other securities or certificates of interest of participation in other securities of the Company are outstanding if the requirements for such exclusion set forth in TIA §310(b)(1) are met, other than the fact that such indentures are not described herein.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3" w:name="page224"/>
    <w:bookmarkEnd w:id="223"/>
    <w:p>
      <w:pPr>
        <w:ind w:left="580"/>
        <w:spacing w:after="0"/>
        <w:rPr>
          <w:sz w:val="20"/>
          <w:szCs w:val="20"/>
          <w:color w:val="auto"/>
        </w:rPr>
      </w:pPr>
      <w:r>
        <w:rPr>
          <w:rFonts w:ascii="Times New Roman" w:cs="Times New Roman" w:eastAsia="Times New Roman" w:hAnsi="Times New Roman"/>
          <w:sz w:val="16"/>
          <w:szCs w:val="16"/>
          <w:color w:val="auto"/>
        </w:rPr>
        <w:t>Any Agent may do the same with like rights. The Trustee is also subject to Section 7.09.</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7.04. Trustee’s Disclaimer.</w:t>
      </w:r>
    </w:p>
    <w:p>
      <w:pPr>
        <w:spacing w:after="0" w:line="208" w:lineRule="exact"/>
        <w:rPr>
          <w:sz w:val="20"/>
          <w:szCs w:val="20"/>
          <w:color w:val="auto"/>
        </w:rPr>
      </w:pPr>
    </w:p>
    <w:p>
      <w:pPr>
        <w:ind w:right="20" w:firstLine="585"/>
        <w:spacing w:after="0" w:line="261" w:lineRule="auto"/>
        <w:rPr>
          <w:sz w:val="20"/>
          <w:szCs w:val="20"/>
          <w:color w:val="auto"/>
        </w:rPr>
      </w:pPr>
      <w:r>
        <w:rPr>
          <w:rFonts w:ascii="Times New Roman" w:cs="Times New Roman" w:eastAsia="Times New Roman" w:hAnsi="Times New Roman"/>
          <w:sz w:val="16"/>
          <w:szCs w:val="16"/>
          <w:color w:val="auto"/>
        </w:rPr>
        <w:t>The recitals contained herein and in the Securities, except the Trustee’s certificates of authentication, shall be taken as the statements of the Company, and the Trustee assumes no responsibility for their correctness. The Trustee makes no representations as to the validity, sufficiency or adequacy of this Indenture or of the Securities. The Trustee shall not be accountable for the use or application by the Company of the Securities or the proceeds thereof. The Trustee shall not be responsible to make any calculation with respect to any matter under this Indenture. The Trustee represents that it is duly authorized to execute and deliver this Indenture, authenticate the Securities and perform its obligations hereunder. The Trustee shall have no duty to monitor or investigate the Company’s compliance with or the breach of, or cause to be performed or observed, any representation, warranty or covenant made in this Indenture.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7.05. Notice of Defaults.</w:t>
      </w:r>
    </w:p>
    <w:p>
      <w:pPr>
        <w:spacing w:after="0" w:line="208" w:lineRule="exact"/>
        <w:rPr>
          <w:sz w:val="20"/>
          <w:szCs w:val="20"/>
          <w:color w:val="auto"/>
        </w:rPr>
      </w:pPr>
    </w:p>
    <w:p>
      <w:pPr>
        <w:ind w:firstLine="585"/>
        <w:spacing w:after="0" w:line="259" w:lineRule="auto"/>
        <w:rPr>
          <w:sz w:val="20"/>
          <w:szCs w:val="20"/>
          <w:color w:val="auto"/>
        </w:rPr>
      </w:pPr>
      <w:r>
        <w:rPr>
          <w:rFonts w:ascii="Times New Roman" w:cs="Times New Roman" w:eastAsia="Times New Roman" w:hAnsi="Times New Roman"/>
          <w:sz w:val="16"/>
          <w:szCs w:val="16"/>
          <w:color w:val="auto"/>
        </w:rPr>
        <w:t>Within 90 days after the occurrence thereof, and if known to the Trustee pursuant to Section 7.02(j), the Trustee shall give to the Holders of the Securities of a series notice of each Default or Event of Default with respect to the Securities of such series known to the Trustee pursuant to Section 7.02(j), by transmitting such notice to Holders at their addresses as the same shall then appear on the register of the Securities kept by the Registrar, unless such Default shall have been cured or waived before the giving of such notice. Except in the case of a Default or Event of Default in payment of the principal of, premium, if any, or interest on any of the Securities of a series when and as the same shall become payable, or to make any sinking fund payment as to the Securities of a series (including payments pursuant to a redemption or repurchase of the Securities pursuant to the provisions of this Indenture), the Trustee shall be protected in withholding such notice if and so long as a committee of its Responsible Officers in good faith determines that withholding the notice is in the interests of Holders.</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7.06. Compensation and Indemnity.</w:t>
      </w:r>
    </w:p>
    <w:p>
      <w:pPr>
        <w:spacing w:after="0" w:line="208" w:lineRule="exact"/>
        <w:rPr>
          <w:sz w:val="20"/>
          <w:szCs w:val="20"/>
          <w:color w:val="auto"/>
        </w:rPr>
      </w:pPr>
    </w:p>
    <w:p>
      <w:pPr>
        <w:ind w:right="100" w:firstLine="582"/>
        <w:spacing w:after="0" w:line="262" w:lineRule="auto"/>
        <w:tabs>
          <w:tab w:leader="none" w:pos="846"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pay to the Trustee and Agents from time to time such reasonable compensation for their services hereunder (which compensation shall not be limited by any provision of law in regard to the compensation of a trustee of an express trust) as shall be agreed upon in writing. The Company shall reimburse the Trustee and Agents upon request for all reasonable disbursements, expenses and advances incurred or made by them in connection with the Trustee’s duties under this Indenture, including the reasonable compensation, disbursements and expenses of the Trustee’s agents and external counsel, except any such expense, disbursement or advance as may be attributable to its willful misconduct or negligence.</w:t>
      </w:r>
    </w:p>
    <w:p>
      <w:pPr>
        <w:spacing w:after="0" w:line="164" w:lineRule="exact"/>
        <w:rPr>
          <w:rFonts w:ascii="Times New Roman" w:cs="Times New Roman" w:eastAsia="Times New Roman" w:hAnsi="Times New Roman"/>
          <w:sz w:val="16"/>
          <w:szCs w:val="16"/>
          <w:color w:val="auto"/>
        </w:rPr>
      </w:pPr>
    </w:p>
    <w:p>
      <w:pPr>
        <w:ind w:right="40" w:firstLine="582"/>
        <w:spacing w:after="0" w:line="258" w:lineRule="auto"/>
        <w:tabs>
          <w:tab w:leader="none" w:pos="855"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fully indemnify each of the Trustee and their officers, agents and employees and any predecessor Trustee for, and hold each of them harmless against, any and all loss, damage, claim, liability or expense, including, without limitation, reasonable and documented attorneys’ fees and expenses incurred by each of them in connection with the acceptance or performance of its duties under this Indenture including the reasonable and documented costs and expenses of defending itself against any claim (whether asserted by the Company, or any Holder or any other Person) or liability in connection with the exercise or performance of any of its powers or duties hereunder (including, without limitation, settlement costs). The Trustee or Agent shall notify the Company in writing promptly of any claim of which a Responsible Officer of the Trustee has received written notice at its Corporate Trust Office asserted against the Trustee or Agent for which it may seek indemnity;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failure by the Trustee or Agent to so notify the Company shall not relieve the Company of its obligations hereunder, except to the extent that the Company has been materially prejudiced thereby. The Company need not pay for any settlement made without its consent, which consent shall not be unreasonably withheld. In the event that a conflict of interest exists or potential harm to the Trustee’s business exists, the Trustee may have separate counsel, which counsel must be reasonably acceptable to the Company and the Company shall pay the reasonable and documented fees and expenses of such counsel.</w:t>
      </w:r>
    </w:p>
    <w:p>
      <w:pPr>
        <w:spacing w:after="0" w:line="165" w:lineRule="exact"/>
        <w:rPr>
          <w:rFonts w:ascii="Times New Roman" w:cs="Times New Roman" w:eastAsia="Times New Roman" w:hAnsi="Times New Roman"/>
          <w:sz w:val="16"/>
          <w:szCs w:val="16"/>
          <w:color w:val="auto"/>
        </w:rPr>
      </w:pPr>
    </w:p>
    <w:p>
      <w:pPr>
        <w:ind w:right="100" w:firstLine="582"/>
        <w:spacing w:after="0" w:line="288" w:lineRule="auto"/>
        <w:tabs>
          <w:tab w:leader="none" w:pos="846"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the Company need not reimburse the Trustee for any expense or indemnify it against any loss or liability to have been incurred by the Trustee through its own willful misconduct or negligence.</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4" w:name="page225"/>
    <w:bookmarkEnd w:id="224"/>
    <w:p>
      <w:pPr>
        <w:ind w:left="-20" w:right="300" w:firstLine="582"/>
        <w:spacing w:after="0" w:line="288" w:lineRule="auto"/>
        <w:tabs>
          <w:tab w:leader="none" w:pos="835"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secure the payment obligations of the Company in this Section 7.06, the Trustee shall have a lien prior to the Securities on all money or property held or collected by the Trustee and such money or property held in trust to pay principal of and interest on particular Securities.</w:t>
      </w:r>
    </w:p>
    <w:p>
      <w:pPr>
        <w:spacing w:after="0" w:line="143" w:lineRule="exact"/>
        <w:rPr>
          <w:rFonts w:ascii="Times New Roman" w:cs="Times New Roman" w:eastAsia="Times New Roman" w:hAnsi="Times New Roman"/>
          <w:sz w:val="16"/>
          <w:szCs w:val="16"/>
          <w:color w:val="auto"/>
        </w:rPr>
      </w:pPr>
    </w:p>
    <w:p>
      <w:pPr>
        <w:ind w:left="-20" w:right="100" w:firstLine="582"/>
        <w:spacing w:after="0" w:line="265" w:lineRule="auto"/>
        <w:tabs>
          <w:tab w:leader="none" w:pos="826"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obligations of the Company under this Section 7.06 to compensate and indemnify the Trustee, Agents and each predecessor Trustee and to pay or reimburse the Trustee, Agents and each predecessor Trustee for expenses, disbursements and advances shall be the liability of the Company and the lien provided for under this Section 7.06 shall survive the resignation or removal of the Trustee and the satisfaction, discharge or other termination of this Indenture for any reason, including any termination or rejection hereof under any Bankruptcy Law.</w:t>
      </w:r>
    </w:p>
    <w:p>
      <w:pPr>
        <w:spacing w:after="0" w:line="161" w:lineRule="exact"/>
        <w:rPr>
          <w:rFonts w:ascii="Times New Roman" w:cs="Times New Roman" w:eastAsia="Times New Roman" w:hAnsi="Times New Roman"/>
          <w:sz w:val="16"/>
          <w:szCs w:val="16"/>
          <w:color w:val="auto"/>
        </w:rPr>
      </w:pPr>
    </w:p>
    <w:p>
      <w:pPr>
        <w:ind w:left="-20" w:right="60" w:firstLine="582"/>
        <w:spacing w:after="0" w:line="271" w:lineRule="auto"/>
        <w:tabs>
          <w:tab w:leader="none" w:pos="808"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but without prejudice to its other rights under this Indenture, when the Trustee incurs expenses or renders services after an Event of Default specified in Section 6.01(8) or Section 6.01(9) occurs, the expenses (including the reasonable charges and expenses of its counsel) and the compensation for the services are intended to constitute expenses of administration under any Bankruptcy Law.</w:t>
      </w:r>
    </w:p>
    <w:p>
      <w:pPr>
        <w:spacing w:after="0" w:line="154" w:lineRule="exact"/>
        <w:rPr>
          <w:rFonts w:ascii="Times New Roman" w:cs="Times New Roman" w:eastAsia="Times New Roman" w:hAnsi="Times New Roman"/>
          <w:sz w:val="16"/>
          <w:szCs w:val="16"/>
          <w:color w:val="auto"/>
        </w:rPr>
      </w:pPr>
    </w:p>
    <w:p>
      <w:pPr>
        <w:ind w:left="-20" w:right="140" w:firstLine="582"/>
        <w:spacing w:after="0" w:line="291" w:lineRule="auto"/>
        <w:tabs>
          <w:tab w:leader="none" w:pos="835"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purposes of this Section 7.06, the term “Trustee” shall include any predecessor Trustee;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negligence, willful misconduct or bad faith of any Trustee hereunder shall not affect the rights or any other Trustee hereunder.</w:t>
      </w:r>
    </w:p>
    <w:p>
      <w:pPr>
        <w:spacing w:after="0" w:line="1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Section 7.07. Replacement of Trustee.</w:t>
      </w:r>
    </w:p>
    <w:p>
      <w:pPr>
        <w:spacing w:after="0" w:line="208" w:lineRule="exact"/>
        <w:rPr>
          <w:sz w:val="20"/>
          <w:szCs w:val="20"/>
          <w:color w:val="auto"/>
        </w:rPr>
      </w:pPr>
    </w:p>
    <w:p>
      <w:pPr>
        <w:ind w:left="-20" w:right="640" w:firstLine="582"/>
        <w:spacing w:after="0" w:line="288" w:lineRule="auto"/>
        <w:tabs>
          <w:tab w:leader="none" w:pos="826"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resignation or removal of the Trustee and appointment of a successor Trustee will become effective only upon the successor Trustee’s acceptance of appointment as provided in this Section 7.07.</w:t>
      </w:r>
    </w:p>
    <w:p>
      <w:pPr>
        <w:spacing w:after="0" w:line="143" w:lineRule="exact"/>
        <w:rPr>
          <w:rFonts w:ascii="Times New Roman" w:cs="Times New Roman" w:eastAsia="Times New Roman" w:hAnsi="Times New Roman"/>
          <w:sz w:val="16"/>
          <w:szCs w:val="16"/>
          <w:color w:val="auto"/>
        </w:rPr>
      </w:pPr>
    </w:p>
    <w:p>
      <w:pPr>
        <w:ind w:left="-20" w:right="120" w:firstLine="582"/>
        <w:spacing w:after="0" w:line="265" w:lineRule="auto"/>
        <w:tabs>
          <w:tab w:leader="none" w:pos="835"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resign at any time by so notifying the Company in writing no later than 30 calendar days prior to the date of the proposed resignation. The Holders of a majority in principal amount of the outstanding Securities may remove the Trustee by notifying the Company and the removed Trustee in writing no later than 30 calendar days prior to the date of the proposed removal and may appoint a successor Trustee with the Company’s written consent, which consent shall not be unreasonably withheld. The Company may remove the Trustee at its election if:</w:t>
      </w:r>
    </w:p>
    <w:p>
      <w:pPr>
        <w:spacing w:after="0" w:line="161" w:lineRule="exact"/>
        <w:rPr>
          <w:rFonts w:ascii="Times New Roman" w:cs="Times New Roman" w:eastAsia="Times New Roman" w:hAnsi="Times New Roman"/>
          <w:sz w:val="16"/>
          <w:szCs w:val="16"/>
          <w:color w:val="auto"/>
        </w:rPr>
      </w:pPr>
    </w:p>
    <w:p>
      <w:pPr>
        <w:ind w:left="1420" w:hanging="273"/>
        <w:spacing w:after="0"/>
        <w:tabs>
          <w:tab w:leader="none" w:pos="1420" w:val="left"/>
        </w:tabs>
        <w:numPr>
          <w:ilvl w:val="1"/>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fails to comply with Section 7.09;</w:t>
      </w:r>
    </w:p>
    <w:p>
      <w:pPr>
        <w:spacing w:after="0" w:line="205" w:lineRule="exact"/>
        <w:rPr>
          <w:rFonts w:ascii="Times New Roman" w:cs="Times New Roman" w:eastAsia="Times New Roman" w:hAnsi="Times New Roman"/>
          <w:sz w:val="16"/>
          <w:szCs w:val="16"/>
          <w:color w:val="auto"/>
        </w:rPr>
      </w:pPr>
    </w:p>
    <w:p>
      <w:pPr>
        <w:ind w:left="1420" w:hanging="273"/>
        <w:spacing w:after="0"/>
        <w:tabs>
          <w:tab w:leader="none" w:pos="1420" w:val="left"/>
        </w:tabs>
        <w:numPr>
          <w:ilvl w:val="1"/>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is adjudged bankrupt or insolvent or an order for relief entered with respect to the Trustee under Bankruptcy Law;</w:t>
      </w:r>
    </w:p>
    <w:p>
      <w:pPr>
        <w:spacing w:after="0" w:line="205" w:lineRule="exact"/>
        <w:rPr>
          <w:rFonts w:ascii="Times New Roman" w:cs="Times New Roman" w:eastAsia="Times New Roman" w:hAnsi="Times New Roman"/>
          <w:sz w:val="16"/>
          <w:szCs w:val="16"/>
          <w:color w:val="auto"/>
        </w:rPr>
      </w:pPr>
    </w:p>
    <w:p>
      <w:pPr>
        <w:ind w:left="1420" w:hanging="273"/>
        <w:spacing w:after="0"/>
        <w:tabs>
          <w:tab w:leader="none" w:pos="1420" w:val="left"/>
        </w:tabs>
        <w:numPr>
          <w:ilvl w:val="1"/>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receiver or other public officer takes charge of the Trustee or its property; or</w:t>
      </w:r>
    </w:p>
    <w:p>
      <w:pPr>
        <w:spacing w:after="0" w:line="205" w:lineRule="exact"/>
        <w:rPr>
          <w:rFonts w:ascii="Times New Roman" w:cs="Times New Roman" w:eastAsia="Times New Roman" w:hAnsi="Times New Roman"/>
          <w:sz w:val="16"/>
          <w:szCs w:val="16"/>
          <w:color w:val="auto"/>
        </w:rPr>
      </w:pPr>
    </w:p>
    <w:p>
      <w:pPr>
        <w:ind w:left="1420" w:hanging="273"/>
        <w:spacing w:after="0"/>
        <w:tabs>
          <w:tab w:leader="none" w:pos="1420" w:val="left"/>
        </w:tabs>
        <w:numPr>
          <w:ilvl w:val="1"/>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otherwise becomes incapable of acting.</w:t>
      </w:r>
    </w:p>
    <w:p>
      <w:pPr>
        <w:spacing w:after="0" w:line="205" w:lineRule="exact"/>
        <w:rPr>
          <w:rFonts w:ascii="Times New Roman" w:cs="Times New Roman" w:eastAsia="Times New Roman" w:hAnsi="Times New Roman"/>
          <w:sz w:val="16"/>
          <w:szCs w:val="16"/>
          <w:color w:val="auto"/>
        </w:rPr>
      </w:pPr>
    </w:p>
    <w:p>
      <w:pPr>
        <w:ind w:left="820" w:hanging="258"/>
        <w:spacing w:after="0"/>
        <w:tabs>
          <w:tab w:leader="none" w:pos="82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Trustee resigns or is removed or if a vacancy exists in the office of Trustee for any reason, the Company shall promptly appoint a successor Trustee.</w:t>
      </w:r>
    </w:p>
    <w:p>
      <w:pPr>
        <w:spacing w:after="0" w:line="205" w:lineRule="exact"/>
        <w:rPr>
          <w:rFonts w:ascii="Times New Roman" w:cs="Times New Roman" w:eastAsia="Times New Roman" w:hAnsi="Times New Roman"/>
          <w:sz w:val="16"/>
          <w:szCs w:val="16"/>
          <w:color w:val="auto"/>
        </w:rPr>
      </w:pPr>
    </w:p>
    <w:p>
      <w:pPr>
        <w:ind w:left="-20" w:right="40" w:firstLine="582"/>
        <w:spacing w:after="0" w:line="271" w:lineRule="auto"/>
        <w:tabs>
          <w:tab w:leader="none" w:pos="835"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successor Trustee does not take office within 30 days after the retiring Trustee resigns or is removed, the retiring Trustee, the Company or the Holders of at least 10% in principal amount of the outstanding Securities may petition at the expense of the Company any court of competent jurisdiction, in the case of the Trustee, for the appointment of a successor Trustee.</w:t>
      </w:r>
    </w:p>
    <w:p>
      <w:pPr>
        <w:spacing w:after="0" w:line="156" w:lineRule="exact"/>
        <w:rPr>
          <w:rFonts w:ascii="Times New Roman" w:cs="Times New Roman" w:eastAsia="Times New Roman" w:hAnsi="Times New Roman"/>
          <w:sz w:val="16"/>
          <w:szCs w:val="16"/>
          <w:color w:val="auto"/>
        </w:rPr>
      </w:pPr>
    </w:p>
    <w:p>
      <w:pPr>
        <w:ind w:left="-20" w:firstLine="582"/>
        <w:spacing w:after="0" w:line="288" w:lineRule="auto"/>
        <w:tabs>
          <w:tab w:leader="none" w:pos="826"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Trustee fails to comply with Section 7.09, any Holder may petition any court of competent jurisdiction for the removal of the Trustee and the appointment of a successor Trustee.</w:t>
      </w:r>
    </w:p>
    <w:p>
      <w:pPr>
        <w:spacing w:after="0" w:line="143" w:lineRule="exact"/>
        <w:rPr>
          <w:rFonts w:ascii="Times New Roman" w:cs="Times New Roman" w:eastAsia="Times New Roman" w:hAnsi="Times New Roman"/>
          <w:sz w:val="16"/>
          <w:szCs w:val="16"/>
          <w:color w:val="auto"/>
        </w:rPr>
      </w:pPr>
    </w:p>
    <w:p>
      <w:pPr>
        <w:ind w:left="-20" w:firstLine="582"/>
        <w:spacing w:after="0" w:line="262" w:lineRule="auto"/>
        <w:tabs>
          <w:tab w:leader="none" w:pos="808"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successor Trustee shall deliver a written acceptance of its appointment to the retiring Trustee and to the Company. Immediately following such delivery, the retiring Trustee shall, subject to the lien and its rights under Section 7.06, transfer all property held by it as Trustee to the successor Trustee, the resignation or removal of the retiring Trustee shall become effective, and the successor Trustee shall have all the rights, powers and duties of the Trustee under this Indenture. A successor Trustee shall transmit notice of its succession to each Holder. Notwithstanding replacement of the Trustee pursuant to this Section 7.07, the lien and Company’s obligations under Section 7.06 shall continue for the benefit of the retiring Trustee.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33655</wp:posOffset>
            </wp:positionV>
            <wp:extent cx="7145655" cy="152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40" w:top="123" w:right="339" w:bottom="1440" w:gutter="0" w:footer="0" w:header="0"/>
        </w:sectPr>
      </w:pPr>
    </w:p>
    <w:bookmarkStart w:id="225" w:name="page226"/>
    <w:bookmarkEnd w:id="225"/>
    <w:p>
      <w:pPr>
        <w:ind w:left="580"/>
        <w:spacing w:after="0"/>
        <w:rPr>
          <w:sz w:val="20"/>
          <w:szCs w:val="20"/>
          <w:color w:val="auto"/>
        </w:rPr>
      </w:pPr>
      <w:r>
        <w:rPr>
          <w:rFonts w:ascii="Times New Roman" w:cs="Times New Roman" w:eastAsia="Times New Roman" w:hAnsi="Times New Roman"/>
          <w:sz w:val="16"/>
          <w:szCs w:val="16"/>
          <w:i w:val="1"/>
          <w:iCs w:val="1"/>
          <w:color w:val="auto"/>
        </w:rPr>
        <w:t>Section 7.08. Successor Trustee by Consolidation, Merger, etc.</w:t>
      </w:r>
    </w:p>
    <w:p>
      <w:pPr>
        <w:spacing w:after="0" w:line="208" w:lineRule="exact"/>
        <w:rPr>
          <w:sz w:val="20"/>
          <w:szCs w:val="20"/>
          <w:color w:val="auto"/>
        </w:rPr>
      </w:pPr>
    </w:p>
    <w:p>
      <w:pPr>
        <w:ind w:right="20" w:firstLine="585"/>
        <w:spacing w:after="0" w:line="258" w:lineRule="auto"/>
        <w:rPr>
          <w:sz w:val="20"/>
          <w:szCs w:val="20"/>
          <w:color w:val="auto"/>
        </w:rPr>
      </w:pPr>
      <w:r>
        <w:rPr>
          <w:rFonts w:ascii="Times New Roman" w:cs="Times New Roman" w:eastAsia="Times New Roman" w:hAnsi="Times New Roman"/>
          <w:sz w:val="16"/>
          <w:szCs w:val="16"/>
          <w:color w:val="auto"/>
        </w:rPr>
        <w:t xml:space="preserve">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Person shall be otherwise qualified and eligible under this Article VII. In case at the time such successor to the Trustee shall succeed to the trusts created by this Indenture with respect to one or more series of Securities and any of such Securities shall have been authenticated but not delivered by the Trustee then in office, any successor to such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the right to adopt the certificate of authentication of any predecessor Trustee or authenticate Securities in the name of any predecessor Trustee shall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apply only to its successor or successors by merger, conversion or consolidation.</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7.09. Eligibility; Disqualification.</w:t>
      </w:r>
    </w:p>
    <w:p>
      <w:pPr>
        <w:spacing w:after="0" w:line="208" w:lineRule="exact"/>
        <w:rPr>
          <w:sz w:val="20"/>
          <w:szCs w:val="20"/>
          <w:color w:val="auto"/>
        </w:rPr>
      </w:pPr>
    </w:p>
    <w:p>
      <w:pPr>
        <w:ind w:firstLine="585"/>
        <w:spacing w:after="0" w:line="265" w:lineRule="auto"/>
        <w:rPr>
          <w:sz w:val="20"/>
          <w:szCs w:val="20"/>
          <w:color w:val="auto"/>
        </w:rPr>
      </w:pPr>
      <w:r>
        <w:rPr>
          <w:rFonts w:ascii="Times New Roman" w:cs="Times New Roman" w:eastAsia="Times New Roman" w:hAnsi="Times New Roman"/>
          <w:sz w:val="16"/>
          <w:szCs w:val="16"/>
          <w:color w:val="auto"/>
        </w:rPr>
        <w:t xml:space="preserve">The Trustee shall at all times satisfy the requirements of TIA § 310(a). The Trustee (together with its corporate parent) shall have a combined capital and surplus of at least $100.0 million as set forth in its most recent published annual report of condition. The Trustee shall comply with TIA § 310(b);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there shall be excluded from the operation of TIA § 310(b)(1) any indenture or indentures under which other securities or certificates of interest or participation in other securities of the Company are outstanding if the requirements for such exclusion set forth in TIA §310(b)(1) are met, other than the fact that such indentures are not described herein.</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7.10. Reports by Trustee to Holders.</w:t>
      </w:r>
    </w:p>
    <w:p>
      <w:pPr>
        <w:spacing w:after="0" w:line="208" w:lineRule="exact"/>
        <w:rPr>
          <w:sz w:val="20"/>
          <w:szCs w:val="20"/>
          <w:color w:val="auto"/>
        </w:rPr>
      </w:pPr>
    </w:p>
    <w:p>
      <w:pPr>
        <w:ind w:right="40" w:firstLine="585"/>
        <w:spacing w:after="0" w:line="265" w:lineRule="auto"/>
        <w:rPr>
          <w:sz w:val="20"/>
          <w:szCs w:val="20"/>
          <w:color w:val="auto"/>
        </w:rPr>
      </w:pPr>
      <w:r>
        <w:rPr>
          <w:rFonts w:ascii="Times New Roman" w:cs="Times New Roman" w:eastAsia="Times New Roman" w:hAnsi="Times New Roman"/>
          <w:sz w:val="16"/>
          <w:szCs w:val="16"/>
          <w:color w:val="auto"/>
        </w:rPr>
        <w:t>If required by TIA § 313(a), within 60 days after June 15 of any year, commencing on the first June 15 after the issuance of Securities pursuant to this Indenture, for so long as Securities of any series remain outstanding, the Trustee shall send to the Holders a brief report dated as of such reporting date that complies with TIA § 313(a) (but if no event described in TIA § 313(a) has occurred within the 12 months preceding the reporting date, no report need be transmitted). The Trustee also shall comply with TIA § 313(b). The Trustee shall also transmit all reports as required by TIA § 313(c) and comply with TIA § 313(d).</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7.11. Preferential Collection of Claims Against Company.</w:t>
      </w:r>
    </w:p>
    <w:p>
      <w:pPr>
        <w:spacing w:after="0" w:line="208" w:lineRule="exact"/>
        <w:rPr>
          <w:sz w:val="20"/>
          <w:szCs w:val="20"/>
          <w:color w:val="auto"/>
        </w:rPr>
      </w:pPr>
    </w:p>
    <w:p>
      <w:pPr>
        <w:ind w:right="140" w:firstLine="585"/>
        <w:spacing w:after="0" w:line="288" w:lineRule="auto"/>
        <w:rPr>
          <w:sz w:val="20"/>
          <w:szCs w:val="20"/>
          <w:color w:val="auto"/>
        </w:rPr>
      </w:pPr>
      <w:r>
        <w:rPr>
          <w:rFonts w:ascii="Times New Roman" w:cs="Times New Roman" w:eastAsia="Times New Roman" w:hAnsi="Times New Roman"/>
          <w:sz w:val="16"/>
          <w:szCs w:val="16"/>
          <w:color w:val="auto"/>
        </w:rPr>
        <w:t>The Trustee is subject to TIA § 311(a), excluding any creditor relationship listed in TIA § 311(b). A Trustee who has resigned or been removed shall be subject to TIA § 311(a) to the extent indicated therein.</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7.12. Appointment of Authenticating Agent.</w:t>
      </w:r>
    </w:p>
    <w:p>
      <w:pPr>
        <w:spacing w:after="0" w:line="206" w:lineRule="exact"/>
        <w:rPr>
          <w:sz w:val="20"/>
          <w:szCs w:val="20"/>
          <w:color w:val="auto"/>
        </w:rPr>
      </w:pPr>
    </w:p>
    <w:p>
      <w:pPr>
        <w:ind w:right="100" w:firstLine="585"/>
        <w:spacing w:after="0" w:line="263" w:lineRule="auto"/>
        <w:rPr>
          <w:sz w:val="20"/>
          <w:szCs w:val="20"/>
          <w:color w:val="auto"/>
        </w:rPr>
      </w:pPr>
      <w:r>
        <w:rPr>
          <w:rFonts w:ascii="Times New Roman" w:cs="Times New Roman" w:eastAsia="Times New Roman" w:hAnsi="Times New Roman"/>
          <w:sz w:val="16"/>
          <w:szCs w:val="16"/>
          <w:color w:val="auto"/>
        </w:rPr>
        <w:t>The Trustee may appoint an agent (the “</w:t>
      </w:r>
      <w:r>
        <w:rPr>
          <w:rFonts w:ascii="Times New Roman" w:cs="Times New Roman" w:eastAsia="Times New Roman" w:hAnsi="Times New Roman"/>
          <w:sz w:val="16"/>
          <w:szCs w:val="16"/>
          <w:i w:val="1"/>
          <w:iCs w:val="1"/>
          <w:color w:val="auto"/>
        </w:rPr>
        <w:t>Authenticating Agent</w:t>
      </w:r>
      <w:r>
        <w:rPr>
          <w:rFonts w:ascii="Times New Roman" w:cs="Times New Roman" w:eastAsia="Times New Roman" w:hAnsi="Times New Roman"/>
          <w:sz w:val="16"/>
          <w:szCs w:val="16"/>
          <w:color w:val="auto"/>
        </w:rPr>
        <w:t>”) reasonably acceptable to the Company to authenticate the Securities, and the Trustee shall give written notice of such appointment to all Holders of Securities of the series with respect to which such Authenticating Agent will serve. Unless limited by the terms of such appointment, any such Authenticating Agent may authenticate Securities whenever the Trustee may do so. Each reference in this Indenture to authentication by the Trustee includes authentication by the Authenticating Agent. Securities so authenticated shall be entitled to the benefits of this Indenture and shall be valid and obligatory for all purposes as if authenticated by the Trustee hereunder.</w:t>
      </w:r>
    </w:p>
    <w:p>
      <w:pPr>
        <w:spacing w:after="0" w:line="163" w:lineRule="exact"/>
        <w:rPr>
          <w:sz w:val="20"/>
          <w:szCs w:val="20"/>
          <w:color w:val="auto"/>
        </w:rPr>
      </w:pPr>
    </w:p>
    <w:p>
      <w:pPr>
        <w:ind w:firstLine="585"/>
        <w:spacing w:after="0" w:line="262" w:lineRule="auto"/>
        <w:rPr>
          <w:sz w:val="20"/>
          <w:szCs w:val="20"/>
          <w:color w:val="auto"/>
        </w:rPr>
      </w:pPr>
      <w:r>
        <w:rPr>
          <w:rFonts w:ascii="Times New Roman" w:cs="Times New Roman" w:eastAsia="Times New Roman" w:hAnsi="Times New Roman"/>
          <w:sz w:val="16"/>
          <w:szCs w:val="16"/>
          <w:color w:val="auto"/>
        </w:rPr>
        <w:t>Each Authenticating Agent shall at all times be a corporation organized and doing business and in good standing under the laws of the United States or any state thereof, authorized under such laws to act as Authenticating Agent, having a combined capital and surplus of not less than $100.0 million (together with its corporate parent) as set forth in the most recent applicable published annual report of condition and subject to supervision or examination by federal or state authorities. If at any time an Authenticating Agent shall cease to be eligible in accordance with the provisions of this Article VII, it shall resign immediately in the manner and with the effect specified in this Article VII.</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6" w:name="page227"/>
    <w:bookmarkEnd w:id="226"/>
    <w:p>
      <w:pPr>
        <w:ind w:right="120" w:firstLine="585"/>
        <w:spacing w:after="0" w:line="265" w:lineRule="auto"/>
        <w:rPr>
          <w:sz w:val="20"/>
          <w:szCs w:val="20"/>
          <w:color w:val="auto"/>
        </w:rPr>
      </w:pPr>
      <w:r>
        <w:rPr>
          <w:rFonts w:ascii="Times New Roman" w:cs="Times New Roman" w:eastAsia="Times New Roman" w:hAnsi="Times New Roman"/>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of the corporate agency or corporate trust business of an Authenticating Agent, shall continue to be an Authenticating Agent, provided such corporation shall be otherwise eligible under this Article VII, without the execution or filing of any paper or any further act on the part of the Trustee or the Authenticating Agent.</w:t>
      </w:r>
    </w:p>
    <w:p>
      <w:pPr>
        <w:spacing w:after="0" w:line="162" w:lineRule="exact"/>
        <w:rPr>
          <w:sz w:val="20"/>
          <w:szCs w:val="20"/>
          <w:color w:val="auto"/>
        </w:rPr>
      </w:pPr>
    </w:p>
    <w:p>
      <w:pPr>
        <w:ind w:firstLine="585"/>
        <w:spacing w:after="0" w:line="259" w:lineRule="auto"/>
        <w:rPr>
          <w:sz w:val="20"/>
          <w:szCs w:val="20"/>
          <w:color w:val="auto"/>
        </w:rPr>
      </w:pPr>
      <w:r>
        <w:rPr>
          <w:rFonts w:ascii="Times New Roman" w:cs="Times New Roman" w:eastAsia="Times New Roman" w:hAnsi="Times New Roman"/>
          <w:sz w:val="16"/>
          <w:szCs w:val="16"/>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7.12, the Trustee may appoint a successor Authenticating Agent which shall be acceptable to the Company and shall give written notice of such appointment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7.12.</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Company agrees to pay to each Authenticating Agent from time to time reasonable compensation for its services under this Section 7.12.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AMENDMENT, SUPPLEMENT AND WAIVER</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8.01. Without Consent of Holders.</w:t>
      </w:r>
    </w:p>
    <w:p>
      <w:pPr>
        <w:spacing w:after="0" w:line="208" w:lineRule="exact"/>
        <w:rPr>
          <w:sz w:val="20"/>
          <w:szCs w:val="20"/>
          <w:color w:val="auto"/>
        </w:rPr>
      </w:pPr>
    </w:p>
    <w:p>
      <w:pPr>
        <w:ind w:right="40" w:firstLine="585"/>
        <w:spacing w:after="0" w:line="288" w:lineRule="auto"/>
        <w:rPr>
          <w:sz w:val="20"/>
          <w:szCs w:val="20"/>
          <w:color w:val="auto"/>
        </w:rPr>
      </w:pPr>
      <w:r>
        <w:rPr>
          <w:rFonts w:ascii="Times New Roman" w:cs="Times New Roman" w:eastAsia="Times New Roman" w:hAnsi="Times New Roman"/>
          <w:sz w:val="16"/>
          <w:szCs w:val="16"/>
          <w:color w:val="auto"/>
        </w:rPr>
        <w:t>Except as otherwise provided as contemplated by Section 2.02 with respect to any series of Securities, the Company, the Guarantors and the Trustee may modify or amend this Indenture without the consent of any Holder of a Security of any series to:</w:t>
      </w:r>
    </w:p>
    <w:p>
      <w:pPr>
        <w:spacing w:after="0" w:line="143" w:lineRule="exact"/>
        <w:rPr>
          <w:sz w:val="20"/>
          <w:szCs w:val="20"/>
          <w:color w:val="auto"/>
        </w:rPr>
      </w:pPr>
    </w:p>
    <w:p>
      <w:pPr>
        <w:ind w:left="1440" w:hanging="273"/>
        <w:spacing w:after="0"/>
        <w:tabs>
          <w:tab w:leader="none" w:pos="144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cure any ambiguity, defect, mistake or inconsistency in this Indenture;</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for uncertificated Securities in addition to or in place of certificated Securities;</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the provisions of Section 4.04 or 5.01, including to provide for or evidence the release of any Guarantor in accordance with Section</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10.07;</w:t>
      </w:r>
    </w:p>
    <w:p>
      <w:pPr>
        <w:spacing w:after="0" w:line="190" w:lineRule="exact"/>
        <w:rPr>
          <w:sz w:val="20"/>
          <w:szCs w:val="20"/>
          <w:color w:val="auto"/>
        </w:rPr>
      </w:pPr>
    </w:p>
    <w:p>
      <w:pPr>
        <w:ind w:left="580" w:right="460" w:firstLine="587"/>
        <w:spacing w:after="0" w:line="288" w:lineRule="auto"/>
        <w:tabs>
          <w:tab w:leader="none" w:pos="1435"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evidence and provide for the acceptance of appointment by a successor Trustee and add to or change any provisions of this Indenture as shall be necessary for or facilitate the administration of the trusts hereunder by more than one Trustee, pursuant to the requirements of Section 7.07(f);</w:t>
      </w:r>
    </w:p>
    <w:p>
      <w:pPr>
        <w:spacing w:after="0" w:line="14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requirements of the Commission in order to effect or maintain the qualification of this Indenture or any supplemental indenture under the</w:t>
      </w:r>
    </w:p>
    <w:p>
      <w:pPr>
        <w:spacing w:after="0" w:line="2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TIA;</w:t>
      </w:r>
    </w:p>
    <w:p>
      <w:pPr>
        <w:spacing w:after="0" w:line="189" w:lineRule="exact"/>
        <w:rPr>
          <w:rFonts w:ascii="Times New Roman" w:cs="Times New Roman" w:eastAsia="Times New Roman" w:hAnsi="Times New Roman"/>
          <w:sz w:val="16"/>
          <w:szCs w:val="16"/>
          <w:color w:val="auto"/>
        </w:rPr>
      </w:pPr>
    </w:p>
    <w:p>
      <w:pPr>
        <w:ind w:left="580" w:right="40" w:firstLine="587"/>
        <w:spacing w:after="0" w:line="288" w:lineRule="auto"/>
        <w:tabs>
          <w:tab w:leader="none" w:pos="1435"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that would provide any additional rights or benefits to the Holders of the Securities of such series or that does not adversely affect in any material respect the legal rights under this Indenture of any such Holder;</w:t>
      </w:r>
    </w:p>
    <w:p>
      <w:pPr>
        <w:spacing w:after="0" w:line="14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secure any series of Securities;</w:t>
      </w:r>
    </w:p>
    <w:p>
      <w:pPr>
        <w:spacing w:after="0" w:line="205" w:lineRule="exact"/>
        <w:rPr>
          <w:rFonts w:ascii="Times New Roman" w:cs="Times New Roman" w:eastAsia="Times New Roman" w:hAnsi="Times New Roman"/>
          <w:sz w:val="16"/>
          <w:szCs w:val="16"/>
          <w:color w:val="auto"/>
        </w:rPr>
      </w:pPr>
    </w:p>
    <w:p>
      <w:pPr>
        <w:ind w:left="580" w:right="320" w:firstLine="587"/>
        <w:spacing w:after="0" w:line="271" w:lineRule="auto"/>
        <w:tabs>
          <w:tab w:leader="none" w:pos="1435"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the form and terms of Securities of any series as permitted in Section 2.02, or authorize the issuance of Additional Securities of a series previously authorized or add to the conditions, limitations or restrictions on the authorized amount, terms or purposes of issue, authentication or delivery of the Securities of any series, as herein set forth, or other conditions, limitations or restrictions thereafter to be observed;</w:t>
      </w:r>
    </w:p>
    <w:p>
      <w:pPr>
        <w:spacing w:after="0" w:line="156"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covenants for the benefit of the Holders or to surrender any right or power conferred upon the Company or any Guarantor;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7" w:name="page228"/>
    <w:bookmarkEnd w:id="227"/>
    <w:p>
      <w:pPr>
        <w:jc w:val="both"/>
        <w:ind w:left="580" w:right="420" w:firstLine="587"/>
        <w:spacing w:after="0" w:line="271" w:lineRule="auto"/>
        <w:tabs>
          <w:tab w:leader="none" w:pos="1516"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conform the text of this Indenture, any supplemental indenture, the Securities or the Guarantees to the extent a provision hereof or thereof was intended to be a substantially verbatim recitation of the applicable provision under the caption “Description of Debt Securities” or “Description of Notes” (or comparable section) contained in the applicable registration statement, prospectus, prospectus supplement, free-writing prospectus or offering memorandum;</w:t>
      </w:r>
    </w:p>
    <w:p>
      <w:pPr>
        <w:spacing w:after="0" w:line="156" w:lineRule="exact"/>
        <w:rPr>
          <w:rFonts w:ascii="Times New Roman" w:cs="Times New Roman" w:eastAsia="Times New Roman" w:hAnsi="Times New Roman"/>
          <w:sz w:val="16"/>
          <w:szCs w:val="16"/>
          <w:color w:val="auto"/>
        </w:rPr>
      </w:pPr>
    </w:p>
    <w:p>
      <w:pPr>
        <w:ind w:left="1520" w:hanging="353"/>
        <w:spacing w:after="0"/>
        <w:tabs>
          <w:tab w:leader="none" w:pos="1520"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allow any Guarantor to execute a supplemental indenture and/or Guarantee with respect to the Securities of any series;</w:t>
      </w:r>
    </w:p>
    <w:p>
      <w:pPr>
        <w:spacing w:after="0" w:line="205" w:lineRule="exact"/>
        <w:rPr>
          <w:rFonts w:ascii="Times New Roman" w:cs="Times New Roman" w:eastAsia="Times New Roman" w:hAnsi="Times New Roman"/>
          <w:sz w:val="16"/>
          <w:szCs w:val="16"/>
          <w:color w:val="auto"/>
        </w:rPr>
      </w:pPr>
    </w:p>
    <w:p>
      <w:pPr>
        <w:ind w:left="580" w:right="240" w:firstLine="587"/>
        <w:spacing w:after="0" w:line="265" w:lineRule="auto"/>
        <w:tabs>
          <w:tab w:leader="none" w:pos="1557"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to, change or eliminate any of the provisions of this Indenture with respect to one or more series of Securities, so long as any such addition, change or elimination not otherwise permitted under this Indenture shall (A) neither apply to any Security of any series created prior to the execution of such supplemental indenture and entitled to the benefit of such provision nor modify the rights of the Holders of any such Security with respect to the benefit of such provision or (B) become effective only when there is no such Security outstanding;</w:t>
      </w:r>
    </w:p>
    <w:p>
      <w:pPr>
        <w:spacing w:after="0" w:line="161" w:lineRule="exact"/>
        <w:rPr>
          <w:rFonts w:ascii="Times New Roman" w:cs="Times New Roman" w:eastAsia="Times New Roman" w:hAnsi="Times New Roman"/>
          <w:sz w:val="16"/>
          <w:szCs w:val="16"/>
          <w:color w:val="auto"/>
        </w:rPr>
      </w:pPr>
    </w:p>
    <w:p>
      <w:pPr>
        <w:ind w:left="580" w:right="20" w:firstLine="587"/>
        <w:spacing w:after="0" w:line="288" w:lineRule="auto"/>
        <w:tabs>
          <w:tab w:leader="none" w:pos="1557"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supplement any of the provisions of this Indenture to such extent as shall be necessary to permit or facilitate the defeasance and discharge of any series of Securities;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such action shall not adversely affect the interests of the Holders of Securities of such series or any other series of Securities;</w:t>
      </w:r>
    </w:p>
    <w:p>
      <w:pPr>
        <w:spacing w:after="0" w:line="143" w:lineRule="exact"/>
        <w:rPr>
          <w:rFonts w:ascii="Times New Roman" w:cs="Times New Roman" w:eastAsia="Times New Roman" w:hAnsi="Times New Roman"/>
          <w:sz w:val="16"/>
          <w:szCs w:val="16"/>
          <w:color w:val="auto"/>
        </w:rPr>
      </w:pPr>
    </w:p>
    <w:p>
      <w:pPr>
        <w:ind w:left="580" w:right="620" w:firstLine="587"/>
        <w:spacing w:after="0" w:line="288" w:lineRule="auto"/>
        <w:tabs>
          <w:tab w:leader="none" w:pos="1516"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make any change to the provisions of Section 10.9 or Article XIII that limits or terminates the benefits applicable to any holder of Senior Indebtedness or Subordinated Indebtedness; and</w:t>
      </w:r>
    </w:p>
    <w:p>
      <w:pPr>
        <w:spacing w:after="0" w:line="143" w:lineRule="exact"/>
        <w:rPr>
          <w:rFonts w:ascii="Times New Roman" w:cs="Times New Roman" w:eastAsia="Times New Roman" w:hAnsi="Times New Roman"/>
          <w:sz w:val="16"/>
          <w:szCs w:val="16"/>
          <w:color w:val="auto"/>
        </w:rPr>
      </w:pPr>
    </w:p>
    <w:p>
      <w:pPr>
        <w:ind w:left="1560" w:hanging="393"/>
        <w:spacing w:after="0"/>
        <w:tabs>
          <w:tab w:leader="none" w:pos="1560"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 the authentication and delivery of additional series of Securities.</w:t>
      </w:r>
    </w:p>
    <w:p>
      <w:pPr>
        <w:spacing w:after="0" w:line="206" w:lineRule="exact"/>
        <w:rPr>
          <w:sz w:val="20"/>
          <w:szCs w:val="20"/>
          <w:color w:val="auto"/>
        </w:rPr>
      </w:pPr>
    </w:p>
    <w:p>
      <w:pPr>
        <w:ind w:right="120" w:firstLine="585"/>
        <w:spacing w:after="0" w:line="265" w:lineRule="auto"/>
        <w:rPr>
          <w:sz w:val="20"/>
          <w:szCs w:val="20"/>
          <w:color w:val="auto"/>
        </w:rPr>
      </w:pPr>
      <w:r>
        <w:rPr>
          <w:rFonts w:ascii="Times New Roman" w:cs="Times New Roman" w:eastAsia="Times New Roman" w:hAnsi="Times New Roman"/>
          <w:sz w:val="16"/>
          <w:szCs w:val="16"/>
          <w:color w:val="auto"/>
        </w:rPr>
        <w:t>Upon the written request of the Company accompanied by a board resolution of the Board of Directors authorizing the execution of any such supplemental indenture and upon receipt by the Trustee of the documents described in Section 8.05, the Trustee shall join with the Company and the Guarantors in the execution of such supplemental indenture unless such supplemental indenture affects the Trustee’s own rights, duties or immunities under this Indenture, in which case the Trustee may, but shall not be obligated to, enter into such supplemental indenture.</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8.02. With Consent of Holders.</w:t>
      </w:r>
    </w:p>
    <w:p>
      <w:pPr>
        <w:spacing w:after="0" w:line="208" w:lineRule="exact"/>
        <w:rPr>
          <w:sz w:val="20"/>
          <w:szCs w:val="20"/>
          <w:color w:val="auto"/>
        </w:rPr>
      </w:pPr>
    </w:p>
    <w:p>
      <w:pPr>
        <w:ind w:firstLine="582"/>
        <w:spacing w:after="0" w:line="262" w:lineRule="auto"/>
        <w:tabs>
          <w:tab w:leader="none" w:pos="846"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the Guarantors and the Trustee may modify or amend this Indenture as it applies to a series of Securities with the consent of the Holders of a majority in aggregate principal amount of the then outstanding Securities of such series affected by the modification or amendment (including consents obtained in connection with a tender offer or exchange offer for Securities of such series), and any past default or compliance with any provisions of this Indenture relating to a series of Securities may also be waived (except a default in the payment of principal, premium or interest and a default under clause (b) of this Section 8.02) with the consent of the Holders of a majority in aggregate principal amount of the then outstanding Securities of such series.</w:t>
      </w:r>
    </w:p>
    <w:p>
      <w:pPr>
        <w:spacing w:after="0" w:line="164" w:lineRule="exact"/>
        <w:rPr>
          <w:rFonts w:ascii="Times New Roman" w:cs="Times New Roman" w:eastAsia="Times New Roman" w:hAnsi="Times New Roman"/>
          <w:sz w:val="16"/>
          <w:szCs w:val="16"/>
          <w:color w:val="auto"/>
        </w:rPr>
      </w:pPr>
    </w:p>
    <w:p>
      <w:pPr>
        <w:ind w:left="860" w:hanging="278"/>
        <w:spacing w:after="0"/>
        <w:tabs>
          <w:tab w:leader="none" w:pos="86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However, no such modification or amendment may, without the consent of each Holder of Securities of a series affected thereby:</w:t>
      </w:r>
    </w:p>
    <w:p>
      <w:pPr>
        <w:spacing w:after="0" w:line="205" w:lineRule="exact"/>
        <w:rPr>
          <w:rFonts w:ascii="Times New Roman" w:cs="Times New Roman" w:eastAsia="Times New Roman" w:hAnsi="Times New Roman"/>
          <w:sz w:val="16"/>
          <w:szCs w:val="16"/>
          <w:color w:val="auto"/>
        </w:rPr>
      </w:pPr>
    </w:p>
    <w:p>
      <w:pPr>
        <w:ind w:left="580" w:right="80" w:firstLine="587"/>
        <w:spacing w:after="0" w:line="288" w:lineRule="auto"/>
        <w:tabs>
          <w:tab w:leader="none" w:pos="1435" w:val="left"/>
        </w:tabs>
        <w:numPr>
          <w:ilvl w:val="1"/>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extend the due date of the principal of, or any installment of principal of or interest on, the Securities of such series, or reduce the amount of the principal of an Original Issue Discount Security that would be due and payable upon a declaration of acceleration of the maturity thereof pursuant to Section 6.02;</w:t>
      </w:r>
    </w:p>
    <w:p>
      <w:pPr>
        <w:spacing w:after="0" w:line="14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materially adversely affect the economic terms of any right to convert or exchange any Security as may be provided pursuant to Section 2.02;</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principal amount of, or any premium or interest rate on, the Securities of such series;</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the place or currency of payment of principal of, or any premium or interest on, the Securities of such series;</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28" w:name="page229"/>
    <w:bookmarkEnd w:id="228"/>
    <w:p>
      <w:pPr>
        <w:ind w:left="1440" w:hanging="273"/>
        <w:spacing w:after="0"/>
        <w:tabs>
          <w:tab w:leader="none" w:pos="1440" w:val="left"/>
        </w:tabs>
        <w:numPr>
          <w:ilvl w:val="1"/>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amount payable upon the redemption of any Security of such series;</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 the right to institute suit for the enforcement of any payment on or with respect to the Securities of such series after the due date thereof; or</w:t>
      </w:r>
    </w:p>
    <w:p>
      <w:pPr>
        <w:spacing w:after="0" w:line="205" w:lineRule="exact"/>
        <w:rPr>
          <w:rFonts w:ascii="Times New Roman" w:cs="Times New Roman" w:eastAsia="Times New Roman" w:hAnsi="Times New Roman"/>
          <w:sz w:val="16"/>
          <w:szCs w:val="16"/>
          <w:color w:val="auto"/>
        </w:rPr>
      </w:pPr>
    </w:p>
    <w:p>
      <w:pPr>
        <w:ind w:left="580" w:right="80" w:firstLine="587"/>
        <w:spacing w:after="0" w:line="288" w:lineRule="auto"/>
        <w:tabs>
          <w:tab w:leader="none" w:pos="1435" w:val="left"/>
        </w:tabs>
        <w:numPr>
          <w:ilvl w:val="1"/>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percentage in principal amount of the then outstanding Securities of such series, the consent of whose Holders is required for modification or amendment of this Indenture, for waiver of compliance with certain provisions of this Indenture or for waiver of certain defaults.</w:t>
      </w:r>
    </w:p>
    <w:p>
      <w:pPr>
        <w:spacing w:after="0" w:line="143" w:lineRule="exact"/>
        <w:rPr>
          <w:rFonts w:ascii="Times New Roman" w:cs="Times New Roman" w:eastAsia="Times New Roman" w:hAnsi="Times New Roman"/>
          <w:sz w:val="16"/>
          <w:szCs w:val="16"/>
          <w:color w:val="auto"/>
        </w:rPr>
      </w:pPr>
    </w:p>
    <w:p>
      <w:pPr>
        <w:jc w:val="both"/>
        <w:ind w:right="80" w:firstLine="582"/>
        <w:spacing w:after="0" w:line="265" w:lineRule="auto"/>
        <w:tabs>
          <w:tab w:leader="none" w:pos="846"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 majority of the principal amount of then outstanding Securities of any series may waive future compliance with certain restrictive covenants of this Indenture applicable to such series of Securities. The Holders of at least a majority in principal amount of then outstanding Securities of a series may waive any past default under this Indenture with respect to such series, except a failure by the Company to pay the principal of, or any premium or interest on, any Securities of such series or a provision that cannot be modified or amended without the consent of the Holders of all outstanding Securities of such series.</w:t>
      </w:r>
    </w:p>
    <w:p>
      <w:pPr>
        <w:spacing w:after="0" w:line="161" w:lineRule="exact"/>
        <w:rPr>
          <w:rFonts w:ascii="Times New Roman" w:cs="Times New Roman" w:eastAsia="Times New Roman" w:hAnsi="Times New Roman"/>
          <w:sz w:val="16"/>
          <w:szCs w:val="16"/>
          <w:color w:val="auto"/>
        </w:rPr>
      </w:pPr>
    </w:p>
    <w:p>
      <w:pPr>
        <w:ind w:right="240" w:firstLine="582"/>
        <w:spacing w:after="0" w:line="265" w:lineRule="auto"/>
        <w:tabs>
          <w:tab w:leader="none" w:pos="855"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determining whether the Holders of the required principal amount of a series of Securities have concurred in any direction, notice, waiver or consent, Securities owned by the Company, any Subsidiary of the Company, or by any Affiliate of the Company will be considered as though not outstanding, except that for the purposes of determining whether the Trustee will be protected in conclusively relying on any such direction, notice, waiver or consent, only Securities that a Responsible Officer of the Trustee actually knows are so owned will be so disregarded.</w:t>
      </w:r>
    </w:p>
    <w:p>
      <w:pPr>
        <w:spacing w:after="0" w:line="161" w:lineRule="exact"/>
        <w:rPr>
          <w:rFonts w:ascii="Times New Roman" w:cs="Times New Roman" w:eastAsia="Times New Roman" w:hAnsi="Times New Roman"/>
          <w:sz w:val="16"/>
          <w:szCs w:val="16"/>
          <w:color w:val="auto"/>
        </w:rPr>
      </w:pPr>
    </w:p>
    <w:p>
      <w:pPr>
        <w:ind w:right="60" w:firstLine="582"/>
        <w:spacing w:after="0" w:line="288" w:lineRule="auto"/>
        <w:tabs>
          <w:tab w:leader="none" w:pos="846"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not necessary for the consent of the Holders under this Section 8.02 to approve the particular form of any proposed amendment, supplement or waiver, but it is sufficient if such consent approves the substance thereof.</w:t>
      </w:r>
    </w:p>
    <w:p>
      <w:pPr>
        <w:spacing w:after="0" w:line="143" w:lineRule="exact"/>
        <w:rPr>
          <w:sz w:val="20"/>
          <w:szCs w:val="20"/>
          <w:color w:val="auto"/>
        </w:rPr>
      </w:pPr>
    </w:p>
    <w:p>
      <w:pPr>
        <w:jc w:val="both"/>
        <w:ind w:right="60" w:firstLine="585"/>
        <w:spacing w:after="0" w:line="271" w:lineRule="auto"/>
        <w:rPr>
          <w:sz w:val="20"/>
          <w:szCs w:val="20"/>
          <w:color w:val="auto"/>
        </w:rPr>
      </w:pPr>
      <w:r>
        <w:rPr>
          <w:rFonts w:ascii="Times New Roman" w:cs="Times New Roman" w:eastAsia="Times New Roman" w:hAnsi="Times New Roman"/>
          <w:sz w:val="16"/>
          <w:szCs w:val="16"/>
          <w:color w:val="auto"/>
        </w:rPr>
        <w:t>After an amendment that requires the consent of the Holders of the affected Securities becomes effective, the Company shall transmit to each registered Holder of the affected Securities at such Holder’s address appearing in the security register a notice briefly describing such amendment. However, the failure to give such notice to all Holders of such Securities, or any defect therein, shall not impair or affect the validity of the amendment.</w:t>
      </w:r>
    </w:p>
    <w:p>
      <w:pPr>
        <w:spacing w:after="0" w:line="156" w:lineRule="exact"/>
        <w:rPr>
          <w:sz w:val="20"/>
          <w:szCs w:val="20"/>
          <w:color w:val="auto"/>
        </w:rPr>
      </w:pPr>
    </w:p>
    <w:p>
      <w:pPr>
        <w:ind w:firstLine="585"/>
        <w:spacing w:after="0" w:line="262" w:lineRule="auto"/>
        <w:rPr>
          <w:sz w:val="20"/>
          <w:szCs w:val="20"/>
          <w:color w:val="auto"/>
        </w:rPr>
      </w:pPr>
      <w:r>
        <w:rPr>
          <w:rFonts w:ascii="Times New Roman" w:cs="Times New Roman" w:eastAsia="Times New Roman" w:hAnsi="Times New Roman"/>
          <w:sz w:val="16"/>
          <w:szCs w:val="16"/>
          <w:color w:val="auto"/>
        </w:rPr>
        <w:t>Upon the written request of the Company accompanied by a board resolution of the Board of Directors authorizing the execution of any such supplemental indenture, and upon the receipt by the Trustee of evidence reasonably satisfactory to the Trustee of the consent of the Holders as aforesaid and upon receipt by the Trustee of the documents described in Section 8.05, the Trustee shall join with the Company and the Guarantors in the execution of such supplemental indenture unless such supplemental indenture affects the Trustee’s own rights, duties or immunities under this Indenture, in which case the Trustee may, but shall not be obligated to, enter into such supplemental indenture.</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8.03. Revocation and Effect of Consents.</w:t>
      </w:r>
    </w:p>
    <w:p>
      <w:pPr>
        <w:spacing w:after="0" w:line="208" w:lineRule="exact"/>
        <w:rPr>
          <w:sz w:val="20"/>
          <w:szCs w:val="20"/>
          <w:color w:val="auto"/>
        </w:rPr>
      </w:pPr>
    </w:p>
    <w:p>
      <w:pPr>
        <w:ind w:firstLine="585"/>
        <w:spacing w:after="0" w:line="262" w:lineRule="auto"/>
        <w:rPr>
          <w:sz w:val="20"/>
          <w:szCs w:val="20"/>
          <w:color w:val="auto"/>
        </w:rPr>
      </w:pPr>
      <w:r>
        <w:rPr>
          <w:rFonts w:ascii="Times New Roman" w:cs="Times New Roman" w:eastAsia="Times New Roman" w:hAnsi="Times New Roman"/>
          <w:sz w:val="16"/>
          <w:szCs w:val="16"/>
          <w:color w:val="auto"/>
        </w:rPr>
        <w:t>After an amendment, supplement, waiver or other action becomes effective, a consent to it by a Holder of a Security is a continuing consent conclusive and binding upon such Holder and every subsequent Holder of the same Security or portion thereof, and of any Security issued upon the transfer thereof or in exchange therefor or in place thereof, even if notation of the consent is not made on any such Security. However, any such Holder of a Security or subsequent Holder of a Security may revoke the consent as to its Security if the Trustee receives written notice of revocation before the date the amendment, supplement or waiver becomes effective. An amendment, supplement or waiver becomes effective in accordance with its terms and thereafter binds every Holder.</w:t>
      </w:r>
    </w:p>
    <w:p>
      <w:pPr>
        <w:spacing w:after="0" w:line="165" w:lineRule="exact"/>
        <w:rPr>
          <w:sz w:val="20"/>
          <w:szCs w:val="20"/>
          <w:color w:val="auto"/>
        </w:rPr>
      </w:pPr>
    </w:p>
    <w:p>
      <w:pPr>
        <w:ind w:right="40" w:firstLine="585"/>
        <w:spacing w:after="0" w:line="262" w:lineRule="auto"/>
        <w:rPr>
          <w:sz w:val="20"/>
          <w:szCs w:val="20"/>
          <w:color w:val="auto"/>
        </w:rPr>
      </w:pPr>
      <w:r>
        <w:rPr>
          <w:rFonts w:ascii="Times New Roman" w:cs="Times New Roman" w:eastAsia="Times New Roman" w:hAnsi="Times New Roman"/>
          <w:sz w:val="16"/>
          <w:szCs w:val="16"/>
          <w:color w:val="auto"/>
        </w:rPr>
        <w:t>The Company may, but shall not be obligated to, fix a record date for the purpose of determining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 unless the consent of the requisite number of Holders has been obtained.</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29" w:name="page230"/>
    <w:bookmarkEnd w:id="229"/>
    <w:p>
      <w:pPr>
        <w:ind w:left="580"/>
        <w:spacing w:after="0"/>
        <w:rPr>
          <w:sz w:val="20"/>
          <w:szCs w:val="20"/>
          <w:color w:val="auto"/>
        </w:rPr>
      </w:pPr>
      <w:r>
        <w:rPr>
          <w:rFonts w:ascii="Times New Roman" w:cs="Times New Roman" w:eastAsia="Times New Roman" w:hAnsi="Times New Roman"/>
          <w:sz w:val="16"/>
          <w:szCs w:val="16"/>
          <w:i w:val="1"/>
          <w:iCs w:val="1"/>
          <w:color w:val="auto"/>
        </w:rPr>
        <w:t>Section 8.04. Notation on or Exchange of Securities.</w:t>
      </w:r>
    </w:p>
    <w:p>
      <w:pPr>
        <w:spacing w:after="0" w:line="208" w:lineRule="exact"/>
        <w:rPr>
          <w:sz w:val="20"/>
          <w:szCs w:val="20"/>
          <w:color w:val="auto"/>
        </w:rPr>
      </w:pPr>
    </w:p>
    <w:p>
      <w:pPr>
        <w:ind w:right="180" w:firstLine="585"/>
        <w:spacing w:after="0" w:line="262" w:lineRule="auto"/>
        <w:rPr>
          <w:sz w:val="20"/>
          <w:szCs w:val="20"/>
          <w:color w:val="auto"/>
        </w:rPr>
      </w:pPr>
      <w:r>
        <w:rPr>
          <w:rFonts w:ascii="Times New Roman" w:cs="Times New Roman" w:eastAsia="Times New Roman" w:hAnsi="Times New Roman"/>
          <w:sz w:val="16"/>
          <w:szCs w:val="16"/>
          <w:color w:val="auto"/>
        </w:rPr>
        <w:t>If an amendment, supplement, or waiver changes the terms of a Security, the Trustee (in accordance with the specific written direction of the Company) shall request the Holder of the Security (in accordance with the specific written direction of the Company) to deliver it to the Trustee. In such case, the Trustee shall place an appropriate notation on the Security about the changed terms and return it to the Holder. Alternatively, if the Company or the Trustee so determines, the Company, in exchange for the Security, shall issue, and the Trustee shall authenticate, a new Security that reflects the changed terms. Failure to make the appropriate notation or issue a new Security shall not affect the validity and effect of such amendment, supplement or waiver.</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8.05. Trustee To Sign Amendments, etc.</w:t>
      </w:r>
    </w:p>
    <w:p>
      <w:pPr>
        <w:spacing w:after="0" w:line="208" w:lineRule="exact"/>
        <w:rPr>
          <w:sz w:val="20"/>
          <w:szCs w:val="20"/>
          <w:color w:val="auto"/>
        </w:rPr>
      </w:pPr>
    </w:p>
    <w:p>
      <w:pPr>
        <w:ind w:firstLine="585"/>
        <w:spacing w:after="0" w:line="262" w:lineRule="auto"/>
        <w:rPr>
          <w:sz w:val="20"/>
          <w:szCs w:val="20"/>
          <w:color w:val="auto"/>
        </w:rPr>
      </w:pPr>
      <w:r>
        <w:rPr>
          <w:rFonts w:ascii="Times New Roman" w:cs="Times New Roman" w:eastAsia="Times New Roman" w:hAnsi="Times New Roman"/>
          <w:sz w:val="16"/>
          <w:szCs w:val="16"/>
          <w:color w:val="auto"/>
        </w:rPr>
        <w:t>The Trustee shall sign any amendment, supplement or waiver authorized pursuant to this Article VIII if the amendment, supplement or waiver does not affect the rights, duties, liabilities or immunities of the Trustee. If it does affect the rights, duties, liabilities or immunities of the Trustee, the Trustee may, but need not, sign such amendment, supplement or waiver. In signing or refusing to sign such amendment, supplement or waiver the Trustee shall be entitled to receive and, subject to Section 7.01, shall be fully protected in relying upon an Officer’s Certificate and an Opinion of Counsel stating, in addition to the matters required by Section 12.03, that such amendment, supplement or waiver is authorized or permitted by this Indenture.</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8.06. Compliance with Trust Indenture Act.</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Every amendment or supplement to this Indenture or the Securities shall comply with the TIA as then in effect.</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8.07. Effect of Execution of Supplemental Indenture.</w:t>
      </w:r>
    </w:p>
    <w:p>
      <w:pPr>
        <w:spacing w:after="0" w:line="208" w:lineRule="exact"/>
        <w:rPr>
          <w:sz w:val="20"/>
          <w:szCs w:val="20"/>
          <w:color w:val="auto"/>
        </w:rPr>
      </w:pPr>
    </w:p>
    <w:p>
      <w:pPr>
        <w:ind w:right="100" w:firstLine="585"/>
        <w:spacing w:after="0" w:line="262" w:lineRule="auto"/>
        <w:rPr>
          <w:sz w:val="20"/>
          <w:szCs w:val="20"/>
          <w:color w:val="auto"/>
        </w:rPr>
      </w:pPr>
      <w:r>
        <w:rPr>
          <w:rFonts w:ascii="Times New Roman" w:cs="Times New Roman" w:eastAsia="Times New Roman" w:hAnsi="Times New Roman"/>
          <w:sz w:val="16"/>
          <w:szCs w:val="16"/>
          <w:color w:val="auto"/>
        </w:rPr>
        <w:t>Upon the execution of any supplemental indenture pursuant to the provisions of this Article VIII, this Indenture shall be deemed to be modified and amended in accordance therewith and, except as herein otherwise expressly provided, the respective rights, limitations of rights, obligations, duties and immunities under this Indenture of the Trustee, the Company and the Holders of all of the Securities or of the Securities of any series affected, as the case may be,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8.08. Subordination Unimpaired</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right="640" w:firstLine="585"/>
        <w:spacing w:after="0" w:line="288" w:lineRule="auto"/>
        <w:rPr>
          <w:sz w:val="20"/>
          <w:szCs w:val="20"/>
          <w:color w:val="auto"/>
        </w:rPr>
      </w:pPr>
      <w:r>
        <w:rPr>
          <w:rFonts w:ascii="Times New Roman" w:cs="Times New Roman" w:eastAsia="Times New Roman" w:hAnsi="Times New Roman"/>
          <w:sz w:val="16"/>
          <w:szCs w:val="16"/>
          <w:color w:val="auto"/>
        </w:rPr>
        <w:t>This Indenture may not be amended to alter the subordination of any outstanding Securities without the consent of each holder of Senior Indebtedness and Subordinated Indebtedness then outstanding that would be adversely affected thereby.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SATISFACTION AND DISCHARGE OF INDENTURE; DEFEASANCE</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9.01. Applicability of Article.</w:t>
      </w:r>
    </w:p>
    <w:p>
      <w:pPr>
        <w:spacing w:after="0" w:line="208" w:lineRule="exact"/>
        <w:rPr>
          <w:sz w:val="20"/>
          <w:szCs w:val="20"/>
          <w:color w:val="auto"/>
        </w:rPr>
      </w:pPr>
    </w:p>
    <w:p>
      <w:pPr>
        <w:ind w:right="40" w:firstLine="585"/>
        <w:spacing w:after="0" w:line="271" w:lineRule="auto"/>
        <w:rPr>
          <w:sz w:val="20"/>
          <w:szCs w:val="20"/>
          <w:color w:val="auto"/>
        </w:rPr>
      </w:pPr>
      <w:r>
        <w:rPr>
          <w:rFonts w:ascii="Times New Roman" w:cs="Times New Roman" w:eastAsia="Times New Roman" w:hAnsi="Times New Roman"/>
          <w:sz w:val="16"/>
          <w:szCs w:val="16"/>
          <w:color w:val="auto"/>
        </w:rPr>
        <w:t>Except as otherwise contemplated by Section 2.02 with respect to any series of Securities, if provision is made for the defeasance of Securities of a series and if the Securities of such series are denominated and payable only in U.S. Dollars, then the provisions of this Article IX shall be applicable. Defeasance provisions, if any, for Securities denominated in a Foreign Currency may be specified pursuant to Section 2.02.</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9.02. Satisfaction and Discharge of Liability on Securities; Defeasance.</w:t>
      </w:r>
    </w:p>
    <w:p>
      <w:pPr>
        <w:spacing w:after="0" w:line="208" w:lineRule="exact"/>
        <w:rPr>
          <w:sz w:val="20"/>
          <w:szCs w:val="20"/>
          <w:color w:val="auto"/>
        </w:rPr>
      </w:pPr>
    </w:p>
    <w:p>
      <w:pPr>
        <w:ind w:right="80" w:firstLine="582"/>
        <w:spacing w:after="0" w:line="271" w:lineRule="auto"/>
        <w:tabs>
          <w:tab w:leader="none" w:pos="846"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Indenture will be discharged and will cease to be of further effect with respect to any series of Securities (except as to rights of registration of transfer or exchange of Securities and rights to receive principal of and premium, if any, and interest on such Securities) as to all outstanding Securities of such series issued hereunder when:</w:t>
      </w:r>
    </w:p>
    <w:p>
      <w:pPr>
        <w:spacing w:after="0" w:line="156"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0" w:name="page231"/>
    <w:bookmarkEnd w:id="230"/>
    <w:p>
      <w:pPr>
        <w:ind w:left="1160" w:right="20" w:firstLine="591"/>
        <w:spacing w:after="0" w:line="271" w:lineRule="auto"/>
        <w:tabs>
          <w:tab w:leader="none" w:pos="2051" w:val="left"/>
        </w:tabs>
        <w:numPr>
          <w:ilvl w:val="1"/>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the Securities of such series that have been authenticated and delivered (except lost, stolen or destroyed Securities which have been replaced or paid and Securities for whose payment money has been deposited in trust or segregated and held in trust by the Company and thereafter repaid to the Company or discharged from this trust) have been delivered to the Trustee for cancellation, or</w:t>
      </w:r>
    </w:p>
    <w:p>
      <w:pPr>
        <w:spacing w:after="0" w:line="156" w:lineRule="exact"/>
        <w:rPr>
          <w:rFonts w:ascii="Times New Roman" w:cs="Times New Roman" w:eastAsia="Times New Roman" w:hAnsi="Times New Roman"/>
          <w:sz w:val="16"/>
          <w:szCs w:val="16"/>
          <w:color w:val="auto"/>
        </w:rPr>
      </w:pPr>
    </w:p>
    <w:p>
      <w:pPr>
        <w:ind w:left="1160" w:firstLine="591"/>
        <w:spacing w:after="0" w:line="261" w:lineRule="auto"/>
        <w:tabs>
          <w:tab w:leader="none" w:pos="2042" w:val="left"/>
        </w:tabs>
        <w:numPr>
          <w:ilvl w:val="1"/>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Securities of such series not delivered to the Trustee for cancellation otherwise (i) have become due and payable, (ii) will become due and payable, or are to be called for redemption, within one year or (iii) have been called for redemption as otherwise specified pursuant to Section 2.02 for Securities of such series, and, in any case, the Company or any Guarantor has irrevocably deposited or caused to be deposited with the Trustee as trust funds, in trust solely for the benefit of the Holders of such Securities, U.S. legal tender, U.S. Government Obligations or a combination thereof, in such amounts as will be sufficient (without consideration of any reinvestment of interest) to pay and discharge the entire Indebtedness (including all principal and accrued interest) on the Securities of such series not theretofore delivered to the Trustee for cancellation,</w:t>
      </w:r>
    </w:p>
    <w:p>
      <w:pPr>
        <w:spacing w:after="0" w:line="16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any Guarantor has paid all sums payable by it under this Indenture, and</w:t>
      </w:r>
    </w:p>
    <w:p>
      <w:pPr>
        <w:spacing w:after="0" w:line="205" w:lineRule="exact"/>
        <w:rPr>
          <w:rFonts w:ascii="Times New Roman" w:cs="Times New Roman" w:eastAsia="Times New Roman" w:hAnsi="Times New Roman"/>
          <w:sz w:val="16"/>
          <w:szCs w:val="16"/>
          <w:color w:val="auto"/>
        </w:rPr>
      </w:pPr>
    </w:p>
    <w:p>
      <w:pPr>
        <w:ind w:left="580" w:right="60" w:firstLine="587"/>
        <w:spacing w:after="0" w:line="288" w:lineRule="auto"/>
        <w:tabs>
          <w:tab w:leader="none" w:pos="1435"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delivered irrevocable instructions to the Trustee to apply the deposited money toward the payment of the Securities of such series at maturity or on the Redemption Date, as the case may be.</w:t>
      </w:r>
    </w:p>
    <w:p>
      <w:pPr>
        <w:spacing w:after="0" w:line="143" w:lineRule="exact"/>
        <w:rPr>
          <w:sz w:val="20"/>
          <w:szCs w:val="20"/>
          <w:color w:val="auto"/>
        </w:rPr>
      </w:pPr>
    </w:p>
    <w:p>
      <w:pPr>
        <w:ind w:right="300" w:firstLine="585"/>
        <w:spacing w:after="0" w:line="288" w:lineRule="auto"/>
        <w:rPr>
          <w:sz w:val="20"/>
          <w:szCs w:val="20"/>
          <w:color w:val="auto"/>
        </w:rPr>
      </w:pPr>
      <w:r>
        <w:rPr>
          <w:rFonts w:ascii="Times New Roman" w:cs="Times New Roman" w:eastAsia="Times New Roman" w:hAnsi="Times New Roman"/>
          <w:sz w:val="16"/>
          <w:szCs w:val="16"/>
          <w:color w:val="auto"/>
        </w:rPr>
        <w:t>In addition, the Company must deliver to the Trustee an Officer’s Certificate and an Opinion of Counsel stating that all conditions precedent to satisfaction and discharge have been complied with.</w:t>
      </w:r>
    </w:p>
    <w:p>
      <w:pPr>
        <w:spacing w:after="0" w:line="143" w:lineRule="exact"/>
        <w:rPr>
          <w:sz w:val="20"/>
          <w:szCs w:val="20"/>
          <w:color w:val="auto"/>
        </w:rPr>
      </w:pPr>
    </w:p>
    <w:p>
      <w:pPr>
        <w:jc w:val="both"/>
        <w:ind w:right="20" w:firstLine="582"/>
        <w:spacing w:after="0" w:line="265" w:lineRule="auto"/>
        <w:tabs>
          <w:tab w:leader="none" w:pos="855"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clause (c) of this Section 9.02 and Section 9.03, the Company may, at its option and at any time, elect to have its obligations and the obligations of the Guarantors discharged with respect to the outstanding Securities of a series (“</w:t>
      </w:r>
      <w:r>
        <w:rPr>
          <w:rFonts w:ascii="Times New Roman" w:cs="Times New Roman" w:eastAsia="Times New Roman" w:hAnsi="Times New Roman"/>
          <w:sz w:val="16"/>
          <w:szCs w:val="16"/>
          <w:i w:val="1"/>
          <w:iCs w:val="1"/>
          <w:color w:val="auto"/>
        </w:rPr>
        <w:t>Legal Defeasance</w:t>
      </w:r>
      <w:r>
        <w:rPr>
          <w:rFonts w:ascii="Times New Roman" w:cs="Times New Roman" w:eastAsia="Times New Roman" w:hAnsi="Times New Roman"/>
          <w:sz w:val="16"/>
          <w:szCs w:val="16"/>
          <w:color w:val="auto"/>
        </w:rPr>
        <w:t>”). Legal Defeasance means that the Company and the Guarantors shall be deemed to have paid and discharged the entire indebtedness represented by the Securities of such series and the related Guarantees, and this Indenture shall cease to be of further effect as to all outstanding Securities of such series and the related Guarantees, except as to:</w:t>
      </w:r>
    </w:p>
    <w:p>
      <w:pPr>
        <w:spacing w:after="0" w:line="161" w:lineRule="exact"/>
        <w:rPr>
          <w:rFonts w:ascii="Times New Roman" w:cs="Times New Roman" w:eastAsia="Times New Roman" w:hAnsi="Times New Roman"/>
          <w:sz w:val="16"/>
          <w:szCs w:val="16"/>
          <w:color w:val="auto"/>
        </w:rPr>
      </w:pPr>
    </w:p>
    <w:p>
      <w:pPr>
        <w:ind w:left="580" w:right="220" w:firstLine="587"/>
        <w:spacing w:after="0" w:line="288" w:lineRule="auto"/>
        <w:tabs>
          <w:tab w:leader="none" w:pos="1435" w:val="left"/>
        </w:tabs>
        <w:numPr>
          <w:ilvl w:val="1"/>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of Holders of such series of Securities issued under this Indenture to receive payments in respect of the principal of, premium, if any, and interest on such Securities when such payments are due solely out of the trust created pursuant to this Indenture;</w:t>
      </w:r>
    </w:p>
    <w:p>
      <w:pPr>
        <w:spacing w:after="0" w:line="143" w:lineRule="exact"/>
        <w:rPr>
          <w:rFonts w:ascii="Times New Roman" w:cs="Times New Roman" w:eastAsia="Times New Roman" w:hAnsi="Times New Roman"/>
          <w:sz w:val="16"/>
          <w:szCs w:val="16"/>
          <w:color w:val="auto"/>
        </w:rPr>
      </w:pPr>
    </w:p>
    <w:p>
      <w:pPr>
        <w:ind w:left="580" w:right="360" w:firstLine="587"/>
        <w:spacing w:after="0" w:line="271" w:lineRule="auto"/>
        <w:tabs>
          <w:tab w:leader="none" w:pos="1435" w:val="left"/>
        </w:tabs>
        <w:numPr>
          <w:ilvl w:val="1"/>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obligations with respect to such series of Securities concerning issuing temporary Securities under Section 2.12, registration of Securities under Section 2.05, mutilated, destroyed, lost or stolen Securities under Section 2.09, and the maintenance of an office or agency for payment under Section 2.05 and money for security payments held in trust under Section 2.06;</w:t>
      </w:r>
    </w:p>
    <w:p>
      <w:pPr>
        <w:spacing w:after="0" w:line="156"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powers, trust, duties, and immunities of the Trustee, and the Company’s obligation in connection therewith; and</w:t>
      </w:r>
    </w:p>
    <w:p>
      <w:pPr>
        <w:spacing w:after="0" w:line="205"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1"/>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applicable provisions of this Article IX.</w:t>
      </w:r>
    </w:p>
    <w:p>
      <w:pPr>
        <w:spacing w:after="0" w:line="206" w:lineRule="exact"/>
        <w:rPr>
          <w:sz w:val="20"/>
          <w:szCs w:val="20"/>
          <w:color w:val="auto"/>
        </w:rPr>
      </w:pPr>
    </w:p>
    <w:p>
      <w:pPr>
        <w:ind w:right="80" w:firstLine="585"/>
        <w:spacing w:after="0" w:line="261" w:lineRule="auto"/>
        <w:rPr>
          <w:sz w:val="20"/>
          <w:szCs w:val="20"/>
          <w:color w:val="auto"/>
        </w:rPr>
      </w:pPr>
      <w:r>
        <w:rPr>
          <w:rFonts w:ascii="Times New Roman" w:cs="Times New Roman" w:eastAsia="Times New Roman" w:hAnsi="Times New Roman"/>
          <w:sz w:val="16"/>
          <w:szCs w:val="16"/>
          <w:color w:val="auto"/>
        </w:rPr>
        <w:t>In addition, the Company may, at its option and at any time, elect to have its obligations and the obligations of the Guarantors released with respect to (A) their respective obligations under Sections 4.03 through 4.05 with respect to the outstanding Securities of a series, (B) the operation of Sections 6.01(5), (6), (7) or (8) (only as such clauses (7) or (8) apply to Significant Subsidiaries) and (C) if so specified pursuant to Section 2.02 with respect to Securities of a series, any other restrictive covenant added for the benefit of such series pursuant to Section 2.02 (“</w:t>
      </w:r>
      <w:r>
        <w:rPr>
          <w:rFonts w:ascii="Times New Roman" w:cs="Times New Roman" w:eastAsia="Times New Roman" w:hAnsi="Times New Roman"/>
          <w:sz w:val="16"/>
          <w:szCs w:val="16"/>
          <w:i w:val="1"/>
          <w:iCs w:val="1"/>
          <w:color w:val="auto"/>
        </w:rPr>
        <w:t>Covenant Defeasance</w:t>
      </w:r>
      <w:r>
        <w:rPr>
          <w:rFonts w:ascii="Times New Roman" w:cs="Times New Roman" w:eastAsia="Times New Roman" w:hAnsi="Times New Roman"/>
          <w:sz w:val="16"/>
          <w:szCs w:val="16"/>
          <w:color w:val="auto"/>
        </w:rPr>
        <w:t>”) on and after the conditions in Section 9.03 with respect to Covenant Defeasance are satisfied, and thereafter any omission to comply with such obligations shall not constitute a Default or Event of Default with respect to such Securities. The Company may exercise its Legal Defeasance option regardless of whether it previously exercised Covenant Defeasance.</w:t>
      </w:r>
    </w:p>
    <w:p>
      <w:pPr>
        <w:spacing w:after="0" w:line="164" w:lineRule="exact"/>
        <w:rPr>
          <w:sz w:val="20"/>
          <w:szCs w:val="20"/>
          <w:color w:val="auto"/>
        </w:rPr>
      </w:pPr>
    </w:p>
    <w:p>
      <w:pPr>
        <w:ind w:right="300" w:firstLine="582"/>
        <w:spacing w:after="0" w:line="288" w:lineRule="auto"/>
        <w:tabs>
          <w:tab w:leader="none" w:pos="846"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exercises its Legal Defeasance option, payment of the Securities of such series may not be accelerated because of an Event of Default with respect thereto.</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31" w:name="page232"/>
    <w:bookmarkEnd w:id="231"/>
    <w:p>
      <w:pPr>
        <w:ind w:right="700" w:firstLine="582"/>
        <w:spacing w:after="0" w:line="288" w:lineRule="auto"/>
        <w:tabs>
          <w:tab w:leader="none" w:pos="855"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satisfaction of the conditions set forth herein and upon request of the Company, the Trustee shall acknowledge in writing the discharge of those obligations that the Company terminates.</w:t>
      </w:r>
    </w:p>
    <w:p>
      <w:pPr>
        <w:spacing w:after="0" w:line="143" w:lineRule="exact"/>
        <w:rPr>
          <w:rFonts w:ascii="Times New Roman" w:cs="Times New Roman" w:eastAsia="Times New Roman" w:hAnsi="Times New Roman"/>
          <w:sz w:val="16"/>
          <w:szCs w:val="16"/>
          <w:color w:val="auto"/>
        </w:rPr>
      </w:pPr>
    </w:p>
    <w:p>
      <w:pPr>
        <w:jc w:val="both"/>
        <w:ind w:right="220" w:firstLine="582"/>
        <w:spacing w:after="0" w:line="271" w:lineRule="auto"/>
        <w:tabs>
          <w:tab w:leader="none" w:pos="846"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clauses (a) and (b) of this Section 9.02, the Company’s obligations in Sections 2.05, 2.07, 2.08, 2.09, 2.17, 7.06, 9.06 and 9.07 shall survive with respect to such series of Securities until such time as the Securities of such series have been paid in full. Thereafter, the Company’s obligations in Sections 7.06, 9.06 and 9.07 shall survive.</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9.03. Conditions to Defeasance.</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order to exercise either Legal Defeasance or Covenant Defeasance with respect to the Securities of any series:</w:t>
      </w:r>
    </w:p>
    <w:p>
      <w:pPr>
        <w:spacing w:after="0" w:line="206" w:lineRule="exact"/>
        <w:rPr>
          <w:sz w:val="20"/>
          <w:szCs w:val="20"/>
          <w:color w:val="auto"/>
        </w:rPr>
      </w:pPr>
    </w:p>
    <w:p>
      <w:pPr>
        <w:ind w:firstLine="582"/>
        <w:spacing w:after="0" w:line="262" w:lineRule="auto"/>
        <w:tabs>
          <w:tab w:leader="none" w:pos="846"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must irrevocably deposit with the Trustee or other agent, as trust funds, in trust solely for the benefit of the Holders of the Securities of such series U.S. legal tender, U.S. Government Obligations or a combination thereof, in such amounts as will be sufficient (without consideration of any reinvestment of interest) in the opinion of a nationally recognized firm of independent public accountants selected by the Company, to pay the principal (including any mandatory sinking fund payments) of, premium, if any, and interest on the Securities of such series on the stated date for payment or on the Redemption Date of the principal or installment of principal of, premium, if any, or interest on such series of Securities;</w:t>
      </w:r>
    </w:p>
    <w:p>
      <w:pPr>
        <w:spacing w:after="0" w:line="164" w:lineRule="exact"/>
        <w:rPr>
          <w:rFonts w:ascii="Times New Roman" w:cs="Times New Roman" w:eastAsia="Times New Roman" w:hAnsi="Times New Roman"/>
          <w:sz w:val="16"/>
          <w:szCs w:val="16"/>
          <w:color w:val="auto"/>
        </w:rPr>
      </w:pPr>
    </w:p>
    <w:p>
      <w:pPr>
        <w:jc w:val="both"/>
        <w:ind w:right="60" w:firstLine="582"/>
        <w:spacing w:after="0" w:line="262" w:lineRule="auto"/>
        <w:tabs>
          <w:tab w:leader="none" w:pos="855"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Legal Defeasance, the Company shall have delivered to the Trustee an Opinion of Counsel to the effect that the beneficial owners of Securities of such series will not recognize income, gain or loss for U.S. federal income tax purposes solely as a result of the Legal Defeasance and will be subject to U.S. federal income tax on the same amounts, in the same manner and at the same times as would have been the case if such Legal Defeasance had not occurred, which opinion must be based either on a change in the applicable U.S. federal income tax laws or regulations occurring after the Issue Date, or the Company having received a ruling from, or published by, the Internal Revenue Service to that effect;</w:t>
      </w:r>
    </w:p>
    <w:p>
      <w:pPr>
        <w:spacing w:after="0" w:line="164" w:lineRule="exact"/>
        <w:rPr>
          <w:rFonts w:ascii="Times New Roman" w:cs="Times New Roman" w:eastAsia="Times New Roman" w:hAnsi="Times New Roman"/>
          <w:sz w:val="16"/>
          <w:szCs w:val="16"/>
          <w:color w:val="auto"/>
        </w:rPr>
      </w:pPr>
    </w:p>
    <w:p>
      <w:pPr>
        <w:ind w:right="200" w:firstLine="582"/>
        <w:spacing w:after="0" w:line="271" w:lineRule="auto"/>
        <w:tabs>
          <w:tab w:leader="none" w:pos="846"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Covenant Defeasance, the Company shall have delivered to the Trustee an Opinion of Counsel to the effect that the beneficial owners of Securities of such series will not recognize income, gain or loss for U.S. federal income tax purposes solely as a result of such Covenant Defeasance and will be subject to U.S. federal income tax on the same amounts, in the same manner and at the same times as would have been the case if the Covenant Defeasance had not occurred;</w:t>
      </w:r>
    </w:p>
    <w:p>
      <w:pPr>
        <w:spacing w:after="0" w:line="156" w:lineRule="exact"/>
        <w:rPr>
          <w:rFonts w:ascii="Times New Roman" w:cs="Times New Roman" w:eastAsia="Times New Roman" w:hAnsi="Times New Roman"/>
          <w:sz w:val="16"/>
          <w:szCs w:val="16"/>
          <w:color w:val="auto"/>
        </w:rPr>
      </w:pPr>
    </w:p>
    <w:p>
      <w:pPr>
        <w:jc w:val="both"/>
        <w:ind w:right="240" w:firstLine="582"/>
        <w:spacing w:after="0" w:line="288" w:lineRule="auto"/>
        <w:tabs>
          <w:tab w:leader="none" w:pos="855"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Default or Event of Default (other than a Default or Event of Default resulting from borrowing funds to be applied to make such deposit (and any similar concurrent deposit relating to other Indebtedness) or the granting of Liens in connection therewith) shall have occurred and be continuing on the date of such deposit; and</w:t>
      </w:r>
    </w:p>
    <w:p>
      <w:pPr>
        <w:spacing w:after="0" w:line="143" w:lineRule="exact"/>
        <w:rPr>
          <w:rFonts w:ascii="Times New Roman" w:cs="Times New Roman" w:eastAsia="Times New Roman" w:hAnsi="Times New Roman"/>
          <w:sz w:val="16"/>
          <w:szCs w:val="16"/>
          <w:color w:val="auto"/>
        </w:rPr>
      </w:pPr>
    </w:p>
    <w:p>
      <w:pPr>
        <w:ind w:right="240" w:firstLine="582"/>
        <w:spacing w:after="0" w:line="288" w:lineRule="auto"/>
        <w:tabs>
          <w:tab w:leader="none" w:pos="846"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the Trustee an Officer’s Certificate and an Opinion of Counsel each stating that all conditions precedent provided for or relating to the Legal Defeasance or the Covenant Defeasance, as the case may be, have been complied with.</w:t>
      </w:r>
    </w:p>
    <w:p>
      <w:pPr>
        <w:spacing w:after="0" w:line="143" w:lineRule="exact"/>
        <w:rPr>
          <w:sz w:val="20"/>
          <w:szCs w:val="20"/>
          <w:color w:val="auto"/>
        </w:rPr>
      </w:pPr>
    </w:p>
    <w:p>
      <w:pPr>
        <w:ind w:right="20" w:firstLine="585"/>
        <w:spacing w:after="0" w:line="262" w:lineRule="auto"/>
        <w:rPr>
          <w:sz w:val="20"/>
          <w:szCs w:val="20"/>
          <w:color w:val="auto"/>
        </w:rPr>
      </w:pPr>
      <w:r>
        <w:rPr>
          <w:rFonts w:ascii="Times New Roman" w:cs="Times New Roman" w:eastAsia="Times New Roman" w:hAnsi="Times New Roman"/>
          <w:sz w:val="16"/>
          <w:szCs w:val="16"/>
          <w:color w:val="auto"/>
        </w:rPr>
        <w:t>Notwithstanding the foregoing provisions of this Section 9.03, the conditions set forth in the foregoing subsections (b), (c), (d) and (e) need not be satisfied so long as, at the time the Company makes the deposit described in subsection (a), (i) no Default under clauses (1), (2), (8) and (9) under Section 6.01 has occurred and is continuing on the date of such deposit and after giving effect thereto, and (ii) either (x) a notice of redemption has been transmitted providing for redemption of all the Securities of such series not more than 60 days after such transmission and the requirements for such redemption shall have been complied with or (y) the Stated Maturity of the Securities of such series will occur within 60 days. If the conditions in the preceding sentence are satisfied, the Company shall be deemed to have exercised its Covenant Defeasance option.</w:t>
      </w:r>
    </w:p>
    <w:p>
      <w:pPr>
        <w:spacing w:after="0" w:line="360" w:lineRule="exact"/>
        <w:rPr>
          <w:sz w:val="20"/>
          <w:szCs w:val="20"/>
          <w:color w:val="auto"/>
        </w:rPr>
      </w:pPr>
    </w:p>
    <w:p>
      <w:pPr>
        <w:jc w:val="both"/>
        <w:ind w:right="340" w:firstLine="585"/>
        <w:spacing w:after="0" w:line="271" w:lineRule="auto"/>
        <w:rPr>
          <w:sz w:val="20"/>
          <w:szCs w:val="20"/>
          <w:color w:val="auto"/>
        </w:rPr>
      </w:pPr>
      <w:r>
        <w:rPr>
          <w:rFonts w:ascii="Times New Roman" w:cs="Times New Roman" w:eastAsia="Times New Roman" w:hAnsi="Times New Roman"/>
          <w:sz w:val="16"/>
          <w:szCs w:val="16"/>
          <w:color w:val="auto"/>
        </w:rPr>
        <w:t>If the funds deposited with the Trustee or other agent to effect Covenant Defeasance are insufficient to pay the principal of and interest on the Securities of the applicable series when due, then the Company’s obligations and the obligations of the Guarantors under this Indenture will be revived with respect to such series and no such defeasance will be deemed to have occurred.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32" w:name="page233"/>
    <w:bookmarkEnd w:id="232"/>
    <w:p>
      <w:pPr>
        <w:ind w:left="580"/>
        <w:spacing w:after="0"/>
        <w:rPr>
          <w:sz w:val="20"/>
          <w:szCs w:val="20"/>
          <w:color w:val="auto"/>
        </w:rPr>
      </w:pPr>
      <w:r>
        <w:rPr>
          <w:rFonts w:ascii="Times New Roman" w:cs="Times New Roman" w:eastAsia="Times New Roman" w:hAnsi="Times New Roman"/>
          <w:sz w:val="16"/>
          <w:szCs w:val="16"/>
          <w:i w:val="1"/>
          <w:iCs w:val="1"/>
          <w:color w:val="auto"/>
        </w:rPr>
        <w:t>Section 9.04. Deposited Money and U.S. Government Obligations To Be Held in Trust; Other Miscellaneous Provisions.</w:t>
      </w:r>
    </w:p>
    <w:p>
      <w:pPr>
        <w:spacing w:after="0" w:line="208" w:lineRule="exact"/>
        <w:rPr>
          <w:sz w:val="20"/>
          <w:szCs w:val="20"/>
          <w:color w:val="auto"/>
        </w:rPr>
      </w:pPr>
    </w:p>
    <w:p>
      <w:pPr>
        <w:ind w:right="20" w:firstLine="585"/>
        <w:spacing w:after="0" w:line="261" w:lineRule="auto"/>
        <w:rPr>
          <w:sz w:val="20"/>
          <w:szCs w:val="20"/>
          <w:color w:val="auto"/>
        </w:rPr>
      </w:pPr>
      <w:r>
        <w:rPr>
          <w:rFonts w:ascii="Times New Roman" w:cs="Times New Roman" w:eastAsia="Times New Roman" w:hAnsi="Times New Roman"/>
          <w:sz w:val="16"/>
          <w:szCs w:val="16"/>
          <w:color w:val="auto"/>
        </w:rPr>
        <w:t>All money and U.S. Government Obligations (including the proceeds thereof) deposited with the Trustee or other agent pursuant to Section 9.03(a) in respect of the outstanding Securities of a series shall be held in trust and applied by the Trustee or other agent, in accordance with the provisions of such Securities and this Indenture, to the payment, either directly or through any Paying Agent, to the Holders of such Securities, of all sums due and to become due thereon in respect of principal, premium, if any, and accrued interest, but such money need not be segregated from other funds except to the extent required by law. All money and U.S. Government Obligations (or other property as may be provided pursuant to Section 2.02) (including the proceeds thereof) deposited with the Trustee or other agent pursuant to Section 9.03 in respect of any Securities of any series and which are held in trust shall not be subject to the provisions of Section 10.9 or Article XIII.</w:t>
      </w:r>
    </w:p>
    <w:p>
      <w:pPr>
        <w:spacing w:after="0" w:line="164" w:lineRule="exact"/>
        <w:rPr>
          <w:sz w:val="20"/>
          <w:szCs w:val="20"/>
          <w:color w:val="auto"/>
        </w:rPr>
      </w:pPr>
    </w:p>
    <w:p>
      <w:pPr>
        <w:ind w:firstLine="585"/>
        <w:spacing w:after="0" w:line="271" w:lineRule="auto"/>
        <w:rPr>
          <w:sz w:val="20"/>
          <w:szCs w:val="20"/>
          <w:color w:val="auto"/>
        </w:rPr>
      </w:pPr>
      <w:r>
        <w:rPr>
          <w:rFonts w:ascii="Times New Roman" w:cs="Times New Roman" w:eastAsia="Times New Roman" w:hAnsi="Times New Roman"/>
          <w:sz w:val="16"/>
          <w:szCs w:val="16"/>
          <w:color w:val="auto"/>
        </w:rPr>
        <w:t>The Company shall pay and indemnify the Trustee or other agent against any tax, fee or other charge imposed on or assessed against the U.S. Government Obligations deposited pursuant to Section 9.03(a) or the principal, premium, if any, and interest received in respect thereof other than any such tax, fee or other charge which by law is for the account of the Holders of the outstanding Securities.</w:t>
      </w:r>
    </w:p>
    <w:p>
      <w:pPr>
        <w:spacing w:after="0" w:line="156" w:lineRule="exact"/>
        <w:rPr>
          <w:sz w:val="20"/>
          <w:szCs w:val="20"/>
          <w:color w:val="auto"/>
        </w:rPr>
      </w:pPr>
    </w:p>
    <w:p>
      <w:pPr>
        <w:ind w:right="120" w:firstLine="585"/>
        <w:spacing w:after="0" w:line="265" w:lineRule="auto"/>
        <w:rPr>
          <w:sz w:val="20"/>
          <w:szCs w:val="20"/>
          <w:color w:val="auto"/>
        </w:rPr>
      </w:pPr>
      <w:r>
        <w:rPr>
          <w:rFonts w:ascii="Times New Roman" w:cs="Times New Roman" w:eastAsia="Times New Roman" w:hAnsi="Times New Roman"/>
          <w:sz w:val="16"/>
          <w:szCs w:val="16"/>
          <w:color w:val="auto"/>
        </w:rPr>
        <w:t>Anything in this Article IX to the contrary notwithstanding, the Trustee or other agent shall deliver or pay to the Company from time to time upon a request of the Company any money or U.S. Government Obligations held by it as provided in Section 9.03(a) which, in the opinion of a nationally recognized firm of independent public accountants expressed in a written certification thereof delivered to the Trustee or other agent, are in excess of the amount thereof which would then be required to be deposited to effect an equivalent Legal Defeasance or Covenant Defeasance.</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9.05. Reinstatement.</w:t>
      </w:r>
    </w:p>
    <w:p>
      <w:pPr>
        <w:spacing w:after="0" w:line="208" w:lineRule="exact"/>
        <w:rPr>
          <w:sz w:val="20"/>
          <w:szCs w:val="20"/>
          <w:color w:val="auto"/>
        </w:rPr>
      </w:pPr>
    </w:p>
    <w:p>
      <w:pPr>
        <w:ind w:right="20" w:firstLine="585"/>
        <w:spacing w:after="0" w:line="261" w:lineRule="auto"/>
        <w:rPr>
          <w:sz w:val="20"/>
          <w:szCs w:val="20"/>
          <w:color w:val="auto"/>
        </w:rPr>
      </w:pPr>
      <w:r>
        <w:rPr>
          <w:rFonts w:ascii="Times New Roman" w:cs="Times New Roman" w:eastAsia="Times New Roman" w:hAnsi="Times New Roman"/>
          <w:sz w:val="16"/>
          <w:szCs w:val="16"/>
          <w:color w:val="auto"/>
        </w:rPr>
        <w:t xml:space="preserve">If the Trustee or Paying Agent is unable to apply any money or U.S. Government Obligations in accordance with Section 9.02 by reason of any legal proceeding or by reason of any order or judgment of any court or U.S. Governmental Authority enjoining, restraining or otherwise prohibiting such application, the Company’s obligations under this Indenture and the applicable Securities shall be revived and reinstated as though no deposit had occurred pursuant to this Article IX until such time as the Trustee or Paying Agent is permitted to apply all such money or U.S. Government Obligations in accordance with Section 9.02;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Company has made any payment of principal of, premium, if any, or accrued interest on any Securities because of the reinstatement of its obligations, the Company shall be subrogated to the rights of the Holders of such Securities to receive such payment from the money or U.S. Government Obligations held by the Trustee or Paying Agent.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9.06. Moneys Held by Paying Agent.</w:t>
      </w:r>
    </w:p>
    <w:p>
      <w:pPr>
        <w:spacing w:after="0" w:line="208" w:lineRule="exact"/>
        <w:rPr>
          <w:sz w:val="20"/>
          <w:szCs w:val="20"/>
          <w:color w:val="auto"/>
        </w:rPr>
      </w:pPr>
    </w:p>
    <w:p>
      <w:pPr>
        <w:ind w:right="300" w:firstLine="585"/>
        <w:spacing w:after="0" w:line="271" w:lineRule="auto"/>
        <w:rPr>
          <w:sz w:val="20"/>
          <w:szCs w:val="20"/>
          <w:color w:val="auto"/>
        </w:rPr>
      </w:pPr>
      <w:r>
        <w:rPr>
          <w:rFonts w:ascii="Times New Roman" w:cs="Times New Roman" w:eastAsia="Times New Roman" w:hAnsi="Times New Roman"/>
          <w:sz w:val="16"/>
          <w:szCs w:val="16"/>
          <w:color w:val="auto"/>
        </w:rPr>
        <w:t>In connection with the satisfaction and discharge of this Indenture, all moneys then held by any Paying Agent under the provisions of this Indenture shall, upon written demand of the Company, be paid to the Trustee, or if sufficient moneys have been deposited pursuant to Section 9.03(a), to the Company upon a request of the Company, and thereupon the Paying Agent shall be released from all further liability with respect to such moneys.</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9.07. Moneys Held by Trustee.</w:t>
      </w:r>
    </w:p>
    <w:p>
      <w:pPr>
        <w:spacing w:after="0" w:line="208" w:lineRule="exact"/>
        <w:rPr>
          <w:sz w:val="20"/>
          <w:szCs w:val="20"/>
          <w:color w:val="auto"/>
        </w:rPr>
      </w:pPr>
    </w:p>
    <w:p>
      <w:pPr>
        <w:ind w:right="40" w:firstLine="585"/>
        <w:spacing w:after="0" w:line="257" w:lineRule="auto"/>
        <w:rPr>
          <w:sz w:val="20"/>
          <w:szCs w:val="20"/>
          <w:color w:val="auto"/>
        </w:rPr>
      </w:pPr>
      <w:r>
        <w:rPr>
          <w:rFonts w:ascii="Times New Roman" w:cs="Times New Roman" w:eastAsia="Times New Roman" w:hAnsi="Times New Roman"/>
          <w:sz w:val="16"/>
          <w:szCs w:val="16"/>
          <w:color w:val="auto"/>
        </w:rPr>
        <w:t xml:space="preserve">Any moneys deposited with the Trustee or any Paying Agent or then held by the Company in trust for the payment of the principal of, or premium, if any, or interest on any Security that are not applied but remain unclaimed by the Holder of such Security for two years after the date upon which the principal of, or premium, if any, or interest on such Security shall have respectively become due and payable shall be repaid to the Company upon a request of the Company, or if such moneys are then held by the Company in trust, such moneys shall be released from such trust; and the Holder of such Security entitled to receive such payment shall thereafter, as an unsecured general creditor, look only to the Company for the payment thereof, and all liability of the Trustee or the Paying Agent with respect to such trust money shall thereupon cease;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Trustee or the Paying Agent, before being required to make any such repayment, may, at the expense of the Company either transmit to each Holder affected, at the address shown in the register of the Securities maintained by the Registrar pursuant to Section 2.05, or cause to be published once a week for two successive weeks, in a newspaper published in the English language, customarily published each Business Day and of general circulation in the City of New York, New York, a notice that such money remains unclaimed and that, after a date specified therein, which shall not be less than 30 days from the date of such transmission or publication, any unclaimed balance of such moneys then remaining will be repaid to the Company. Any money deposited with the Trustee or any Paying Agent, or then held by the Company in trust for the payment of the principal of, or premium, if any, or interest on any Security shall not be subject to claims of the holders of Senior Indebtedness or Subordinated Indebtedness under Section 10.9 or Article XIII. After payment to the Company or the release of any money held in trust by the Company, Holders entitled to the money must look only to the Company for payment as general creditors unless applicable abandoned property law designates another Person.</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3" w:name="page234"/>
    <w:bookmarkEnd w:id="233"/>
    <w:p>
      <w:pPr>
        <w:ind w:left="580"/>
        <w:spacing w:after="0"/>
        <w:rPr>
          <w:sz w:val="20"/>
          <w:szCs w:val="20"/>
          <w:color w:val="auto"/>
        </w:rPr>
      </w:pPr>
      <w:r>
        <w:rPr>
          <w:rFonts w:ascii="Times New Roman" w:cs="Times New Roman" w:eastAsia="Times New Roman" w:hAnsi="Times New Roman"/>
          <w:sz w:val="16"/>
          <w:szCs w:val="16"/>
          <w:i w:val="1"/>
          <w:iCs w:val="1"/>
          <w:color w:val="auto"/>
        </w:rPr>
        <w:t>Section 9.08. Deposits of Non-U.S. Currencies.</w:t>
      </w:r>
    </w:p>
    <w:p>
      <w:pPr>
        <w:spacing w:after="0" w:line="208" w:lineRule="exact"/>
        <w:rPr>
          <w:sz w:val="20"/>
          <w:szCs w:val="20"/>
          <w:color w:val="auto"/>
        </w:rPr>
      </w:pPr>
    </w:p>
    <w:p>
      <w:pPr>
        <w:ind w:right="220" w:firstLine="585"/>
        <w:spacing w:after="0" w:line="271" w:lineRule="auto"/>
        <w:rPr>
          <w:sz w:val="20"/>
          <w:szCs w:val="20"/>
          <w:color w:val="auto"/>
        </w:rPr>
      </w:pPr>
      <w:r>
        <w:rPr>
          <w:rFonts w:ascii="Times New Roman" w:cs="Times New Roman" w:eastAsia="Times New Roman" w:hAnsi="Times New Roman"/>
          <w:sz w:val="16"/>
          <w:szCs w:val="16"/>
          <w:color w:val="auto"/>
        </w:rPr>
        <w:t>Notwithstanding the foregoing provisions of this Article IX, if the Securities of any series are payable in a Currency other than U.S. Dollars, the Currency or the nature of the government obligations to be deposited with the Trustee under the foregoing provisions of this Article IX shall be as set forth in the Company Order or established in the supplemental indenture under which the Securities of such series are issued.</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GUARANTEES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10.01. Guarantees.</w:t>
      </w:r>
    </w:p>
    <w:p>
      <w:pPr>
        <w:spacing w:after="0" w:line="208" w:lineRule="exact"/>
        <w:rPr>
          <w:sz w:val="20"/>
          <w:szCs w:val="20"/>
          <w:color w:val="auto"/>
        </w:rPr>
      </w:pPr>
    </w:p>
    <w:p>
      <w:pPr>
        <w:jc w:val="both"/>
        <w:ind w:right="40" w:firstLine="582"/>
        <w:spacing w:after="0" w:line="265" w:lineRule="auto"/>
        <w:tabs>
          <w:tab w:leader="none" w:pos="846"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contemplated by Section 2.02 with respect to any series of Securities, if any series of Securities is issued with the benefit of Guarantees, then the provisions of this Article X will be applicable to such Securities. Each reference in this Article X to a “Security” or the “Securities” refers to the Securities of the particular series as to which provision has been made for such Guarantees. If more than one series of Securities as to which such provision has been made are outstanding at any time, the provisions of this Article X shall be applied separately to each series.</w:t>
      </w:r>
    </w:p>
    <w:p>
      <w:pPr>
        <w:spacing w:after="0" w:line="161" w:lineRule="exact"/>
        <w:rPr>
          <w:rFonts w:ascii="Times New Roman" w:cs="Times New Roman" w:eastAsia="Times New Roman" w:hAnsi="Times New Roman"/>
          <w:sz w:val="16"/>
          <w:szCs w:val="16"/>
          <w:color w:val="auto"/>
        </w:rPr>
      </w:pPr>
    </w:p>
    <w:p>
      <w:pPr>
        <w:ind w:right="20" w:firstLine="582"/>
        <w:spacing w:after="0" w:line="259" w:lineRule="auto"/>
        <w:tabs>
          <w:tab w:leader="none" w:pos="855"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Guarantor, hereby jointly and severally, absolutely, unconditionally and irrevocably guarantees the Securities and obligations of the Company hereunder and thereunder, and guarantees to each Holder of a Security authenticated and delivered by the Trustee, and to the Trustee on behalf of such Holder, that (i) the principal of (and premium, if any) and interest on the Securities will be paid in full when due, whether at Stated Maturity, by acceleration or otherwise (including, without limitation, the amount that would become due but for the operation of any automatic stay provision of any Bankruptcy Law), together with interest on the overdue principal, if any, and interest on any overdue interest, to the extent lawful, and all other obligations of the Company to the Holders or the Trustee hereunder or thereunder will be paid in full or performed, all in accordance with the terms hereof and thereof; and (ii) in case of any extension of time of payment or renewal of any Securities or of any such other obligations, the same will be paid in full when due or performed in accordance with the terms of the extension or renewal, whether at Stated Maturity, by acceleration or otherwise, subject, however, in the case of clauses (i) and (ii) above, to the limitations set forth in Section 10.03.</w:t>
      </w:r>
    </w:p>
    <w:p>
      <w:pPr>
        <w:spacing w:after="0" w:line="165" w:lineRule="exact"/>
        <w:rPr>
          <w:sz w:val="20"/>
          <w:szCs w:val="20"/>
          <w:color w:val="auto"/>
        </w:rPr>
      </w:pPr>
    </w:p>
    <w:p>
      <w:pPr>
        <w:jc w:val="both"/>
        <w:ind w:right="80" w:firstLine="585"/>
        <w:spacing w:after="0" w:line="265" w:lineRule="auto"/>
        <w:rPr>
          <w:sz w:val="20"/>
          <w:szCs w:val="20"/>
          <w:color w:val="auto"/>
        </w:rPr>
      </w:pPr>
      <w:r>
        <w:rPr>
          <w:rFonts w:ascii="Times New Roman" w:cs="Times New Roman" w:eastAsia="Times New Roman" w:hAnsi="Times New Roman"/>
          <w:sz w:val="16"/>
          <w:szCs w:val="16"/>
          <w:color w:val="auto"/>
        </w:rPr>
        <w:t>Each Guarantor hereby agrees that its obligations hereunder shall be unconditional, irrespective of the validity, regularity or enforceability of the Securities or this Indenture, the absence of any action to enforce the same, any waiver or consent by any Holder of Securities with respect to any provisions hereof or thereof, any release of any other Guarantor, the recovery of any judgment against the Company, any action to enforce the same or any other circumstance which might otherwise constitute a legal or equitable discharge or defense of a Guarantor.</w:t>
      </w:r>
    </w:p>
    <w:p>
      <w:pPr>
        <w:spacing w:after="0" w:line="162" w:lineRule="exact"/>
        <w:rPr>
          <w:sz w:val="20"/>
          <w:szCs w:val="20"/>
          <w:color w:val="auto"/>
        </w:rPr>
      </w:pPr>
    </w:p>
    <w:p>
      <w:pPr>
        <w:ind w:firstLine="582"/>
        <w:spacing w:after="0" w:line="257" w:lineRule="auto"/>
        <w:tabs>
          <w:tab w:leader="none" w:pos="846"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Guarantor hereby waives (to the extent permitted by law) the benefits of diligence, presentment, demand for payment, filing of claims with a court in the event of insolvency or bankruptcy of the Company, any right to require a proceeding first against the Company or any other Person, protest, notice and all demands whatsoever and covenants that the Guarantee of such Guarantor shall not be discharged as to any series of Securities, as the case may be, except by complete performance of the obligations contained in such Securities, this Indenture and such Guarantee. Each Guarantor acknowledges that the Guarantee is a guarantee of payment and not of collection. Each of the Guarantors hereby agrees that, in the event of a default in payment of principal (or premium, if any) or interest on such Security, whether at its Stated Maturity, by acceleration, purchase or otherwise, legal proceedings may be instituted by the Trustee on behalf of, or by, the Holder of such Security, subject to the terms and conditions set forth in this Indenture, directly against each of the Guarantors to enforce such Guarantor’s Guarantee without first proceeding against the Company or any other Guarantor. Each Guarantor agrees that if, after the occurrence and during the continuance of an Event of Default, the Trustee or any of the Holders are prevented by applicable law from exercising their respective rights to accelerate the maturity of the Securities, to collect interest on the Securities, or to enforce or exercise any other right or remedy with respect to the Securities, such Guarantor will pay to the Trustee for the account of the Holders, upon demand therefor, the amount that would otherwise have been due and payable had such rights and remedies been permitted to be exercised by the Trustee or any of the Holders.</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4" w:name="page235"/>
    <w:bookmarkEnd w:id="234"/>
    <w:p>
      <w:pPr>
        <w:ind w:right="100" w:firstLine="582"/>
        <w:spacing w:after="0" w:line="259" w:lineRule="auto"/>
        <w:tabs>
          <w:tab w:leader="none" w:pos="855"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Holder or the Trustee is required by any court or otherwise to return to the Company or any Guarantor, or any custodian, trustee, liquidator or other similar official acting in relation to either the Company or any Guarantor, any amount paid by any of them to the Trustee or such Holder, the Guarantee of each of the Guarantors, to the extent theretofore discharged, shall be reinstated in full force and effect. Each Guarantor further agrees that, as between each Guarantor, on the one hand, and the Holders and the Trustee, on the other hand, (x) subject to this Article X, the maturity of the obligations guaranteed hereby may be accelerated as provided in Article VI for the purposes of the Guarantee of such Guarantor, notwithstanding any stay, injunction or other prohibition preventing such acceleration in respect of the obligations guaranteed hereby, and (y) in the event of any acceleration of such obligations as provided in Article VI, such obligations (whether or not due and payable) shall forthwith become due and payable by each Guarantor for the purpose of the Guarantee of such Guarantor.</w:t>
      </w:r>
    </w:p>
    <w:p>
      <w:pPr>
        <w:spacing w:after="0" w:line="169" w:lineRule="exact"/>
        <w:rPr>
          <w:rFonts w:ascii="Times New Roman" w:cs="Times New Roman" w:eastAsia="Times New Roman" w:hAnsi="Times New Roman"/>
          <w:sz w:val="16"/>
          <w:szCs w:val="16"/>
          <w:color w:val="auto"/>
        </w:rPr>
      </w:pPr>
    </w:p>
    <w:p>
      <w:pPr>
        <w:ind w:firstLine="582"/>
        <w:spacing w:after="0" w:line="259" w:lineRule="auto"/>
        <w:tabs>
          <w:tab w:leader="none" w:pos="846"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significant part of the Company’s assets, and shall, to the fullest extent permitted by law, continue to be effective or be reinstated, as the case may be, if at any time payment and performance of the Securities are, pursuant to applicable law, rescinded or reduced in amount, or must otherwise be restored or returned by any obligee on the Securities, whether as a “voidable preference,” “fraudulent transfer” or otherwise, all as though such payment or performance had not been made. In the event that any payment, or any part thereof, is rescinded, reduced, restored or returned, the Securities shall, to the fullest extent permitted by law, be reinstated and deemed reduced only by such amount paid and not so rescinded, reduced, restored or returned.</w:t>
      </w:r>
    </w:p>
    <w:p>
      <w:pPr>
        <w:spacing w:after="0" w:line="169" w:lineRule="exact"/>
        <w:rPr>
          <w:rFonts w:ascii="Times New Roman" w:cs="Times New Roman" w:eastAsia="Times New Roman" w:hAnsi="Times New Roman"/>
          <w:sz w:val="16"/>
          <w:szCs w:val="16"/>
          <w:color w:val="auto"/>
        </w:rPr>
      </w:pPr>
    </w:p>
    <w:p>
      <w:pPr>
        <w:ind w:right="20" w:firstLine="582"/>
        <w:spacing w:after="0" w:line="261" w:lineRule="auto"/>
        <w:tabs>
          <w:tab w:leader="none" w:pos="828"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evidence its Guarantee, each Guarantor hereby agrees that a Notation of Guarantee will be endorsed by an Officer of such Guarantor on each Security authenticated and delivered to the Trustee and that this Indenture or a supplemental indenture to this Indenture will be executed on behalf of such Guarantor by one of its Officers. Each Guarantor hereby agrees that its Guarantee will remain in full force and effect notwithstanding any failure to endorse on each Security a Notation of Guarantee. The delivery of any Security by the Trustee, after the authentication thereof hereunder, will be deemed to constitute due delivery of the Notation of Guarantee set forth in this Indenture by the Guarantors. If an Officer whose signature is on this Indenture or on the Notation of Guarantee no longer holds that office at the time the Trustee authenticates the Security on which a Notation of Guarantee is endorsed, the Notation of Guarantee will be valid nevertheless.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10.02. Severability.</w:t>
      </w:r>
    </w:p>
    <w:p>
      <w:pPr>
        <w:spacing w:after="0" w:line="208" w:lineRule="exact"/>
        <w:rPr>
          <w:sz w:val="20"/>
          <w:szCs w:val="20"/>
          <w:color w:val="auto"/>
        </w:rPr>
      </w:pPr>
    </w:p>
    <w:p>
      <w:pPr>
        <w:ind w:right="260" w:firstLine="585"/>
        <w:spacing w:after="0" w:line="288" w:lineRule="auto"/>
        <w:rPr>
          <w:sz w:val="20"/>
          <w:szCs w:val="20"/>
          <w:color w:val="auto"/>
        </w:rPr>
      </w:pPr>
      <w:r>
        <w:rPr>
          <w:rFonts w:ascii="Times New Roman" w:cs="Times New Roman" w:eastAsia="Times New Roman" w:hAnsi="Times New Roman"/>
          <w:sz w:val="16"/>
          <w:szCs w:val="16"/>
          <w:color w:val="auto"/>
        </w:rPr>
        <w:t>In case any provision of any Guarantee shall be invalid, illegal or unenforceable, the validity, legality, and enforceability of the remaining provisions shall not in any way be affected or impaired thereby.</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10.03. Limitation of Liability.</w:t>
      </w:r>
    </w:p>
    <w:p>
      <w:pPr>
        <w:spacing w:after="0" w:line="208" w:lineRule="exact"/>
        <w:rPr>
          <w:sz w:val="20"/>
          <w:szCs w:val="20"/>
          <w:color w:val="auto"/>
        </w:rPr>
      </w:pPr>
    </w:p>
    <w:p>
      <w:pPr>
        <w:ind w:right="20" w:firstLine="585"/>
        <w:spacing w:after="0" w:line="259" w:lineRule="auto"/>
        <w:rPr>
          <w:sz w:val="20"/>
          <w:szCs w:val="20"/>
          <w:color w:val="auto"/>
        </w:rPr>
      </w:pPr>
      <w:r>
        <w:rPr>
          <w:rFonts w:ascii="Times New Roman" w:cs="Times New Roman" w:eastAsia="Times New Roman" w:hAnsi="Times New Roman"/>
          <w:sz w:val="16"/>
          <w:szCs w:val="16"/>
          <w:color w:val="auto"/>
        </w:rPr>
        <w:t>Each Guarantor and by its acceptance hereof each Holder confirms that it is the intention of all such parties that the guarantee by each such Guarantor pursuant to its Guarantee not constitute a fraudulent transfer or conveyance for purposes of the Bankruptcy Law, the Uniform Fraudulent Conveyance Act, the Uniform Fraudulent Transfer Act or any similar federal or state law or the provisions of its local law relating to fraudulent transfer or conveyance. To effectuate the foregoing intention, the Holders and each such Guarantor hereby irrevocably agree that the obligations of such Guarantor under its Guarantee shall be limited to the maximum amount that will not, after giving effect to all other contingent and fixed liabilities of such Guarantor and after giving effect to any collections from or payments made by or on behalf of any other Guarantor in respect of the obligations of such other Guarantor under its Guarantee or pursuant to this Article X, result in the obligations of such Guarantor under its Guarantee constituting such fraudulent transfer or conveyance.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35" w:name="page236"/>
    <w:bookmarkEnd w:id="235"/>
    <w:p>
      <w:pPr>
        <w:ind w:left="580"/>
        <w:spacing w:after="0"/>
        <w:rPr>
          <w:sz w:val="20"/>
          <w:szCs w:val="20"/>
          <w:color w:val="auto"/>
        </w:rPr>
      </w:pPr>
      <w:r>
        <w:rPr>
          <w:rFonts w:ascii="Times New Roman" w:cs="Times New Roman" w:eastAsia="Times New Roman" w:hAnsi="Times New Roman"/>
          <w:sz w:val="16"/>
          <w:szCs w:val="16"/>
          <w:i w:val="1"/>
          <w:iCs w:val="1"/>
          <w:color w:val="auto"/>
        </w:rPr>
        <w:t>Section 10.04. Contribution.</w:t>
      </w:r>
    </w:p>
    <w:p>
      <w:pPr>
        <w:spacing w:after="0" w:line="206" w:lineRule="exact"/>
        <w:rPr>
          <w:sz w:val="20"/>
          <w:szCs w:val="20"/>
          <w:color w:val="auto"/>
        </w:rPr>
      </w:pPr>
    </w:p>
    <w:p>
      <w:pPr>
        <w:jc w:val="both"/>
        <w:ind w:firstLine="585"/>
        <w:spacing w:after="0" w:line="272" w:lineRule="auto"/>
        <w:rPr>
          <w:sz w:val="20"/>
          <w:szCs w:val="20"/>
          <w:color w:val="auto"/>
        </w:rPr>
      </w:pPr>
      <w:r>
        <w:rPr>
          <w:rFonts w:ascii="Times New Roman" w:cs="Times New Roman" w:eastAsia="Times New Roman" w:hAnsi="Times New Roman"/>
          <w:sz w:val="16"/>
          <w:szCs w:val="16"/>
          <w:color w:val="auto"/>
        </w:rPr>
        <w:t xml:space="preserve">In order to provide for just and equitable contribution among the Guarantors, the Guarantors agree, </w:t>
      </w:r>
      <w:r>
        <w:rPr>
          <w:rFonts w:ascii="Times New Roman" w:cs="Times New Roman" w:eastAsia="Times New Roman" w:hAnsi="Times New Roman"/>
          <w:sz w:val="16"/>
          <w:szCs w:val="16"/>
          <w:i w:val="1"/>
          <w:iCs w:val="1"/>
          <w:color w:val="auto"/>
        </w:rPr>
        <w:t>inter se</w:t>
      </w:r>
      <w:r>
        <w:rPr>
          <w:rFonts w:ascii="Times New Roman" w:cs="Times New Roman" w:eastAsia="Times New Roman" w:hAnsi="Times New Roman"/>
          <w:sz w:val="16"/>
          <w:szCs w:val="16"/>
          <w:color w:val="auto"/>
        </w:rPr>
        <w:t xml:space="preserve">, that in the event any payment or distribution is made by any Guarantor under a Guarantee, such Guarantor will be entitled to a contribution from any other Guarantor in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amount based on the net assets of each Guarantor determined in accordance with GAAP.</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10.05. Subrogation.</w:t>
      </w:r>
    </w:p>
    <w:p>
      <w:pPr>
        <w:spacing w:after="0" w:line="208" w:lineRule="exact"/>
        <w:rPr>
          <w:sz w:val="20"/>
          <w:szCs w:val="20"/>
          <w:color w:val="auto"/>
        </w:rPr>
      </w:pPr>
    </w:p>
    <w:p>
      <w:pPr>
        <w:ind w:right="200" w:firstLine="585"/>
        <w:spacing w:after="0" w:line="271" w:lineRule="auto"/>
        <w:rPr>
          <w:sz w:val="20"/>
          <w:szCs w:val="20"/>
          <w:color w:val="auto"/>
        </w:rPr>
      </w:pPr>
      <w:r>
        <w:rPr>
          <w:rFonts w:ascii="Times New Roman" w:cs="Times New Roman" w:eastAsia="Times New Roman" w:hAnsi="Times New Roman"/>
          <w:sz w:val="16"/>
          <w:szCs w:val="16"/>
          <w:color w:val="auto"/>
        </w:rPr>
        <w:t xml:space="preserve">Each Guarantor shall be subrogated to all rights of Holders against the Company in respect of any amounts paid by any Guarantor pursuant to the provisions of Section 10.01;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an Event of Default has occurred and is continuing, no Guarantor shall be entitled to enforce or receive any payments arising out of, or based upon, such right of subrogation until all amounts then due and payable by the Company under this Indenture or the Securities shall have been paid in full.</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10.06. Reinstatement.</w:t>
      </w:r>
    </w:p>
    <w:p>
      <w:pPr>
        <w:spacing w:after="0" w:line="208" w:lineRule="exact"/>
        <w:rPr>
          <w:sz w:val="20"/>
          <w:szCs w:val="20"/>
          <w:color w:val="auto"/>
        </w:rPr>
      </w:pPr>
    </w:p>
    <w:p>
      <w:pPr>
        <w:ind w:right="40" w:firstLine="585"/>
        <w:spacing w:after="0" w:line="271" w:lineRule="auto"/>
        <w:rPr>
          <w:sz w:val="20"/>
          <w:szCs w:val="20"/>
          <w:color w:val="auto"/>
        </w:rPr>
      </w:pPr>
      <w:r>
        <w:rPr>
          <w:rFonts w:ascii="Times New Roman" w:cs="Times New Roman" w:eastAsia="Times New Roman" w:hAnsi="Times New Roman"/>
          <w:sz w:val="16"/>
          <w:szCs w:val="16"/>
          <w:color w:val="auto"/>
        </w:rPr>
        <w:t>Each Guarantor hereby agrees (and each Person who becomes a Guarantor shall agree) that the Guarantee provided for in Section 10.01 shall continue to be effective or be reinstated, as the case may be, if at any time, payment, or any part thereof, of any obligations or interest thereon is rescinded or must otherwise be restored by a Holder to the Company upon the bankruptcy or insolvency of the Company or any Guarantor.</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10.07. Release of a Guarantor.</w:t>
      </w:r>
    </w:p>
    <w:p>
      <w:pPr>
        <w:spacing w:after="0" w:line="208" w:lineRule="exact"/>
        <w:rPr>
          <w:sz w:val="20"/>
          <w:szCs w:val="20"/>
          <w:color w:val="auto"/>
        </w:rPr>
      </w:pPr>
    </w:p>
    <w:p>
      <w:pPr>
        <w:ind w:right="120" w:firstLine="585"/>
        <w:spacing w:after="0" w:line="288" w:lineRule="auto"/>
        <w:rPr>
          <w:sz w:val="20"/>
          <w:szCs w:val="20"/>
          <w:color w:val="auto"/>
        </w:rPr>
      </w:pPr>
      <w:r>
        <w:rPr>
          <w:rFonts w:ascii="Times New Roman" w:cs="Times New Roman" w:eastAsia="Times New Roman" w:hAnsi="Times New Roman"/>
          <w:sz w:val="16"/>
          <w:szCs w:val="16"/>
          <w:color w:val="auto"/>
        </w:rPr>
        <w:t>Any Guarantee issued by any Guarantor under this Indenture shall be automatically and unconditionally terminated and released, without any action on the part of the Trustee, any Holder of the Securities or any other person, upon:</w:t>
      </w:r>
    </w:p>
    <w:p>
      <w:pPr>
        <w:spacing w:after="0" w:line="143" w:lineRule="exact"/>
        <w:rPr>
          <w:sz w:val="20"/>
          <w:szCs w:val="20"/>
          <w:color w:val="auto"/>
        </w:rPr>
      </w:pPr>
    </w:p>
    <w:p>
      <w:pPr>
        <w:ind w:left="1440" w:hanging="273"/>
        <w:spacing w:after="0"/>
        <w:tabs>
          <w:tab w:leader="none" w:pos="144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sale or disposition of such Guarantor in a transaction that complies with this Indenture such that such Guarantor ceases to be a Subsidiary of the</w:t>
      </w:r>
    </w:p>
    <w:p>
      <w:pPr>
        <w:spacing w:after="0" w:line="2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w:t>
      </w:r>
    </w:p>
    <w:p>
      <w:pPr>
        <w:spacing w:after="0" w:line="189" w:lineRule="exact"/>
        <w:rPr>
          <w:rFonts w:ascii="Times New Roman" w:cs="Times New Roman" w:eastAsia="Times New Roman" w:hAnsi="Times New Roman"/>
          <w:sz w:val="16"/>
          <w:szCs w:val="16"/>
          <w:color w:val="auto"/>
        </w:rPr>
      </w:pPr>
    </w:p>
    <w:p>
      <w:pPr>
        <w:ind w:left="580" w:right="40" w:firstLine="587"/>
        <w:spacing w:after="0" w:line="271" w:lineRule="auto"/>
        <w:tabs>
          <w:tab w:leader="none" w:pos="1435"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series of Securities, if the Company exercises its Legal Defeasance option or its Covenant Defeasance option with respect to such series of Securities or if the Company’s obligations under this Indenture are discharged with respect to such series of Securities in accordance with the terms of this Indenture;</w:t>
      </w:r>
    </w:p>
    <w:p>
      <w:pPr>
        <w:spacing w:after="0" w:line="156" w:lineRule="exact"/>
        <w:rPr>
          <w:rFonts w:ascii="Times New Roman" w:cs="Times New Roman" w:eastAsia="Times New Roman" w:hAnsi="Times New Roman"/>
          <w:sz w:val="16"/>
          <w:szCs w:val="16"/>
          <w:color w:val="auto"/>
        </w:rPr>
      </w:pPr>
    </w:p>
    <w:p>
      <w:pPr>
        <w:jc w:val="both"/>
        <w:ind w:left="580" w:right="60" w:firstLine="587"/>
        <w:spacing w:after="0" w:line="288" w:lineRule="auto"/>
        <w:tabs>
          <w:tab w:leader="none" w:pos="1435"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such Guarantor no longer being an issuer or guarantor in respect of (i) Mylan Notes that have an aggregate principal amount in excess of $500.0 million or (ii) any Triggering Indebtedness, in each case, other than in respect of Indebtedness or Guarantees, as applicable, that are being concurrently released; or</w:t>
      </w:r>
    </w:p>
    <w:p>
      <w:pPr>
        <w:spacing w:after="0" w:line="143" w:lineRule="exact"/>
        <w:rPr>
          <w:rFonts w:ascii="Times New Roman" w:cs="Times New Roman" w:eastAsia="Times New Roman" w:hAnsi="Times New Roman"/>
          <w:sz w:val="16"/>
          <w:szCs w:val="16"/>
          <w:color w:val="auto"/>
        </w:rPr>
      </w:pPr>
    </w:p>
    <w:p>
      <w:pPr>
        <w:ind w:left="580" w:right="180" w:firstLine="587"/>
        <w:spacing w:after="0" w:line="288" w:lineRule="auto"/>
        <w:tabs>
          <w:tab w:leader="none" w:pos="1435"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series of Securities, upon receipt of the consent of the Holders of a majority of the aggregate principal amount of the outstanding Securities of such series in accordance with Section 8.02.</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10.08. Benefits Acknowledged.</w:t>
      </w:r>
    </w:p>
    <w:p>
      <w:pPr>
        <w:spacing w:after="0" w:line="208" w:lineRule="exact"/>
        <w:rPr>
          <w:sz w:val="20"/>
          <w:szCs w:val="20"/>
          <w:color w:val="auto"/>
        </w:rPr>
      </w:pPr>
    </w:p>
    <w:p>
      <w:pPr>
        <w:ind w:right="20" w:firstLine="585"/>
        <w:spacing w:after="0" w:line="288" w:lineRule="auto"/>
        <w:rPr>
          <w:sz w:val="20"/>
          <w:szCs w:val="20"/>
          <w:color w:val="auto"/>
        </w:rPr>
      </w:pPr>
      <w:r>
        <w:rPr>
          <w:rFonts w:ascii="Times New Roman" w:cs="Times New Roman" w:eastAsia="Times New Roman" w:hAnsi="Times New Roman"/>
          <w:sz w:val="16"/>
          <w:szCs w:val="16"/>
          <w:color w:val="auto"/>
        </w:rPr>
        <w:t>Each Guarantor acknowledges that it will receive direct and indirect benefits from the financing arrangements contemplated by this Indenture and that its respective Guarantee is knowingly made in contemplation of such benefits.</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10.09. Subordination of Guarantees.</w:t>
      </w:r>
    </w:p>
    <w:p>
      <w:pPr>
        <w:spacing w:after="0" w:line="208" w:lineRule="exact"/>
        <w:rPr>
          <w:sz w:val="20"/>
          <w:szCs w:val="20"/>
          <w:color w:val="auto"/>
        </w:rPr>
      </w:pPr>
    </w:p>
    <w:p>
      <w:pPr>
        <w:ind w:right="40" w:firstLine="585"/>
        <w:spacing w:after="0" w:line="261" w:lineRule="auto"/>
        <w:rPr>
          <w:sz w:val="20"/>
          <w:szCs w:val="20"/>
          <w:color w:val="auto"/>
        </w:rPr>
      </w:pPr>
      <w:r>
        <w:rPr>
          <w:rFonts w:ascii="Times New Roman" w:cs="Times New Roman" w:eastAsia="Times New Roman" w:hAnsi="Times New Roman"/>
          <w:sz w:val="16"/>
          <w:szCs w:val="16"/>
          <w:color w:val="auto"/>
        </w:rPr>
        <w:t>The obligations of each Guarantor under its Guarantee of a series of Securities pursuant to this Article X will be junior and subordinated to the Senior Indebtedness and Subordinated Indebtedness of such Guarantor on the same basis as the Securities of such series are junior and subordinated to Senior Indebtedness and Subordinated Indebtedness of the Company. For the purposes of the foregoing sentence, the Trustee and the Holders will have the right to receive and/or retain payments by each Guarantor only at such times as they may receive and/or retain payments in respect of the Securities of such series pursuant to this Indenture, including Article XIII. Unless otherwise provided with respect to the Guarantee of any series of Securities pursuant to the Company Order or supplemental indenture establishing such series of Securities pursuant to Section 2.02, the provisions of this Section 10.09 shall be applicable to the Guarantee of each series of Securities.</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6" w:name="page237"/>
    <w:bookmarkEnd w:id="236"/>
    <w:p>
      <w:pPr>
        <w:jc w:val="center"/>
        <w:ind w:right="-39"/>
        <w:spacing w:after="0"/>
        <w:rPr>
          <w:sz w:val="20"/>
          <w:szCs w:val="20"/>
          <w:color w:val="auto"/>
        </w:rPr>
      </w:pPr>
      <w:r>
        <w:rPr>
          <w:rFonts w:ascii="Times New Roman" w:cs="Times New Roman" w:eastAsia="Times New Roman" w:hAnsi="Times New Roman"/>
          <w:sz w:val="16"/>
          <w:szCs w:val="16"/>
          <w:color w:val="auto"/>
        </w:rPr>
        <w:t>ARTICLE XI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SINKING FUNDS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11.01. Applicability of Sinking Fund.</w:t>
      </w:r>
    </w:p>
    <w:p>
      <w:pPr>
        <w:spacing w:after="0" w:line="208" w:lineRule="exact"/>
        <w:rPr>
          <w:sz w:val="20"/>
          <w:szCs w:val="20"/>
          <w:color w:val="auto"/>
        </w:rPr>
      </w:pPr>
    </w:p>
    <w:p>
      <w:pPr>
        <w:ind w:right="60" w:firstLine="582"/>
        <w:spacing w:after="0" w:line="271" w:lineRule="auto"/>
        <w:tabs>
          <w:tab w:leader="none" w:pos="846"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contemplated by Section 2.02 with respect to any series of Securities, redemption of Securities permitted or required pursuant to a sinking fund for the retirement of Securities of a series by the terms of such series of Securities shall be made in accordance with such terms of such series of Securities and this Article XI.</w:t>
      </w:r>
    </w:p>
    <w:p>
      <w:pPr>
        <w:spacing w:after="0" w:line="154" w:lineRule="exact"/>
        <w:rPr>
          <w:rFonts w:ascii="Times New Roman" w:cs="Times New Roman" w:eastAsia="Times New Roman" w:hAnsi="Times New Roman"/>
          <w:sz w:val="16"/>
          <w:szCs w:val="16"/>
          <w:color w:val="auto"/>
        </w:rPr>
      </w:pPr>
    </w:p>
    <w:p>
      <w:pPr>
        <w:ind w:right="160" w:firstLine="582"/>
        <w:spacing w:after="0" w:line="266" w:lineRule="auto"/>
        <w:tabs>
          <w:tab w:leader="none" w:pos="936"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minimum amount of any sinking fund payment provided for by the terms of Securities of any series is herein referred to as a “</w:t>
      </w:r>
      <w:r>
        <w:rPr>
          <w:rFonts w:ascii="Times New Roman" w:cs="Times New Roman" w:eastAsia="Times New Roman" w:hAnsi="Times New Roman"/>
          <w:sz w:val="16"/>
          <w:szCs w:val="16"/>
          <w:i w:val="1"/>
          <w:iCs w:val="1"/>
          <w:color w:val="auto"/>
        </w:rPr>
        <w:t>Mandatory Sinking Fund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Payment</w:t>
      </w:r>
      <w:r>
        <w:rPr>
          <w:rFonts w:ascii="Times New Roman" w:cs="Times New Roman" w:eastAsia="Times New Roman" w:hAnsi="Times New Roman"/>
          <w:sz w:val="16"/>
          <w:szCs w:val="16"/>
          <w:color w:val="auto"/>
        </w:rPr>
        <w:t>,” and any payment in excess of such minimum amount provided for by the terms of Securities of any series is herein referred to as an “</w:t>
      </w:r>
      <w:r>
        <w:rPr>
          <w:rFonts w:ascii="Times New Roman" w:cs="Times New Roman" w:eastAsia="Times New Roman" w:hAnsi="Times New Roman"/>
          <w:sz w:val="16"/>
          <w:szCs w:val="16"/>
          <w:i w:val="1"/>
          <w:iCs w:val="1"/>
          <w:color w:val="auto"/>
        </w:rPr>
        <w:t>Optional Sinking Fund Payment</w:t>
      </w:r>
      <w:r>
        <w:rPr>
          <w:rFonts w:ascii="Times New Roman" w:cs="Times New Roman" w:eastAsia="Times New Roman" w:hAnsi="Times New Roman"/>
          <w:sz w:val="16"/>
          <w:szCs w:val="16"/>
          <w:color w:val="auto"/>
        </w:rPr>
        <w:t>.” If provided for by the terms of Securities of any series, the cash amount of any Mandatory Sinking Fund Payment may be subject to reduction as provided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Section 11.02.</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11.02. Mandatory Sinking Fund Obligation.</w:t>
      </w:r>
    </w:p>
    <w:p>
      <w:pPr>
        <w:spacing w:after="0" w:line="208" w:lineRule="exact"/>
        <w:rPr>
          <w:sz w:val="20"/>
          <w:szCs w:val="20"/>
          <w:color w:val="auto"/>
        </w:rPr>
      </w:pPr>
    </w:p>
    <w:p>
      <w:pPr>
        <w:ind w:firstLine="585"/>
        <w:spacing w:after="0" w:line="258" w:lineRule="auto"/>
        <w:rPr>
          <w:sz w:val="20"/>
          <w:szCs w:val="20"/>
          <w:color w:val="auto"/>
        </w:rPr>
      </w:pPr>
      <w:r>
        <w:rPr>
          <w:rFonts w:ascii="Times New Roman" w:cs="Times New Roman" w:eastAsia="Times New Roman" w:hAnsi="Times New Roman"/>
          <w:sz w:val="16"/>
          <w:szCs w:val="16"/>
          <w:color w:val="auto"/>
        </w:rPr>
        <w:t>The Company may, at its option, satisfy any Mandatory Sinking Fund Payment obligation, in whole or in part, with respect to a particular series of Securities by (a) delivering to the Trustee Securities of such series in transferable form theretofore purchased or otherwise acquired by the Company or redeemed at the election of the Company pursuant to Section 3.04 or (b) receiving credit for Securities of such series (not previously so credited) acquired by the Company and theretofore delivered to the Trustee. The Trustee shall credit such Mandatory Sinking Fund Payment obligation with an amount equal to the Redemption Price specified in such Securities for redemption through operation of the sinking fund and the amount of such Mandatory Sinking Fund Payment shall be reduced accordingly. If the Company shall elect to so satisfy any Mandatory Sinking Fund Payment obligation, it shall deliver to the Trustee not less than 45 days prior to the relevant sinking fund payment date an Officer’s Certificate, which shall designate the Securities (and portions thereof, if any) so delivered or credited and which shall be accompanied by such Securities (to the extent not theretofore delivered) in transferable form. In case of the failure of the Company, at or before the time so required, to give such notice and deliver such Securities, the Mandatory Sinking Fund Payment obligation shall be paid entirely in moneys.</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11.03. Optional Redemption at Sinking Fund Redemption Price.</w:t>
      </w:r>
    </w:p>
    <w:p>
      <w:pPr>
        <w:spacing w:after="0" w:line="208" w:lineRule="exact"/>
        <w:rPr>
          <w:sz w:val="20"/>
          <w:szCs w:val="20"/>
          <w:color w:val="auto"/>
        </w:rPr>
      </w:pPr>
    </w:p>
    <w:p>
      <w:pPr>
        <w:ind w:firstLine="585"/>
        <w:spacing w:after="0" w:line="259" w:lineRule="auto"/>
        <w:rPr>
          <w:sz w:val="20"/>
          <w:szCs w:val="20"/>
          <w:color w:val="auto"/>
        </w:rPr>
      </w:pPr>
      <w:r>
        <w:rPr>
          <w:rFonts w:ascii="Times New Roman" w:cs="Times New Roman" w:eastAsia="Times New Roman" w:hAnsi="Times New Roman"/>
          <w:sz w:val="16"/>
          <w:szCs w:val="16"/>
          <w:color w:val="auto"/>
        </w:rPr>
        <w:t>In addition to the sinking fund requirements of Section 11.02, to the extent, if any, provided for by the terms of a particular series of Securities, the Company may, at its option, make an Optional Sinking Fund Payment with respect to such Securities. Unless otherwise provided by such terms, (a) to the extent that the right of the Company to make such Optional Sinking Fund Payment shall not be exercised in any year, it shall not be cumulative or carried forward to any subsequent year, and (b) such optional payment shall operate to reduce the amount of any Mandatory Sinking Fund Payment obligation as to Securities of the same series. If the Company intends to exercise its right to make such optional payment in any year, it shall deliver to the Trustee not less than 45 days prior to the relevant sinking fund payment date an Officer’s Certificate stating that the Company will exercise such optional right, and specifying the amount which the Company will pay on or before the next succeeding sinking fund payment date. Such Officer’s Certificate shall also state that no Event of Default has occurred and is continuing.</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11.04. Application of Sinking Fund Payment.</w:t>
      </w: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37" w:name="page238"/>
    <w:bookmarkEnd w:id="237"/>
    <w:p>
      <w:pPr>
        <w:ind w:firstLine="582"/>
        <w:spacing w:after="0" w:line="257" w:lineRule="auto"/>
        <w:tabs>
          <w:tab w:leader="none" w:pos="846"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sinking fund payment or payments made in funds pursuant to either Section 11.02 or 11.03 with respect to a particular series of Securities plus any unused balance of any preceding sinking fund payments made in funds with respect to such series shall exceed $50,000 (or a lesser sum if the Company shall so request, or such equivalent sum for Securities denominated other than in U.S. Dollars), it shall be applied by the Trustee on the sinking fund payment date next following the date of such payment, unless the date of such payment shall be a sinking fund payment date, in which case such payment shall be applied on such sinking fund payment date, to the redemption of Securities of such series at the redemption price specified pursuant to Section 3.04. Upon written direction from the Company (which direction shall confirm the amount to be redeemed), the Trustee shall select, in the manner provided in Section 3.03, for redemption on such sinking fund payment date, a sufficient principal amount of Securities of such series to absorb said funds, as nearly as may be, and shall, at the expense and in the name of the Company, thereupon cause notice of redemption of the Securities to be given in substantially the manner provided in Section 3.04 for the redemption of Securities in part at the option of the Company, except that the notice of redemption shall also state that the Securities are being redeemed for the sinking fund. Any sinking fund moneys not so applied by the Trustee to the redemption of Securities of such series shall be added to the next sinking fund payment received in funds by the Trustee and, together with such payment, shall be applied in accordance with the provisions of this Section 11.04. Any and all sinking fund moneys held by the Trustee on the last sinking fund payment date with respect to Securities of such series, and not held for the payment or redemption of particular Securities of such series, shall be applied by the Trustee to the payment of the principal of the Securities of such series on the Maturity Date.</w:t>
      </w:r>
    </w:p>
    <w:p>
      <w:pPr>
        <w:spacing w:after="0" w:line="166" w:lineRule="exact"/>
        <w:rPr>
          <w:rFonts w:ascii="Times New Roman" w:cs="Times New Roman" w:eastAsia="Times New Roman" w:hAnsi="Times New Roman"/>
          <w:sz w:val="16"/>
          <w:szCs w:val="16"/>
          <w:color w:val="auto"/>
        </w:rPr>
      </w:pPr>
    </w:p>
    <w:p>
      <w:pPr>
        <w:ind w:right="120" w:firstLine="582"/>
        <w:spacing w:after="0" w:line="288" w:lineRule="auto"/>
        <w:tabs>
          <w:tab w:leader="none" w:pos="896"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prior to each sinking fund payment date, the Company shall pay to the Trustee a sum equal to all interest accrued to but not including the date fixed for redemption on Securities to be redeemed on such sinking fund payment date pursuant to this Section 11.04.</w:t>
      </w:r>
    </w:p>
    <w:p>
      <w:pPr>
        <w:spacing w:after="0" w:line="143" w:lineRule="exact"/>
        <w:rPr>
          <w:rFonts w:ascii="Times New Roman" w:cs="Times New Roman" w:eastAsia="Times New Roman" w:hAnsi="Times New Roman"/>
          <w:sz w:val="16"/>
          <w:szCs w:val="16"/>
          <w:color w:val="auto"/>
        </w:rPr>
      </w:pPr>
    </w:p>
    <w:p>
      <w:pPr>
        <w:ind w:right="40" w:firstLine="582"/>
        <w:spacing w:after="0" w:line="259" w:lineRule="auto"/>
        <w:tabs>
          <w:tab w:leader="none" w:pos="846"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Trustee shall not redeem any Securities of a series with sinking fund moneys or send any notice of redemption of Securities of such series by operation of the sinking fund during the continuance of a Default in payment of interest on any Securities of such series or of any Event of Default (other than an Event of Default occurring as a consequence of this paragraph) of which a Responsible Officer of the Trustee has received written notice, except that if the notice of redemption of any Securities of such series shall theretofore have been sent in accordance with the provisions hereof, the Trustee shall redeem such Securities if funds sufficient for that purpose shall be deposited with the Trustee in accordance with the terms of this Article XI. Except as aforesaid, any moneys in the sinking fund at the time any such Default or Event of Default shall occur and any moneys thereafter paid into the sinking fund shall, during the continuance of such Event of Default, be held as security for the payment of all the Securities of such series;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in case such Default or Event of Default shall have been cured or waived as provided herein, such moneys shall thereafter be applied on the next sinking fund payment date on which such moneys are required to be applied pursuant to the provisions of this Section 11.04.</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XII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MISCELLANEOUS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12.01. Trust Indenture Act Controls.</w:t>
      </w:r>
    </w:p>
    <w:p>
      <w:pPr>
        <w:spacing w:after="0" w:line="208" w:lineRule="exact"/>
        <w:rPr>
          <w:sz w:val="20"/>
          <w:szCs w:val="20"/>
          <w:color w:val="auto"/>
        </w:rPr>
      </w:pPr>
    </w:p>
    <w:p>
      <w:pPr>
        <w:ind w:right="320" w:firstLine="585"/>
        <w:spacing w:after="0" w:line="288" w:lineRule="auto"/>
        <w:rPr>
          <w:sz w:val="20"/>
          <w:szCs w:val="20"/>
          <w:color w:val="auto"/>
        </w:rPr>
      </w:pPr>
      <w:r>
        <w:rPr>
          <w:rFonts w:ascii="Times New Roman" w:cs="Times New Roman" w:eastAsia="Times New Roman" w:hAnsi="Times New Roman"/>
          <w:sz w:val="16"/>
          <w:szCs w:val="16"/>
          <w:color w:val="auto"/>
        </w:rPr>
        <w:t>If any provision of this Indenture limits, qualifies or conflicts with another provision which is required to be included in this Indenture by the TIA, the required provision shall control.</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12.02. Notices.</w:t>
      </w:r>
    </w:p>
    <w:p>
      <w:pPr>
        <w:spacing w:after="0" w:line="208" w:lineRule="exact"/>
        <w:rPr>
          <w:sz w:val="20"/>
          <w:szCs w:val="20"/>
          <w:color w:val="auto"/>
        </w:rPr>
      </w:pPr>
    </w:p>
    <w:p>
      <w:pPr>
        <w:ind w:right="340" w:firstLine="585"/>
        <w:spacing w:after="0" w:line="271" w:lineRule="auto"/>
        <w:rPr>
          <w:sz w:val="20"/>
          <w:szCs w:val="20"/>
          <w:color w:val="auto"/>
        </w:rPr>
      </w:pPr>
      <w:r>
        <w:rPr>
          <w:rFonts w:ascii="Times New Roman" w:cs="Times New Roman" w:eastAsia="Times New Roman" w:hAnsi="Times New Roman"/>
          <w:sz w:val="16"/>
          <w:szCs w:val="16"/>
          <w:color w:val="auto"/>
        </w:rPr>
        <w:t>Except for notice or communications to Holders, any notice or communication shall be given in writing and is duly given when received if delivered in person, when receipt is acknowledged if sent electronically, on the next Business Day if timely delivered by a nationally recognized courier service that guarantees overnight delivery or two Business Days after deposit if mailed by first-class mail, postage prepaid, addressed as follows:</w:t>
      </w:r>
    </w:p>
    <w:p>
      <w:pPr>
        <w:spacing w:after="0" w:line="1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If to the Company or any Guarantor:</w:t>
      </w: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Viatris Inc.</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1000 Mylan Boulevard</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Canonsburg, PA 15317</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Attn: Chief Financial Officer, Treasurer and Assistant Secretary</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Email:</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8" w:name="page239"/>
    <w:bookmarkEnd w:id="238"/>
    <w:p>
      <w:pPr>
        <w:ind w:left="116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Cravath, Swaine &amp; Moore LLP</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375 Ninth Avenue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New York, NY 10001</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Attn:  Ryan J. Patrone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Email: rpatrone@cravath.com</w:t>
      </w:r>
    </w:p>
    <w:p>
      <w:pPr>
        <w:spacing w:after="0" w:line="1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If to the Trustee:</w:t>
      </w: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Mailing Address:</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Bank of New York Mellon</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500 Ross Street, 12th Floor</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Pittsburgh, PA 15262</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Attn: Corporate Trust Administration</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Email:</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Such notices or communications shall be effective when actually received and shall be sufficiently given if so given within the time prescribed in this Indenture.</w:t>
      </w:r>
    </w:p>
    <w:p>
      <w:pPr>
        <w:spacing w:after="0" w:line="206" w:lineRule="exact"/>
        <w:rPr>
          <w:sz w:val="20"/>
          <w:szCs w:val="20"/>
          <w:color w:val="auto"/>
        </w:rPr>
      </w:pPr>
    </w:p>
    <w:p>
      <w:pPr>
        <w:ind w:right="1000" w:firstLine="585"/>
        <w:spacing w:after="0" w:line="288" w:lineRule="auto"/>
        <w:rPr>
          <w:sz w:val="20"/>
          <w:szCs w:val="20"/>
          <w:color w:val="auto"/>
        </w:rPr>
      </w:pPr>
      <w:r>
        <w:rPr>
          <w:rFonts w:ascii="Times New Roman" w:cs="Times New Roman" w:eastAsia="Times New Roman" w:hAnsi="Times New Roman"/>
          <w:sz w:val="16"/>
          <w:szCs w:val="16"/>
          <w:color w:val="auto"/>
        </w:rPr>
        <w:t>The Company, the Guarantors or the Trustee by written notice to the others may designate additional or different addresses for subsequent notices or communications.</w:t>
      </w:r>
    </w:p>
    <w:p>
      <w:pPr>
        <w:spacing w:after="0" w:line="141" w:lineRule="exact"/>
        <w:rPr>
          <w:sz w:val="20"/>
          <w:szCs w:val="20"/>
          <w:color w:val="auto"/>
        </w:rPr>
      </w:pPr>
    </w:p>
    <w:p>
      <w:pPr>
        <w:ind w:firstLine="585"/>
        <w:spacing w:after="0" w:line="256" w:lineRule="auto"/>
        <w:rPr>
          <w:sz w:val="20"/>
          <w:szCs w:val="20"/>
          <w:color w:val="auto"/>
        </w:rPr>
      </w:pPr>
      <w:r>
        <w:rPr>
          <w:rFonts w:ascii="Times New Roman" w:cs="Times New Roman" w:eastAsia="Times New Roman" w:hAnsi="Times New Roman"/>
          <w:sz w:val="16"/>
          <w:szCs w:val="16"/>
          <w:color w:val="auto"/>
        </w:rPr>
        <w:t>The Trustee in any of its capacities hereunder shall have the right to accept and act upon instructions, including funds transfer instructions (“</w:t>
      </w:r>
      <w:r>
        <w:rPr>
          <w:rFonts w:ascii="Times New Roman" w:cs="Times New Roman" w:eastAsia="Times New Roman" w:hAnsi="Times New Roman"/>
          <w:sz w:val="16"/>
          <w:szCs w:val="16"/>
          <w:i w:val="1"/>
          <w:iCs w:val="1"/>
          <w:color w:val="auto"/>
        </w:rPr>
        <w:t>Instructions</w:t>
      </w:r>
      <w:r>
        <w:rPr>
          <w:rFonts w:ascii="Times New Roman" w:cs="Times New Roman" w:eastAsia="Times New Roman" w:hAnsi="Times New Roman"/>
          <w:sz w:val="16"/>
          <w:szCs w:val="16"/>
          <w:color w:val="auto"/>
        </w:rPr>
        <w:t xml:space="preserve">”) given pursuant to this Indenture and delivered using Electronic Means;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Company and/or any Guarantor, as applicable, shall provide to the Trustee an incumbency certificate listing officers with the authority to provide such Instructions (“</w:t>
      </w:r>
      <w:r>
        <w:rPr>
          <w:rFonts w:ascii="Times New Roman" w:cs="Times New Roman" w:eastAsia="Times New Roman" w:hAnsi="Times New Roman"/>
          <w:sz w:val="16"/>
          <w:szCs w:val="16"/>
          <w:i w:val="1"/>
          <w:iCs w:val="1"/>
          <w:color w:val="auto"/>
        </w:rPr>
        <w:t>Authorized Officers</w:t>
      </w:r>
      <w:r>
        <w:rPr>
          <w:rFonts w:ascii="Times New Roman" w:cs="Times New Roman" w:eastAsia="Times New Roman" w:hAnsi="Times New Roman"/>
          <w:sz w:val="16"/>
          <w:szCs w:val="16"/>
          <w:color w:val="auto"/>
        </w:rPr>
        <w:t>”) and containing specimen signatures of such Authorized Officers, which incumbency certificate shall be amended by the Company and/or such Guarantor, as applicable, whenever a person is to be added or deleted from the listing. If the Company and/or any Guarantor, as applicable, elects to give the Trustee Instructions using Electronic Means and the Trustee in its discretion elects to act upon such Instructions, the Trustee’s understanding of such Instructions shall be deemed controlling. The Company and any Guarantor understand and agree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and any Guarantor shall be responsible for ensuring that only Authorized Officers transmit such Instructions to the Trustee and that the Company, any Guarantor and all Authorized Officers are solely responsible to safeguard the use and confidentiality of applicable user and authorization codes, passwords and/or authentication keys upon receipt by the Company and/or such Guarantor, as applicable. The Trustee shall not be liable for any losses, costs or expenses arising directly or indirectly from the Trustee’s reliance upon and compliance with such Instructions notwithstanding such directions conflict or are inconsistent with a subsequent written instruction. The Company and any Guarantor agree: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and/or such Guarantor, as applicable;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3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Any notice or communication transmitted to a Holder shall be transmitted to him or her at his or her address shown on the register kept by the Registrar.</w:t>
      </w:r>
    </w:p>
    <w:p>
      <w:pPr>
        <w:spacing w:after="0" w:line="206" w:lineRule="exact"/>
        <w:rPr>
          <w:sz w:val="20"/>
          <w:szCs w:val="20"/>
          <w:color w:val="auto"/>
        </w:rPr>
      </w:pPr>
    </w:p>
    <w:p>
      <w:pPr>
        <w:ind w:right="920" w:firstLine="585"/>
        <w:spacing w:after="0" w:line="288" w:lineRule="auto"/>
        <w:rPr>
          <w:sz w:val="20"/>
          <w:szCs w:val="20"/>
          <w:color w:val="auto"/>
        </w:rPr>
      </w:pPr>
      <w:r>
        <w:rPr>
          <w:rFonts w:ascii="Times New Roman" w:cs="Times New Roman" w:eastAsia="Times New Roman" w:hAnsi="Times New Roman"/>
          <w:sz w:val="16"/>
          <w:szCs w:val="16"/>
          <w:color w:val="auto"/>
        </w:rPr>
        <w:t>Failure to transmit a notice or communication to a Holder or any defect in it shall not affect its sufficiency with respect to other Holders. If a notice or communication to a Holder is transmitted in the manner provided above, it shall be deemed duly given, whether or not the addressee receives it.</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39" w:name="page240"/>
    <w:bookmarkEnd w:id="239"/>
    <w:p>
      <w:pPr>
        <w:ind w:left="580"/>
        <w:spacing w:after="0"/>
        <w:rPr>
          <w:sz w:val="20"/>
          <w:szCs w:val="20"/>
          <w:color w:val="auto"/>
        </w:rPr>
      </w:pPr>
      <w:r>
        <w:rPr>
          <w:rFonts w:ascii="Times New Roman" w:cs="Times New Roman" w:eastAsia="Times New Roman" w:hAnsi="Times New Roman"/>
          <w:sz w:val="16"/>
          <w:szCs w:val="16"/>
          <w:color w:val="auto"/>
        </w:rPr>
        <w:t>If the Company transmits a notice or communication to Holders, it will transmit a copy to the Trustee and each Agent at the same time.</w:t>
      </w:r>
    </w:p>
    <w:p>
      <w:pPr>
        <w:spacing w:after="0" w:line="206" w:lineRule="exact"/>
        <w:rPr>
          <w:sz w:val="20"/>
          <w:szCs w:val="20"/>
          <w:color w:val="auto"/>
        </w:rPr>
      </w:pPr>
    </w:p>
    <w:p>
      <w:pPr>
        <w:ind w:right="140" w:firstLine="585"/>
        <w:spacing w:after="0" w:line="288" w:lineRule="auto"/>
        <w:rPr>
          <w:sz w:val="20"/>
          <w:szCs w:val="20"/>
          <w:color w:val="auto"/>
        </w:rPr>
      </w:pPr>
      <w:r>
        <w:rPr>
          <w:rFonts w:ascii="Times New Roman" w:cs="Times New Roman" w:eastAsia="Times New Roman" w:hAnsi="Times New Roman"/>
          <w:sz w:val="16"/>
          <w:szCs w:val="16"/>
          <w:color w:val="auto"/>
        </w:rPr>
        <w:t>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w:t>
      </w:r>
    </w:p>
    <w:p>
      <w:pPr>
        <w:spacing w:after="0" w:line="143" w:lineRule="exact"/>
        <w:rPr>
          <w:sz w:val="20"/>
          <w:szCs w:val="20"/>
          <w:color w:val="auto"/>
        </w:rPr>
      </w:pPr>
    </w:p>
    <w:p>
      <w:pPr>
        <w:ind w:right="200" w:firstLine="585"/>
        <w:spacing w:after="0" w:line="288" w:lineRule="auto"/>
        <w:rPr>
          <w:sz w:val="20"/>
          <w:szCs w:val="20"/>
          <w:color w:val="auto"/>
        </w:rPr>
      </w:pPr>
      <w:r>
        <w:rPr>
          <w:rFonts w:ascii="Times New Roman" w:cs="Times New Roman" w:eastAsia="Times New Roman" w:hAnsi="Times New Roman"/>
          <w:sz w:val="16"/>
          <w:szCs w:val="16"/>
          <w:color w:val="auto"/>
        </w:rPr>
        <w:t>Notwithstanding anything to the contrary contained herein, as long as the Securities of a series are in the form of a Global Security, notice to the Holders of such series may be made electronically in accordance with the applicable procedures of the Depositary.</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12.03. Certificate and Opinion as to Conditions Precedent.</w:t>
      </w:r>
    </w:p>
    <w:p>
      <w:pPr>
        <w:spacing w:after="0" w:line="208" w:lineRule="exact"/>
        <w:rPr>
          <w:sz w:val="20"/>
          <w:szCs w:val="20"/>
          <w:color w:val="auto"/>
        </w:rPr>
      </w:pPr>
    </w:p>
    <w:p>
      <w:pPr>
        <w:ind w:right="420" w:firstLine="582"/>
        <w:spacing w:after="0" w:line="288" w:lineRule="auto"/>
        <w:tabs>
          <w:tab w:leader="none" w:pos="846"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any request or application by the Company to the Trustee to take any action under this Indenture, if so requested by the Trustee, the Company shall furnish to the Trustee:</w:t>
      </w:r>
    </w:p>
    <w:p>
      <w:pPr>
        <w:spacing w:after="0" w:line="143" w:lineRule="exact"/>
        <w:rPr>
          <w:rFonts w:ascii="Times New Roman" w:cs="Times New Roman" w:eastAsia="Times New Roman" w:hAnsi="Times New Roman"/>
          <w:sz w:val="16"/>
          <w:szCs w:val="16"/>
          <w:color w:val="auto"/>
        </w:rPr>
      </w:pPr>
    </w:p>
    <w:p>
      <w:pPr>
        <w:ind w:left="580" w:right="680" w:firstLine="587"/>
        <w:spacing w:after="0" w:line="288" w:lineRule="auto"/>
        <w:tabs>
          <w:tab w:leader="none" w:pos="1435" w:val="left"/>
        </w:tabs>
        <w:numPr>
          <w:ilvl w:val="1"/>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Officer’s Certificate (which must include the statements set forth in Section 12.04) stating that, in the opinion of the signer, all conditions precedent, if any, provided for in this Indenture relating to the proposed action have been complied with; and</w:t>
      </w:r>
    </w:p>
    <w:p>
      <w:pPr>
        <w:spacing w:after="0" w:line="143" w:lineRule="exact"/>
        <w:rPr>
          <w:rFonts w:ascii="Times New Roman" w:cs="Times New Roman" w:eastAsia="Times New Roman" w:hAnsi="Times New Roman"/>
          <w:sz w:val="16"/>
          <w:szCs w:val="16"/>
          <w:color w:val="auto"/>
        </w:rPr>
      </w:pPr>
    </w:p>
    <w:p>
      <w:pPr>
        <w:ind w:left="580" w:right="160" w:firstLine="587"/>
        <w:spacing w:after="0" w:line="288" w:lineRule="auto"/>
        <w:tabs>
          <w:tab w:leader="none" w:pos="1435" w:val="left"/>
        </w:tabs>
        <w:numPr>
          <w:ilvl w:val="1"/>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Opinion of Counsel (which must include the statements set forth in Section 12.04) stating that, in the opinion of such counsel, all such conditions precedent have been complied with.</w:t>
      </w:r>
    </w:p>
    <w:p>
      <w:pPr>
        <w:spacing w:after="0" w:line="143" w:lineRule="exact"/>
        <w:rPr>
          <w:rFonts w:ascii="Times New Roman" w:cs="Times New Roman" w:eastAsia="Times New Roman" w:hAnsi="Times New Roman"/>
          <w:sz w:val="16"/>
          <w:szCs w:val="16"/>
          <w:color w:val="auto"/>
        </w:rPr>
      </w:pPr>
    </w:p>
    <w:p>
      <w:pPr>
        <w:ind w:right="40" w:firstLine="582"/>
        <w:spacing w:after="0" w:line="261" w:lineRule="auto"/>
        <w:tabs>
          <w:tab w:leader="none" w:pos="896"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certificate, statement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statement or opinion is based are erroneous. Any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unless such counsel knows, or in the exercise of reasonable care should know, that the certificate, statement or opinion or representations with respect to such matters are erroneous.</w:t>
      </w:r>
    </w:p>
    <w:p>
      <w:pPr>
        <w:spacing w:after="0" w:line="163" w:lineRule="exact"/>
        <w:rPr>
          <w:rFonts w:ascii="Times New Roman" w:cs="Times New Roman" w:eastAsia="Times New Roman" w:hAnsi="Times New Roman"/>
          <w:sz w:val="16"/>
          <w:szCs w:val="16"/>
          <w:color w:val="auto"/>
        </w:rPr>
      </w:pPr>
    </w:p>
    <w:p>
      <w:pPr>
        <w:ind w:right="40" w:firstLine="582"/>
        <w:spacing w:after="0" w:line="262" w:lineRule="auto"/>
        <w:tabs>
          <w:tab w:leader="none" w:pos="846"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certificate, statement or opinion of an officer of the Company or of counsel to the Company may be based, insofar as it relates to accounting matters, upon a certificate or opinion of, or representations by, an accountant or firm of accountants, unless such officer or counsel, as the case may be, knows, or in the exercise of reasonable care should know, that the certificate or opinion or representations with respect to the accounting matters upon which his or her certificate, statement or opinion may be based are erroneous. Any certificate or opinion of any firm of independent registered public accountants filed with the Trustee shall contain a statement that such firm is independent.</w:t>
      </w:r>
    </w:p>
    <w:p>
      <w:pPr>
        <w:spacing w:after="0" w:line="164" w:lineRule="exact"/>
        <w:rPr>
          <w:rFonts w:ascii="Times New Roman" w:cs="Times New Roman" w:eastAsia="Times New Roman" w:hAnsi="Times New Roman"/>
          <w:sz w:val="16"/>
          <w:szCs w:val="16"/>
          <w:color w:val="auto"/>
        </w:rPr>
      </w:pPr>
    </w:p>
    <w:p>
      <w:pPr>
        <w:ind w:firstLine="582"/>
        <w:spacing w:after="0" w:line="265" w:lineRule="auto"/>
        <w:tabs>
          <w:tab w:leader="none" w:pos="896"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61" w:lineRule="exact"/>
        <w:rPr>
          <w:rFonts w:ascii="Times New Roman" w:cs="Times New Roman" w:eastAsia="Times New Roman" w:hAnsi="Times New Roman"/>
          <w:sz w:val="16"/>
          <w:szCs w:val="16"/>
          <w:color w:val="auto"/>
        </w:rPr>
      </w:pPr>
    </w:p>
    <w:p>
      <w:pPr>
        <w:ind w:right="360" w:firstLine="582"/>
        <w:spacing w:after="0" w:line="288" w:lineRule="auto"/>
        <w:tabs>
          <w:tab w:leader="none" w:pos="846"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12.04. Statements Required in Certificate and Opinion.</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Each certificate or opinion with respect to compliance with a condition or covenant provided for in this Indenture must include:</w:t>
      </w:r>
    </w:p>
    <w:p>
      <w:pPr>
        <w:spacing w:after="0" w:line="206" w:lineRule="exact"/>
        <w:rPr>
          <w:sz w:val="20"/>
          <w:szCs w:val="20"/>
          <w:color w:val="auto"/>
        </w:rPr>
      </w:pPr>
    </w:p>
    <w:p>
      <w:pPr>
        <w:ind w:left="1440" w:hanging="273"/>
        <w:spacing w:after="0"/>
        <w:tabs>
          <w:tab w:leader="none" w:pos="144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statement that the Person making such certificate or opinion has read such covenant or condition;</w:t>
      </w:r>
    </w:p>
    <w:p>
      <w:pPr>
        <w:spacing w:after="0" w:line="205" w:lineRule="exact"/>
        <w:rPr>
          <w:rFonts w:ascii="Times New Roman" w:cs="Times New Roman" w:eastAsia="Times New Roman" w:hAnsi="Times New Roman"/>
          <w:sz w:val="16"/>
          <w:szCs w:val="16"/>
          <w:color w:val="auto"/>
        </w:rPr>
      </w:pPr>
    </w:p>
    <w:p>
      <w:pPr>
        <w:ind w:left="580" w:right="100" w:firstLine="587"/>
        <w:spacing w:after="0" w:line="288" w:lineRule="auto"/>
        <w:tabs>
          <w:tab w:leader="none" w:pos="1435"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brief statement as to the nature and scope of the examination or investigation upon which the statements or opinions contained in such certificate or opinion are based;</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40" w:name="page241"/>
    <w:bookmarkEnd w:id="240"/>
    <w:p>
      <w:pPr>
        <w:ind w:left="580" w:right="20" w:firstLine="587"/>
        <w:spacing w:after="0" w:line="288" w:lineRule="auto"/>
        <w:tabs>
          <w:tab w:leader="none" w:pos="1435"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143" w:lineRule="exact"/>
        <w:rPr>
          <w:rFonts w:ascii="Times New Roman" w:cs="Times New Roman" w:eastAsia="Times New Roman" w:hAnsi="Times New Roman"/>
          <w:sz w:val="16"/>
          <w:szCs w:val="16"/>
          <w:color w:val="auto"/>
        </w:rPr>
      </w:pPr>
    </w:p>
    <w:p>
      <w:pPr>
        <w:ind w:left="1440" w:hanging="273"/>
        <w:spacing w:after="0"/>
        <w:tabs>
          <w:tab w:leader="none" w:pos="144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statement as to whether or not, in the opinion of such Person, such condition or covenant has been complied with.</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12.05. Communications by Holders with Other Holders.</w:t>
      </w:r>
    </w:p>
    <w:p>
      <w:pPr>
        <w:spacing w:after="0" w:line="208" w:lineRule="exact"/>
        <w:rPr>
          <w:sz w:val="20"/>
          <w:szCs w:val="20"/>
          <w:color w:val="auto"/>
        </w:rPr>
      </w:pPr>
    </w:p>
    <w:p>
      <w:pPr>
        <w:ind w:right="520" w:firstLine="585"/>
        <w:spacing w:after="0" w:line="288" w:lineRule="auto"/>
        <w:rPr>
          <w:sz w:val="20"/>
          <w:szCs w:val="20"/>
          <w:color w:val="auto"/>
        </w:rPr>
      </w:pPr>
      <w:r>
        <w:rPr>
          <w:rFonts w:ascii="Times New Roman" w:cs="Times New Roman" w:eastAsia="Times New Roman" w:hAnsi="Times New Roman"/>
          <w:sz w:val="16"/>
          <w:szCs w:val="16"/>
          <w:color w:val="auto"/>
        </w:rPr>
        <w:t>Holders may communicate pursuant to TIA § 312(b) with other Holders with respect to their rights under this Indenture or the Securities. The Company, the Trustee, the Registrar and anyone else shall have the protection of TIA § 312(c).</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12.06. Rules by Trustee and Agents.</w:t>
      </w:r>
    </w:p>
    <w:p>
      <w:pPr>
        <w:spacing w:after="0" w:line="208" w:lineRule="exact"/>
        <w:rPr>
          <w:sz w:val="20"/>
          <w:szCs w:val="20"/>
          <w:color w:val="auto"/>
        </w:rPr>
      </w:pPr>
    </w:p>
    <w:p>
      <w:pPr>
        <w:ind w:right="360" w:firstLine="585"/>
        <w:spacing w:after="0" w:line="288" w:lineRule="auto"/>
        <w:rPr>
          <w:sz w:val="20"/>
          <w:szCs w:val="20"/>
          <w:color w:val="auto"/>
        </w:rPr>
      </w:pPr>
      <w:r>
        <w:rPr>
          <w:rFonts w:ascii="Times New Roman" w:cs="Times New Roman" w:eastAsia="Times New Roman" w:hAnsi="Times New Roman"/>
          <w:sz w:val="16"/>
          <w:szCs w:val="16"/>
          <w:color w:val="auto"/>
        </w:rPr>
        <w:t>The Trustee may make reasonable rules for action by or at a meeting of Holders. The Registrar or Paying Agent may make reasonable rules and set reasonable requirements for its functions.</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12.07. No Personal Liability of Directors, Officers, Employees and Stockholders.</w:t>
      </w:r>
    </w:p>
    <w:p>
      <w:pPr>
        <w:spacing w:after="0" w:line="208" w:lineRule="exact"/>
        <w:rPr>
          <w:sz w:val="20"/>
          <w:szCs w:val="20"/>
          <w:color w:val="auto"/>
        </w:rPr>
      </w:pPr>
    </w:p>
    <w:p>
      <w:pPr>
        <w:ind w:right="140" w:firstLine="585"/>
        <w:spacing w:after="0" w:line="265" w:lineRule="auto"/>
        <w:rPr>
          <w:sz w:val="20"/>
          <w:szCs w:val="20"/>
          <w:color w:val="auto"/>
        </w:rPr>
      </w:pPr>
      <w:r>
        <w:rPr>
          <w:rFonts w:ascii="Times New Roman" w:cs="Times New Roman" w:eastAsia="Times New Roman" w:hAnsi="Times New Roman"/>
          <w:sz w:val="16"/>
          <w:szCs w:val="16"/>
          <w:color w:val="auto"/>
        </w:rPr>
        <w:t>No past, present or future director, board member, member, partner, officer, employee or equityholder of the Company, any Guarantor or any of their respective Subsidiaries will have any liability for any of the Company’s or such Guarantor’s obligations under the Securities or this Indenture or for any claim based on, in respect of, or by reason of, such obligations or their creation (other than the Guarantors in respect of their respective Guarantees and the Company in respect of the Securities). Each Holder of Securities by accepting a Security waives and releases all such liability. The waiver and release are part of the consideration for issuance of the Securities.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12.08. Governing Law; Waiver of Jury Trial; Jurisdiction.</w:t>
      </w:r>
    </w:p>
    <w:p>
      <w:pPr>
        <w:spacing w:after="0" w:line="208" w:lineRule="exact"/>
        <w:rPr>
          <w:sz w:val="20"/>
          <w:szCs w:val="20"/>
          <w:color w:val="auto"/>
        </w:rPr>
      </w:pPr>
    </w:p>
    <w:p>
      <w:pPr>
        <w:ind w:right="100" w:firstLine="585"/>
        <w:spacing w:after="0" w:line="265" w:lineRule="auto"/>
        <w:rPr>
          <w:sz w:val="20"/>
          <w:szCs w:val="20"/>
          <w:color w:val="auto"/>
        </w:rPr>
      </w:pPr>
      <w:r>
        <w:rPr>
          <w:rFonts w:ascii="Times New Roman" w:cs="Times New Roman" w:eastAsia="Times New Roman" w:hAnsi="Times New Roman"/>
          <w:sz w:val="16"/>
          <w:szCs w:val="16"/>
          <w:color w:val="auto"/>
        </w:rPr>
        <w:t>THE INTERNAL LAW OF THE STATE OF NEW YORK (INCLUDING, WITHOUT LIMITATION, SECTION 5-1401 OF THE NEW YORK GENERAL OBLIGATIONS LAW OR ANY SUCCESSOR TO SUCH STATUTE) WILL GOVERN AND BE USED TO CONSTRUE THIS INDENTURE, THE SECURITIES AND THE GUARANTEES WITHOUT GIVING EFFECT TO APPLICABLE PRINCIPLES OF CONFLICTS OF LAW TO THE EXTENT THAT THE APPLICATION OF THE LAWS OF ANOTHER JURISDICTION WOULD BE REQUIRED THEREBY.</w:t>
      </w:r>
    </w:p>
    <w:p>
      <w:pPr>
        <w:spacing w:after="0" w:line="162" w:lineRule="exact"/>
        <w:rPr>
          <w:sz w:val="20"/>
          <w:szCs w:val="20"/>
          <w:color w:val="auto"/>
        </w:rPr>
      </w:pPr>
    </w:p>
    <w:p>
      <w:pPr>
        <w:ind w:right="40" w:firstLine="585"/>
        <w:spacing w:after="0" w:line="271" w:lineRule="auto"/>
        <w:rPr>
          <w:sz w:val="20"/>
          <w:szCs w:val="20"/>
          <w:color w:val="auto"/>
        </w:rPr>
      </w:pPr>
      <w:r>
        <w:rPr>
          <w:rFonts w:ascii="Times New Roman" w:cs="Times New Roman" w:eastAsia="Times New Roman" w:hAnsi="Times New Roman"/>
          <w:sz w:val="16"/>
          <w:szCs w:val="16"/>
          <w:color w:val="auto"/>
        </w:rPr>
        <w:t>EACH PARTY HEREBY, AND EACH HOLDER OF A SECURITY BY ITS ACCEPTANCE THEREOF, WAIVES, TO THE FULLEST EXTENT PERMITTED BY APPLICABLE LAW, ANY RIGHT IT MAY HAVE TO A TRIAL BY JURY IN RESPECT OF ANY LITIGATION DIRECTLY OR INDIRECTLY ARISING OUT OF, OR IN CONNECTION WITH THIS INDENTURE.</w:t>
      </w:r>
    </w:p>
    <w:p>
      <w:pPr>
        <w:spacing w:after="0" w:line="156" w:lineRule="exact"/>
        <w:rPr>
          <w:sz w:val="20"/>
          <w:szCs w:val="20"/>
          <w:color w:val="auto"/>
        </w:rPr>
      </w:pPr>
    </w:p>
    <w:p>
      <w:pPr>
        <w:ind w:firstLine="585"/>
        <w:spacing w:after="0" w:line="256" w:lineRule="auto"/>
        <w:rPr>
          <w:sz w:val="20"/>
          <w:szCs w:val="20"/>
          <w:color w:val="auto"/>
        </w:rPr>
      </w:pPr>
      <w:r>
        <w:rPr>
          <w:rFonts w:ascii="Times New Roman" w:cs="Times New Roman" w:eastAsia="Times New Roman" w:hAnsi="Times New Roman"/>
          <w:sz w:val="16"/>
          <w:szCs w:val="16"/>
          <w:color w:val="auto"/>
        </w:rPr>
        <w:t>ANY LEGAL ACTION OR PROCEEDING WITH RESPECT TO THIS INDENTURE AND ANY ACTION FOR ENFORCEMENT OF ANY JUDGMENT IN RESPECT THEREOF MAY BE BROUGHT IN THE COURTS OF THE STATE OF NEW YORK OR OF THE UNITED STATES OF AMERICA FOR THE SOUTHERN DISTRICT OF NEW YORK, IN EACH CASE RESIDING IN THE COUNTY OF NEW YORK, AND, BY EXECUTION AND DELIVERY OF THIS INDENTURE, EACH OF THE PARTIES HERETO HEREBY ACCEPTS FOR ITSELF AND IN RESPECT OF ITS PROPERTY, GENERALLY AND UNCONDITIONALLY, THE NON-EXCLUSIVE JURISDICTION OF THE AFORESAID COURTS AND APPELLATE COURTS FROM ANY THEREOF. THE COMPANY HEREBY IRREVOCABLY CONSENTS TO THE SERVICE OF PROCESS OUT OF ANY OF THE AFOREMENTIONED COURTS IN ANY SUCH ACTION OR PROCEEDING BY THE MAILING OF COPIES THEREOF BY REGISTERED OR CERTIFIED MAIL, POSTAGE PREPAID, TO THE COMPANY AT ITS ADDRESS REFERRED TO IN SECTION 12.02. EACH OF THE PARTIES HERETO HEREBY IRREVOCABLY WAIVES, TO THE FULLEST EXTENT IT MAY DO SO UNDER APPLICABLE LAW, ANY OBJECTION WHICH IT MAY NOW OR HEREAFTER HAVE TO THE LAYING OF VENUE OF ANY OF THE AFORESAID ACTIONS OR PROCEEDINGS ARISING OUT OF OR IN CONNECTION WITH THIS INDENTURE BROUGHT IN THE COURTS REFERRED TO ABOVE AND TO THE FULLEST EXTENT IT MAY DO SO UNDER APPLICABLE LAW HEREBY FURTHER IRREVOCABLY WAIVES AND AGREES NOT TO PLEAD OR CLAIM IN ANY SUCH COURT THAT ANY SUCH ACTION OR PROCEEDING BROUGHT IN ANY SUCH COURT HAS BEEN BROUGHT IN AN INCONVENIENT FORUM. NOTHING HEREIN SHALL AFFECT THE RIGHT OF ANY PARTY HERETO TO SERVE PROCESS IN ANY OTHER MANNER PERMITTED BY LAW OR TO COMMENCE LEGAL PROCEEDINGS OR OTHERWISE PROCEED IN ANY OTHER JURISDICTION.</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1" w:name="page242"/>
    <w:bookmarkEnd w:id="241"/>
    <w:p>
      <w:pPr>
        <w:ind w:left="580"/>
        <w:spacing w:after="0"/>
        <w:rPr>
          <w:sz w:val="20"/>
          <w:szCs w:val="20"/>
          <w:color w:val="auto"/>
        </w:rPr>
      </w:pPr>
      <w:r>
        <w:rPr>
          <w:rFonts w:ascii="Times New Roman" w:cs="Times New Roman" w:eastAsia="Times New Roman" w:hAnsi="Times New Roman"/>
          <w:sz w:val="16"/>
          <w:szCs w:val="16"/>
          <w:i w:val="1"/>
          <w:iCs w:val="1"/>
          <w:color w:val="auto"/>
        </w:rPr>
        <w:t>Section 12.09. No Adverse Interpretation of Other Agreements.</w:t>
      </w:r>
    </w:p>
    <w:p>
      <w:pPr>
        <w:spacing w:after="0" w:line="208" w:lineRule="exact"/>
        <w:rPr>
          <w:sz w:val="20"/>
          <w:szCs w:val="20"/>
          <w:color w:val="auto"/>
        </w:rPr>
      </w:pPr>
    </w:p>
    <w:p>
      <w:pPr>
        <w:ind w:right="500" w:firstLine="585"/>
        <w:spacing w:after="0" w:line="288" w:lineRule="auto"/>
        <w:rPr>
          <w:sz w:val="20"/>
          <w:szCs w:val="20"/>
          <w:color w:val="auto"/>
        </w:rPr>
      </w:pPr>
      <w:r>
        <w:rPr>
          <w:rFonts w:ascii="Times New Roman" w:cs="Times New Roman" w:eastAsia="Times New Roman" w:hAnsi="Times New Roman"/>
          <w:sz w:val="16"/>
          <w:szCs w:val="16"/>
          <w:color w:val="auto"/>
        </w:rPr>
        <w:t>This Indenture may not be used to interpret any other indenture, loan or debt agreement of the Company or its Subsidiaries or of any other Person. Any such indenture, loan or debt agreement may not be used to interpret this Indenture.</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12.10. Successors.</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All agreements of the Company in this Indenture and the Securities will bind its successors. All agreements of the Trustee in this Indenture will bind its successors.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agreements of each Guarantor in this Indenture will bind its successors, except as otherwise provided in Section 10.07.</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12.11. Separability.</w:t>
      </w:r>
    </w:p>
    <w:p>
      <w:pPr>
        <w:spacing w:after="0" w:line="208" w:lineRule="exact"/>
        <w:rPr>
          <w:sz w:val="20"/>
          <w:szCs w:val="20"/>
          <w:color w:val="auto"/>
        </w:rPr>
      </w:pPr>
    </w:p>
    <w:p>
      <w:pPr>
        <w:ind w:right="220" w:firstLine="585"/>
        <w:spacing w:after="0" w:line="288" w:lineRule="auto"/>
        <w:rPr>
          <w:sz w:val="20"/>
          <w:szCs w:val="20"/>
          <w:color w:val="auto"/>
        </w:rPr>
      </w:pPr>
      <w:r>
        <w:rPr>
          <w:rFonts w:ascii="Times New Roman" w:cs="Times New Roman" w:eastAsia="Times New Roman" w:hAnsi="Times New Roman"/>
          <w:sz w:val="16"/>
          <w:szCs w:val="16"/>
          <w:color w:val="auto"/>
        </w:rPr>
        <w:t>In case any provision in this Indenture or in the Securities is invalid, illegal or unenforceable, the validity, legality and enforceability of the remaining provisions will not in any way be affected or impaired thereby.</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12.12. Counterpart Originals.</w:t>
      </w:r>
    </w:p>
    <w:p>
      <w:pPr>
        <w:spacing w:after="0" w:line="208" w:lineRule="exact"/>
        <w:rPr>
          <w:sz w:val="20"/>
          <w:szCs w:val="20"/>
          <w:color w:val="auto"/>
        </w:rPr>
      </w:pPr>
    </w:p>
    <w:p>
      <w:pPr>
        <w:ind w:right="280" w:firstLine="585"/>
        <w:spacing w:after="0" w:line="265" w:lineRule="auto"/>
        <w:rPr>
          <w:sz w:val="20"/>
          <w:szCs w:val="20"/>
          <w:color w:val="auto"/>
        </w:rPr>
      </w:pPr>
      <w:r>
        <w:rPr>
          <w:rFonts w:ascii="Times New Roman" w:cs="Times New Roman" w:eastAsia="Times New Roman" w:hAnsi="Times New Roman"/>
          <w:sz w:val="16"/>
          <w:szCs w:val="16"/>
          <w:color w:val="auto"/>
        </w:rPr>
        <w:t>The parties may sign any number of copies of this Indenture. Each signed copy will be an original, but all of them together represent the same agreement. The exchange of copies of this Indenture and of signature pages by electronic format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“pdf” or “tif”) transmission shall constitute effective execution and delivery of this Indenture as to the parties hereto and may be used in lieu of the original Indenture for all purposes. Signatures of the parties hereto transmitted by electronic format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“pdf” or “tif”) shall be deemed to be their original signatures for all purposes.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12.13. Table of Contents, Headings, etc.</w:t>
      </w:r>
    </w:p>
    <w:p>
      <w:pPr>
        <w:spacing w:after="0" w:line="208" w:lineRule="exact"/>
        <w:rPr>
          <w:sz w:val="20"/>
          <w:szCs w:val="20"/>
          <w:color w:val="auto"/>
        </w:rPr>
      </w:pPr>
    </w:p>
    <w:p>
      <w:pPr>
        <w:ind w:right="20" w:firstLine="585"/>
        <w:spacing w:after="0" w:line="288" w:lineRule="auto"/>
        <w:rPr>
          <w:sz w:val="20"/>
          <w:szCs w:val="20"/>
          <w:color w:val="auto"/>
        </w:rPr>
      </w:pPr>
      <w:r>
        <w:rPr>
          <w:rFonts w:ascii="Times New Roman" w:cs="Times New Roman" w:eastAsia="Times New Roman" w:hAnsi="Times New Roman"/>
          <w:sz w:val="16"/>
          <w:szCs w:val="16"/>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12.14. Benefits of Indenture.</w:t>
      </w:r>
    </w:p>
    <w:p>
      <w:pPr>
        <w:spacing w:after="0" w:line="208" w:lineRule="exact"/>
        <w:rPr>
          <w:sz w:val="20"/>
          <w:szCs w:val="20"/>
          <w:color w:val="auto"/>
        </w:rPr>
      </w:pPr>
    </w:p>
    <w:p>
      <w:pPr>
        <w:ind w:right="60" w:firstLine="585"/>
        <w:spacing w:after="0" w:line="262" w:lineRule="auto"/>
        <w:rPr>
          <w:sz w:val="20"/>
          <w:szCs w:val="20"/>
          <w:color w:val="auto"/>
        </w:rPr>
      </w:pPr>
      <w:r>
        <w:rPr>
          <w:rFonts w:ascii="Times New Roman" w:cs="Times New Roman" w:eastAsia="Times New Roman" w:hAnsi="Times New Roman"/>
          <w:sz w:val="16"/>
          <w:szCs w:val="16"/>
          <w:color w:val="auto"/>
        </w:rPr>
        <w:t>Nothing in this Indenture expressed and nothing that may be implied from any of the provisions hereof is intended, or shall be construed, to confer upon, or to give to, any Person other than the parties hereto and their successors and the holders of Senior Indebtedness, the holders of Subordinated Indebtedness and the Holders of the Securities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the holders of Senior Indebtedness, the holders of Subordinated Indebtedness and the Holders of the Securities.</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12.15. Electronic Delivery.</w:t>
      </w:r>
    </w:p>
    <w:p>
      <w:pPr>
        <w:spacing w:after="0" w:line="208" w:lineRule="exact"/>
        <w:rPr>
          <w:sz w:val="20"/>
          <w:szCs w:val="20"/>
          <w:color w:val="auto"/>
        </w:rPr>
      </w:pPr>
    </w:p>
    <w:p>
      <w:pPr>
        <w:ind w:firstLine="585"/>
        <w:spacing w:after="0" w:line="259" w:lineRule="auto"/>
        <w:rPr>
          <w:sz w:val="20"/>
          <w:szCs w:val="20"/>
          <w:color w:val="auto"/>
        </w:rPr>
      </w:pPr>
      <w:r>
        <w:rPr>
          <w:rFonts w:ascii="Times New Roman" w:cs="Times New Roman" w:eastAsia="Times New Roman" w:hAnsi="Times New Roman"/>
          <w:sz w:val="16"/>
          <w:szCs w:val="16"/>
          <w:color w:val="auto"/>
        </w:rPr>
        <w:t>The parties acknowledge and agree that they may execute this Indenture, and any variation or amendment to the same, and all documents required to be delivered in connection with this Indenture, by electronic instrument. The parties agree that the electronic signatures appearing on this Indenture and on all documents required to be delivered in connection with this Indenture shall have the same effect as handwritten signatures and the use of an electronic signature on this Indenture and on all documents required to be delivered in connection with this Indenture shall have the same validity and legal effect as the use of a signature affixed by hand and is made with the intention of authenticating this Indenture and on all documents required to be delivered in connection with this Indenture, and evidencing the parties’ intention to be bound by the terms and conditions contained herein. For the purposes of using an electronic signature, the parties authorize each other to the lawful processing of personal data of the signers for contract performance and their legitimate interests including contract management.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2" w:name="page243"/>
    <w:bookmarkEnd w:id="242"/>
    <w:p>
      <w:pPr>
        <w:ind w:left="583"/>
        <w:spacing w:after="0"/>
        <w:rPr>
          <w:sz w:val="20"/>
          <w:szCs w:val="20"/>
          <w:color w:val="auto"/>
        </w:rPr>
      </w:pPr>
      <w:r>
        <w:rPr>
          <w:rFonts w:ascii="Times New Roman" w:cs="Times New Roman" w:eastAsia="Times New Roman" w:hAnsi="Times New Roman"/>
          <w:sz w:val="16"/>
          <w:szCs w:val="16"/>
          <w:i w:val="1"/>
          <w:iCs w:val="1"/>
          <w:color w:val="auto"/>
        </w:rPr>
        <w:t>Section 12.16. Office of Foreign Assets Control Sanctions Representations.</w:t>
      </w:r>
    </w:p>
    <w:p>
      <w:pPr>
        <w:spacing w:after="0" w:line="208" w:lineRule="exact"/>
        <w:rPr>
          <w:sz w:val="20"/>
          <w:szCs w:val="20"/>
          <w:color w:val="auto"/>
        </w:rPr>
      </w:pPr>
    </w:p>
    <w:p>
      <w:pPr>
        <w:jc w:val="both"/>
        <w:ind w:left="3" w:right="200" w:firstLine="582"/>
        <w:spacing w:after="0" w:line="271" w:lineRule="auto"/>
        <w:tabs>
          <w:tab w:leader="none" w:pos="1092" w:val="left"/>
        </w:tabs>
        <w:numPr>
          <w:ilvl w:val="1"/>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represents that neither it nor any of its affiliates, subsidiaries, directors or officers are the target or subject of any sanctions enforced by the U.S. government (including, without limitation, the Office of Foreign Assets Control of the U.S. Department of the Treasury or the U.S. Department of State), the United Nations Security Council, the European Union, His Majesty’s Treasury, or other relevant sanctions authority (collectively “</w:t>
      </w:r>
      <w:r>
        <w:rPr>
          <w:rFonts w:ascii="Times New Roman" w:cs="Times New Roman" w:eastAsia="Times New Roman" w:hAnsi="Times New Roman"/>
          <w:sz w:val="16"/>
          <w:szCs w:val="16"/>
          <w:i w:val="1"/>
          <w:iCs w:val="1"/>
          <w:color w:val="auto"/>
        </w:rPr>
        <w:t>Sanctions</w:t>
      </w:r>
      <w:r>
        <w:rPr>
          <w:rFonts w:ascii="Times New Roman" w:cs="Times New Roman" w:eastAsia="Times New Roman" w:hAnsi="Times New Roman"/>
          <w:sz w:val="16"/>
          <w:szCs w:val="16"/>
          <w:color w:val="auto"/>
        </w:rPr>
        <w:t>”);</w:t>
      </w:r>
    </w:p>
    <w:p>
      <w:pPr>
        <w:spacing w:after="0" w:line="156" w:lineRule="exact"/>
        <w:rPr>
          <w:rFonts w:ascii="Times New Roman" w:cs="Times New Roman" w:eastAsia="Times New Roman" w:hAnsi="Times New Roman"/>
          <w:sz w:val="16"/>
          <w:szCs w:val="16"/>
          <w:color w:val="auto"/>
        </w:rPr>
      </w:pPr>
    </w:p>
    <w:p>
      <w:pPr>
        <w:ind w:left="3" w:right="60" w:firstLine="582"/>
        <w:spacing w:after="0" w:line="264" w:lineRule="auto"/>
        <w:tabs>
          <w:tab w:leader="none" w:pos="1101" w:val="left"/>
        </w:tabs>
        <w:numPr>
          <w:ilvl w:val="1"/>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covenants that neither it nor any of its affiliates, subsidiaries, directors or officers will directly or indirectly use any payments made pursuant to this agreement, (i) to fund or facilitate any activities of or business with any person who, at the time of such funding or facilitation, is the subject or target of Sanctions,</w:t>
      </w:r>
    </w:p>
    <w:p>
      <w:pPr>
        <w:ind w:left="3" w:right="320" w:hanging="3"/>
        <w:spacing w:after="0" w:line="268" w:lineRule="auto"/>
        <w:tabs>
          <w:tab w:leader="none" w:pos="242"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fund or facilitate any activities of or business with any country or territory that is the target or subject of Sanctions, or (iii) in any other manner that will result in a violation of Sanctions by any person.</w:t>
      </w:r>
    </w:p>
    <w:p>
      <w:pPr>
        <w:spacing w:after="0" w:line="156"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i w:val="1"/>
          <w:iCs w:val="1"/>
          <w:color w:val="auto"/>
        </w:rPr>
        <w:t>Section 12.17. Foreign Account Tax Compliance Act (FACTA).</w:t>
      </w:r>
    </w:p>
    <w:p>
      <w:pPr>
        <w:spacing w:after="0" w:line="208" w:lineRule="exact"/>
        <w:rPr>
          <w:sz w:val="20"/>
          <w:szCs w:val="20"/>
          <w:color w:val="auto"/>
        </w:rPr>
      </w:pPr>
    </w:p>
    <w:p>
      <w:pPr>
        <w:ind w:left="3" w:right="20" w:firstLine="585"/>
        <w:spacing w:after="0" w:line="259" w:lineRule="auto"/>
        <w:rPr>
          <w:sz w:val="20"/>
          <w:szCs w:val="20"/>
          <w:color w:val="auto"/>
        </w:rPr>
      </w:pPr>
      <w:r>
        <w:rPr>
          <w:rFonts w:ascii="Times New Roman" w:cs="Times New Roman" w:eastAsia="Times New Roman" w:hAnsi="Times New Roman"/>
          <w:sz w:val="16"/>
          <w:szCs w:val="16"/>
          <w:color w:val="auto"/>
        </w:rPr>
        <w:t>In order to comply with applicable tax laws, rules and regulations (inclusive of directives, guidelines and interpretations promulgated by competent authorities) in effect from time to time (“</w:t>
      </w:r>
      <w:r>
        <w:rPr>
          <w:rFonts w:ascii="Times New Roman" w:cs="Times New Roman" w:eastAsia="Times New Roman" w:hAnsi="Times New Roman"/>
          <w:sz w:val="16"/>
          <w:szCs w:val="16"/>
          <w:i w:val="1"/>
          <w:iCs w:val="1"/>
          <w:color w:val="auto"/>
        </w:rPr>
        <w:t>Applicable Law</w:t>
      </w:r>
      <w:r>
        <w:rPr>
          <w:rFonts w:ascii="Times New Roman" w:cs="Times New Roman" w:eastAsia="Times New Roman" w:hAnsi="Times New Roman"/>
          <w:sz w:val="16"/>
          <w:szCs w:val="16"/>
          <w:color w:val="auto"/>
        </w:rPr>
        <w:t>”), the Company agrees (i) to provide to The Bank of New York Mellon sufficient information about Holders or other applicable parties and/or transactions (including any modification to the terms of such transactions), to the extent such information is directly available to the Company, so The Bank of New York Mellon can determine whether it has tax-related obligations under Applicable Law, (ii) that The Bank of New York Mellon shall be entitled to make any withholding or deduction from payments under the Indenture to the extent necessary to comply with Applicable Law for which The Bank of New York Mellon shall not have any liability, and (iii) to hold harmless The Bank of New York Mellon for any losses it may suffer due to the actions it takes to comply with such Applicable Law. The terms of this section shall survive the termination of this Indenture.</w:t>
      </w:r>
    </w:p>
    <w:p>
      <w:pPr>
        <w:spacing w:after="0" w:line="16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ARTICLE XIII</w:t>
      </w:r>
    </w:p>
    <w:p>
      <w:pPr>
        <w:spacing w:after="0" w:line="2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SUBORDINATION OF SECURITIES</w:t>
      </w:r>
    </w:p>
    <w:p>
      <w:pPr>
        <w:spacing w:after="0" w:line="188"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i w:val="1"/>
          <w:iCs w:val="1"/>
          <w:color w:val="auto"/>
        </w:rPr>
        <w:t>Section 13.01. Applicability of Article</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left="3" w:right="240" w:firstLine="585"/>
        <w:spacing w:after="0" w:line="288" w:lineRule="auto"/>
        <w:rPr>
          <w:sz w:val="20"/>
          <w:szCs w:val="20"/>
          <w:color w:val="auto"/>
        </w:rPr>
      </w:pPr>
      <w:r>
        <w:rPr>
          <w:rFonts w:ascii="Times New Roman" w:cs="Times New Roman" w:eastAsia="Times New Roman" w:hAnsi="Times New Roman"/>
          <w:sz w:val="16"/>
          <w:szCs w:val="16"/>
          <w:color w:val="auto"/>
        </w:rPr>
        <w:t>Unless otherwise provided with respect to the Securities of any series in or pursuant to the Company Order or supplemental indenture establishing such series of Securities pursuant to Section 2.02, the provisions of this Article XIII shall be applicable to each series of Securities.</w:t>
      </w:r>
    </w:p>
    <w:p>
      <w:pPr>
        <w:spacing w:after="0" w:line="141"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i w:val="1"/>
          <w:iCs w:val="1"/>
          <w:color w:val="auto"/>
        </w:rPr>
        <w:t>Section 13.02. Securities Subordinate to Senior Indebtedness and Subordinated Indebtedness</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left="3" w:firstLine="585"/>
        <w:spacing w:after="0" w:line="265" w:lineRule="auto"/>
        <w:rPr>
          <w:sz w:val="20"/>
          <w:szCs w:val="20"/>
          <w:color w:val="auto"/>
        </w:rPr>
      </w:pPr>
      <w:r>
        <w:rPr>
          <w:rFonts w:ascii="Times New Roman" w:cs="Times New Roman" w:eastAsia="Times New Roman" w:hAnsi="Times New Roman"/>
          <w:sz w:val="16"/>
          <w:szCs w:val="16"/>
          <w:color w:val="auto"/>
        </w:rPr>
        <w:t>The Company covenants and agrees, and each Holder of a Security, by his acceptance thereof, likewise covenants and agrees, that, to the extent and in the manner hereinafter set forth in this Article XIII, the payment of the principal of, premium, if any, or interest or any additional amounts on each and all of the Securities of such series is hereby expressly made subordinate and subject in right of payment to the prior payment in full of all Senior Indebtedness and Subordinated Indebtedness of the Company. No provisions of this Article XIII shall prevent the occurrence of any Event of Default.</w:t>
      </w:r>
    </w:p>
    <w:p>
      <w:pPr>
        <w:spacing w:after="0" w:line="160"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i w:val="1"/>
          <w:iCs w:val="1"/>
          <w:color w:val="auto"/>
        </w:rPr>
        <w:t>Section 13.03. Payment Over of Proceeds Upon Dissolution, Etc</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left="3" w:firstLine="585"/>
        <w:spacing w:after="0" w:line="256" w:lineRule="auto"/>
        <w:rPr>
          <w:sz w:val="20"/>
          <w:szCs w:val="20"/>
          <w:color w:val="auto"/>
        </w:rPr>
      </w:pPr>
      <w:r>
        <w:rPr>
          <w:rFonts w:ascii="Times New Roman" w:cs="Times New Roman" w:eastAsia="Times New Roman" w:hAnsi="Times New Roman"/>
          <w:sz w:val="16"/>
          <w:szCs w:val="16"/>
          <w:color w:val="auto"/>
        </w:rPr>
        <w:t>In the event of (a) any insolvency or bankruptcy case or proceeding, or any receivership, liquidation, reorganization or other similar case or proceeding in connection therewith, relative to the Company or to its creditors, as such, or to its assets, or (b) any liquidation, dissolution or other winding up of the Company, whether voluntary or involuntary and whether or not involving insolvency or bankruptcy, or (c) any assignment for the benefit of creditors or any other marshalling of assets and liabilities of the Company, then and in any such event specified in (a), (b) or (c) above (each such event, if any, herein sometimes referred to as a “</w:t>
      </w:r>
      <w:r>
        <w:rPr>
          <w:rFonts w:ascii="Times New Roman" w:cs="Times New Roman" w:eastAsia="Times New Roman" w:hAnsi="Times New Roman"/>
          <w:sz w:val="16"/>
          <w:szCs w:val="16"/>
          <w:i w:val="1"/>
          <w:iCs w:val="1"/>
          <w:color w:val="auto"/>
        </w:rPr>
        <w:t>Proceeding</w:t>
      </w:r>
      <w:r>
        <w:rPr>
          <w:rFonts w:ascii="Times New Roman" w:cs="Times New Roman" w:eastAsia="Times New Roman" w:hAnsi="Times New Roman"/>
          <w:sz w:val="16"/>
          <w:szCs w:val="16"/>
          <w:color w:val="auto"/>
        </w:rPr>
        <w:t>”), the holders of Senior Indebtedness and Subordinated Indebtedness of the Company shall be entitled to receive payment in full of all amounts due or to become due on or in respect of all Senior Indebtedness and Subordinated Indebtedness of the Company, or provision shall be made for such payment in cash or cash equivalents or otherwise in a manner satisfactory to the holders of Senior Indebtedness and Subordinated Indebtedness of the Company, before the Holders of the Securities are entitled to receive any payment or distribution of any kind or character, whether in cash, property or securities (including any payment or distribution which may be payable or deliverable by reason of the payment of any other Indebtedness of the Company subordinated to the payment of the Securities), on account of principal of, premium, if any or interest or any additional amounts on the Securities or on account of any purchase or other acquisition of Securities by the Company or any Subsidiary of the Company (all such payments, distributions, purchases and acquisitions, other than the payment or distribution of stock or securities of the Company referred to in the second succeeding paragraph, herein referred to, individually and collectively, as a “</w:t>
      </w:r>
      <w:r>
        <w:rPr>
          <w:rFonts w:ascii="Times New Roman" w:cs="Times New Roman" w:eastAsia="Times New Roman" w:hAnsi="Times New Roman"/>
          <w:sz w:val="16"/>
          <w:szCs w:val="16"/>
          <w:i w:val="1"/>
          <w:iCs w:val="1"/>
          <w:color w:val="auto"/>
        </w:rPr>
        <w:t>Securities Payment</w:t>
      </w:r>
      <w:r>
        <w:rPr>
          <w:rFonts w:ascii="Times New Roman" w:cs="Times New Roman" w:eastAsia="Times New Roman" w:hAnsi="Times New Roman"/>
          <w:sz w:val="16"/>
          <w:szCs w:val="16"/>
          <w:color w:val="auto"/>
        </w:rPr>
        <w:t>”), and to that end the holders of Senior Indebtedness and Subordinated Indebtedness of the Company shall be entitled to receive, for application to the payment thereof, any Securities Payment which may be payable or deliverable in respect of the Securities in any such Proceeding.</w:t>
      </w:r>
    </w:p>
    <w:p>
      <w:pPr>
        <w:spacing w:after="0" w:line="200" w:lineRule="exact"/>
        <w:rPr>
          <w:sz w:val="20"/>
          <w:szCs w:val="20"/>
          <w:color w:val="auto"/>
        </w:rPr>
      </w:pPr>
    </w:p>
    <w:p>
      <w:pPr>
        <w:spacing w:after="0" w:line="32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3"/>
          </w:cols>
          <w:pgMar w:left="317" w:top="121" w:right="339" w:bottom="1440" w:gutter="0" w:footer="0" w:header="0"/>
        </w:sectPr>
      </w:pPr>
    </w:p>
    <w:bookmarkStart w:id="243" w:name="page244"/>
    <w:bookmarkEnd w:id="243"/>
    <w:p>
      <w:pPr>
        <w:ind w:right="20" w:firstLine="585"/>
        <w:spacing w:after="0" w:line="259" w:lineRule="auto"/>
        <w:rPr>
          <w:sz w:val="20"/>
          <w:szCs w:val="20"/>
          <w:color w:val="auto"/>
        </w:rPr>
      </w:pPr>
      <w:r>
        <w:rPr>
          <w:rFonts w:ascii="Times New Roman" w:cs="Times New Roman" w:eastAsia="Times New Roman" w:hAnsi="Times New Roman"/>
          <w:sz w:val="16"/>
          <w:szCs w:val="16"/>
          <w:color w:val="auto"/>
        </w:rPr>
        <w:t>In the event that, notwithstanding the foregoing provisions of this Section 13.03, the Trustee or the Holder of any Security shall have received any Securities Payment before all Senior Indebtedness and Subordinated Indebtedness of the Company is paid in full or payment thereof provided for in cash or cash equivalents or otherwise in a manner satisfactory to the holders of Senior Indebtedness and Subordinated Indebtedness of the Company, and if such fact shall, at or prior to the time of such Securities Payment, have been made known to the Trustee or, as the case may be, such Holder, then and in such event such Securities Payment shall be paid over or delivered forthwith to the trustee in bankruptcy, receiver, liquidating trustee, custodian, assignee, agent or other Person making payment or distribution of assets of the Company for application to the payment of all Senior Indebtedness and Subordinated Indebtedness of the Company remaining unpaid, to the extent necessary to pay all Senior Indebtedness and Subordinated Indebtedness of the Company in full, after giving effect to any concurrent payment or distribution to or for the holders of Senior Indebtedness and Subordinated Indebtedness of the Company.</w:t>
      </w:r>
    </w:p>
    <w:p>
      <w:pPr>
        <w:spacing w:after="0" w:line="165" w:lineRule="exact"/>
        <w:rPr>
          <w:sz w:val="20"/>
          <w:szCs w:val="20"/>
          <w:color w:val="auto"/>
        </w:rPr>
      </w:pPr>
    </w:p>
    <w:p>
      <w:pPr>
        <w:ind w:firstLine="585"/>
        <w:spacing w:after="0" w:line="258" w:lineRule="auto"/>
        <w:rPr>
          <w:sz w:val="20"/>
          <w:szCs w:val="20"/>
          <w:color w:val="auto"/>
        </w:rPr>
      </w:pPr>
      <w:r>
        <w:rPr>
          <w:rFonts w:ascii="Times New Roman" w:cs="Times New Roman" w:eastAsia="Times New Roman" w:hAnsi="Times New Roman"/>
          <w:sz w:val="16"/>
          <w:szCs w:val="16"/>
          <w:color w:val="auto"/>
        </w:rPr>
        <w:t>For purposes of this Article XIII only, the words “any payment or distribution of any kind or character, whether in cash, property or securities” shall not be deemed to include a payment or distribution of stock or securities of the Company provided for by a plan of reorganization or readjustment authorized by an order or decree of a court of competent jurisdiction in a reorganization proceeding under any applicable bankruptcy law or of any other corporation provided for by such plan of reorganization or readjustment which stock or securities are subordinated in right of payment to all then outstanding Senior Indebtedness and Subordinated Indebtedness of the Company to substantially the same extent as the Securities are so subordinated as provided in this Article XIII. The consolidation of the Company with, or the merger of the Company into, another Person or the liquidation or dissolution of the Company following the conveyance or other disposition of all or substantially all of its assets to another Person upon the terms and conditions set forth in Article V shall not be deemed a Proceeding for the purposes of this Section 13.03 if the Person formed by such consolidation or into which the Company is merged or the Person that acquires by conveyance or other disposition such assets, as the case may be, shall, as a part of such consolidation, merger, amalgamation, sale or conveyance, comply with the conditions set forth in Article V.</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13.04. No Payment When Senior Indebtedness or Subordinated Indebtedness of the Company in Default</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right="60" w:firstLine="585"/>
        <w:spacing w:after="0" w:line="261" w:lineRule="auto"/>
        <w:rPr>
          <w:sz w:val="20"/>
          <w:szCs w:val="20"/>
          <w:color w:val="auto"/>
        </w:rPr>
      </w:pPr>
      <w:r>
        <w:rPr>
          <w:rFonts w:ascii="Times New Roman" w:cs="Times New Roman" w:eastAsia="Times New Roman" w:hAnsi="Times New Roman"/>
          <w:sz w:val="16"/>
          <w:szCs w:val="16"/>
          <w:color w:val="auto"/>
        </w:rPr>
        <w:t xml:space="preserve">In the event that any Senior Payment Default or Subordinated Payment Default shall have occurred and be continuing, then no Securities Payment shall be made unless and until such Senior Payment Default or Subordinated Payment Default shall have been cured or waived or shall have ceased to exist or all amounts then due and payable in respect of Senior Indebtedness or Subordinated Indebtedness of the Company shall have been paid in full, or provision shall have been made for such payment in cash or cash equivalents or otherwise in a manner satisfactory to the holders of Senior Indebtedness or Subordinated Indebtedness of the Company;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nothing in this Section 13.04 shall prevent the satisfaction of any sinking fund payment in accordance with Article XIII by delivering and crediting pursuant to Article XI Securities which have been acquired (upon redemption or otherwise) prior to such Senior Payment Default or Subordinated Payment Default.</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4" w:name="page245"/>
    <w:bookmarkEnd w:id="244"/>
    <w:p>
      <w:pPr>
        <w:ind w:right="20" w:firstLine="585"/>
        <w:spacing w:after="0" w:line="256" w:lineRule="auto"/>
        <w:rPr>
          <w:sz w:val="20"/>
          <w:szCs w:val="20"/>
          <w:color w:val="auto"/>
        </w:rPr>
      </w:pPr>
      <w:r>
        <w:rPr>
          <w:rFonts w:ascii="Times New Roman" w:cs="Times New Roman" w:eastAsia="Times New Roman" w:hAnsi="Times New Roman"/>
          <w:sz w:val="16"/>
          <w:szCs w:val="16"/>
          <w:color w:val="auto"/>
        </w:rPr>
        <w:t>In the event that any Senior Nonmonetary Default or Subordinated Nonmonetary Default shall have occurred and be continuing, then, upon the receipt by the Company and the Trustee of written notice of such Senior Nonmonetary Default or Subordinated Nonmonetary Default from a Representative for the Senior Indebtedness or Subordinated Indebtedness which is the subject of such Senior Nonmonetary Default or Subordinated Nonmonetary Default, as applicable, no Securities Payment shall be made during the period (the “</w:t>
      </w:r>
      <w:r>
        <w:rPr>
          <w:rFonts w:ascii="Times New Roman" w:cs="Times New Roman" w:eastAsia="Times New Roman" w:hAnsi="Times New Roman"/>
          <w:sz w:val="16"/>
          <w:szCs w:val="16"/>
          <w:i w:val="1"/>
          <w:iCs w:val="1"/>
          <w:color w:val="auto"/>
        </w:rPr>
        <w:t>Payment Blockage Period</w:t>
      </w:r>
      <w:r>
        <w:rPr>
          <w:rFonts w:ascii="Times New Roman" w:cs="Times New Roman" w:eastAsia="Times New Roman" w:hAnsi="Times New Roman"/>
          <w:sz w:val="16"/>
          <w:szCs w:val="16"/>
          <w:color w:val="auto"/>
        </w:rPr>
        <w:t xml:space="preserve">”) commencing on the date of such receipt of such written notice and ending on the earlier of (i) the date on which such Senior Nonmonetary Default or Subordinated Nonmonetary Default shall have been cured or waived or shall have ceased to exist or all Senior Indebtedness or Subordinated Indebtedness that is the subject of such Senior Nonmonetary Default or Subordinated Nonmonetary Default, as applicable, shall have been discharged; or (ii) the date on which the Payment Blockage Period shall have been terminated by written notice to the Company or the Trustee from a Representative for the Senior Indebtedness or Subordinated Indebtedness initiating the Payment Blockage Period;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nothing in this Section 13.04 shall prevent the satisfaction of any sinking fund payment in accordance with Article 11 by delivering and crediting pursuant to Section 11.02 Securities which have been acquired (upon redemption or otherwise) prior to the date of such receipt of such written notice. As used herein, “</w:t>
      </w:r>
      <w:r>
        <w:rPr>
          <w:rFonts w:ascii="Times New Roman" w:cs="Times New Roman" w:eastAsia="Times New Roman" w:hAnsi="Times New Roman"/>
          <w:sz w:val="16"/>
          <w:szCs w:val="16"/>
          <w:i w:val="1"/>
          <w:iCs w:val="1"/>
          <w:color w:val="auto"/>
        </w:rPr>
        <w:t>Representative</w:t>
      </w:r>
      <w:r>
        <w:rPr>
          <w:rFonts w:ascii="Times New Roman" w:cs="Times New Roman" w:eastAsia="Times New Roman" w:hAnsi="Times New Roman"/>
          <w:sz w:val="16"/>
          <w:szCs w:val="16"/>
          <w:color w:val="auto"/>
        </w:rPr>
        <w:t>” means (i) the indenture trustee or other trustee, agent or representative for holders of Senior Indebtedness or Subordinated Indebtedness or (ii) with respect to any Senior Indebtedness or Subordinated Indebtedness that does not have any such trustee, agent or other representative, (a) in the case of such Senior Indebtedness or Subordinated Indebtedness issued pursuant to an agreement providing for voting arrangements as among the holders or owners of such Senior Indebtedness or Subordinated Indebtedness, any holder or owner of such Senior Indebtedness or Subordinated Indebtedness acting with the consent of the required persons necessary to bind such holders or owners of such Senior Indebtedness or Subordinated Indebtedness and (b) in the case of all other such Senior Indebtedness or Subordinated Indebtedness, the holder or owner of such Senior Indebtedness or Subordinated Indebtedness.</w:t>
      </w:r>
    </w:p>
    <w:p>
      <w:pPr>
        <w:spacing w:after="0" w:line="174" w:lineRule="exact"/>
        <w:rPr>
          <w:sz w:val="20"/>
          <w:szCs w:val="20"/>
          <w:color w:val="auto"/>
        </w:rPr>
      </w:pPr>
    </w:p>
    <w:p>
      <w:pPr>
        <w:ind w:right="120" w:firstLine="585"/>
        <w:spacing w:after="0" w:line="271" w:lineRule="auto"/>
        <w:rPr>
          <w:sz w:val="20"/>
          <w:szCs w:val="20"/>
          <w:color w:val="auto"/>
        </w:rPr>
      </w:pPr>
      <w:r>
        <w:rPr>
          <w:rFonts w:ascii="Times New Roman" w:cs="Times New Roman" w:eastAsia="Times New Roman" w:hAnsi="Times New Roman"/>
          <w:sz w:val="16"/>
          <w:szCs w:val="16"/>
          <w:color w:val="auto"/>
        </w:rPr>
        <w:t>In the event that, notwithstanding the foregoing, the Company shall make any Securities Payment to the Trustee or any Holder prohibited by the foregoing provisions of this Section 13.04, and if such fact shall, at or prior to the time of such Securities Payment, have been made known to the Trustee or, as the case may be, such Holder, then and in such event such Securities Payment shall be paid over and delivered forthwith to the Company.</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provisions of this Section 13.04 shall not apply to any Securities Payment with respect to which Section 13.03 would be applicable.</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13.05. Payment Permitted if No Default</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firstLine="585"/>
        <w:spacing w:after="0" w:line="265" w:lineRule="auto"/>
        <w:rPr>
          <w:sz w:val="20"/>
          <w:szCs w:val="20"/>
          <w:color w:val="auto"/>
        </w:rPr>
      </w:pPr>
      <w:r>
        <w:rPr>
          <w:rFonts w:ascii="Times New Roman" w:cs="Times New Roman" w:eastAsia="Times New Roman" w:hAnsi="Times New Roman"/>
          <w:sz w:val="16"/>
          <w:szCs w:val="16"/>
          <w:color w:val="auto"/>
        </w:rPr>
        <w:t>Nothing contained in this Article XIII or elsewhere in this Indenture or in any of the Securities shall prevent (a) the Company, at any time except during the pendency of any Proceeding referred to in Section 13.03 or under the conditions described in Section 13.04, from making Securities Payments, or (b) the application by the Trustee of any money deposited with it hereunder to Securities Payments or the retention of such Securities Payment by the Holders, if, at the time of such application by the Trustee, it did not have knowledge that such Securities Payment would have been prohibited by the provisions of this Article XIII.</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13.06. Subrogation to Rights of Holders of Senior Indebtedness and Subordinated Indebtedness of the Company</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right="20" w:firstLine="585"/>
        <w:spacing w:after="0" w:line="258" w:lineRule="auto"/>
        <w:rPr>
          <w:sz w:val="20"/>
          <w:szCs w:val="20"/>
          <w:color w:val="auto"/>
        </w:rPr>
      </w:pPr>
      <w:r>
        <w:rPr>
          <w:rFonts w:ascii="Times New Roman" w:cs="Times New Roman" w:eastAsia="Times New Roman" w:hAnsi="Times New Roman"/>
          <w:sz w:val="16"/>
          <w:szCs w:val="16"/>
          <w:color w:val="auto"/>
        </w:rPr>
        <w:t>Subject to the payment in full of all amounts due or to become due on or in respect of Senior Indebtedness and Subordinated Indebtedness of the Company, or the provision for such payment in cash or cash equivalents or otherwise in a manner satisfactory to the holders of Senior Indebtedness and Subordinated Indebtedness of the Company, the Holders of the Securities shall be subrogated to the rights of the holders of such Senior Indebtedness and Subordinated Indebtedness of the Company to receive payments and distributions of cash, property and securities applicable to Senior Indebtedness and Subordinated Indebtedness of the Company until the principal of, premium, if any, and interest and any additional amounts on the Securities shall be paid in full. For purposes of such subrogation, no payments or distributions to the holders of Senior Indebtedness and Subordinated Indebtedness of the Company of any cash, property or securities to which the Holders of the Securities or the Trustee would be entitled except for the provisions of this Article XIII, and no payments over pursuant to the provisions of this Article XIII to the holders of Senior Indebtedness and Subordinated Indebtedness of the Company by Holders of the Securities or the Trustee, shall, as among the Company, its creditors other than holders of Senior Indebtedness and Subordinated Indebtedness of the Company and the Holders of the Securities, be deemed to be a payment or distribution by the Company to or on account of Senior Indebtedness or Subordinated Indebtedness of the Company.</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13.07. Provisions Solely to Define Relative Rights</w:t>
      </w:r>
      <w:r>
        <w:rPr>
          <w:rFonts w:ascii="Times New Roman" w:cs="Times New Roman" w:eastAsia="Times New Roman" w:hAnsi="Times New Roman"/>
          <w:sz w:val="16"/>
          <w:szCs w:val="16"/>
          <w:color w:val="auto"/>
        </w:rPr>
        <w: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5" w:name="page246"/>
    <w:bookmarkEnd w:id="245"/>
    <w:p>
      <w:pPr>
        <w:ind w:right="20" w:firstLine="585"/>
        <w:spacing w:after="0" w:line="258" w:lineRule="auto"/>
        <w:rPr>
          <w:sz w:val="20"/>
          <w:szCs w:val="20"/>
          <w:color w:val="auto"/>
        </w:rPr>
      </w:pPr>
      <w:r>
        <w:rPr>
          <w:rFonts w:ascii="Times New Roman" w:cs="Times New Roman" w:eastAsia="Times New Roman" w:hAnsi="Times New Roman"/>
          <w:sz w:val="16"/>
          <w:szCs w:val="16"/>
          <w:color w:val="auto"/>
        </w:rPr>
        <w:t>The provisions of this Article XIII are and are intended solely for the purpose of defining the relative rights of the Holders, on the one hand, and the holders of Senior Indebtedness and Subordinated Indebtedness of the Company, on the other hand. Nothing contained in this Article XIII or elsewhere in this Indenture or in the Securities is intended to or shall (a) impair, as among the Company, its creditors other than holders of Senior Indebtedness and Subordinated Indebtedness of the Company and the Holders of the Securities, the obligation of the Company, which is absolute and unconditional (and which, subject to the rights under this Article XIII of the holders of Senior Indebtedness and Subordinated Indebtedness of the Company, is intended to rank equally with all other general obligations of the Company), to pay to the Holders of the Securities the principal of, premium, if any, and interest and any additional amounts on the Securities as and when the same shall become due and payable in accordance with their terms; or (b) affect the relative rights against the Company of the Holders of the Securities and creditors of the Company other than the holders of Senior Indebtedness and Subordinated Indebtedness of the Company; or (c) prevent the Trustee or the Holder of any Security from exercising all remedies otherwise permitted by applicable law upon default under this Indenture, subject to the rights, if any, under this Article XIII of the holders of Senior Indebtedness and Subordinated Indebtedness of the Company to receive cash, property and securities otherwise payable or deliverable to the Trustee or such Holder.</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13.08. Trustee to Effectuate Subordination</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right="440" w:firstLine="585"/>
        <w:spacing w:after="0" w:line="288" w:lineRule="auto"/>
        <w:rPr>
          <w:sz w:val="20"/>
          <w:szCs w:val="20"/>
          <w:color w:val="auto"/>
        </w:rPr>
      </w:pPr>
      <w:r>
        <w:rPr>
          <w:rFonts w:ascii="Times New Roman" w:cs="Times New Roman" w:eastAsia="Times New Roman" w:hAnsi="Times New Roman"/>
          <w:sz w:val="16"/>
          <w:szCs w:val="16"/>
          <w:color w:val="auto"/>
        </w:rPr>
        <w:t>Each Holder of a Security by his acceptance thereof authorizes and directs the Trustee on his behalf to take such action as may be necessary or appropriate to effectuate the subordination provided in this Article XIII and appoints the Trustee his attorney-in-fact for any and all such purposes.</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13.09. No Waiver of Subordination Provisions</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firstLine="585"/>
        <w:spacing w:after="0" w:line="265" w:lineRule="auto"/>
        <w:rPr>
          <w:sz w:val="20"/>
          <w:szCs w:val="20"/>
          <w:color w:val="auto"/>
        </w:rPr>
      </w:pPr>
      <w:r>
        <w:rPr>
          <w:rFonts w:ascii="Times New Roman" w:cs="Times New Roman" w:eastAsia="Times New Roman" w:hAnsi="Times New Roman"/>
          <w:sz w:val="16"/>
          <w:szCs w:val="16"/>
          <w:color w:val="auto"/>
        </w:rPr>
        <w:t>No right of any present or future holder of any Senior Indebtedness or Subordinated Indebtedness of the Company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any such holder may have or be otherwise charged with.</w:t>
      </w:r>
    </w:p>
    <w:p>
      <w:pPr>
        <w:spacing w:after="0" w:line="162" w:lineRule="exact"/>
        <w:rPr>
          <w:sz w:val="20"/>
          <w:szCs w:val="20"/>
          <w:color w:val="auto"/>
        </w:rPr>
      </w:pPr>
    </w:p>
    <w:p>
      <w:pPr>
        <w:ind w:right="100" w:firstLine="585"/>
        <w:spacing w:after="0" w:line="258" w:lineRule="auto"/>
        <w:rPr>
          <w:sz w:val="20"/>
          <w:szCs w:val="20"/>
          <w:color w:val="auto"/>
        </w:rPr>
      </w:pPr>
      <w:r>
        <w:rPr>
          <w:rFonts w:ascii="Times New Roman" w:cs="Times New Roman" w:eastAsia="Times New Roman" w:hAnsi="Times New Roman"/>
          <w:sz w:val="16"/>
          <w:szCs w:val="16"/>
          <w:color w:val="auto"/>
        </w:rPr>
        <w:t>Without in any way limiting the generality of the foregoing paragraph, the holders of Senior Indebtedness or Subordinated Indebtedness of the Company may, at any time and from time to time, without the consent of or notice to the Trustee or the Holders of the Securities, without incurring responsibility to the Holders of the Securities and without impairing or releasing the subordination provided in this Article XIII or the obligations hereunder of the Holders of the Securities to the holders of Senior Indebtedness or Subordinated Indebtedness of the Company, do any one or more of the following: (i) change the manner, place or terms of payment or extend the time of payment of, or renew or alter, Senior Indebtedness or Subordinated Indebtedness of the Company, or otherwise amend or supplement in any manner Senior Indebtedness or Subordinated Indebtedness of the Company or any instrument evidencing the same or any agreement under which Senior Indebtedness or Subordinated Indebtedness of the Company is outstanding; (ii) sell, exchange, release or otherwise deal with any property pledged, mortgaged or otherwise securing Senior Indebtedness or Subordinated Indebtedness of the Company; (iii) release any Person liable in any manner for the collection of Senior Indebtedness or Subordinated Indebtedness of the Company; and (iv) exercise or refrain from exercising any rights against the Company and any other Person.</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13.10. Notice to Trustee</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right="80" w:firstLine="585"/>
        <w:spacing w:after="0" w:line="258" w:lineRule="auto"/>
        <w:rPr>
          <w:sz w:val="20"/>
          <w:szCs w:val="20"/>
          <w:color w:val="auto"/>
        </w:rPr>
      </w:pPr>
      <w:r>
        <w:rPr>
          <w:rFonts w:ascii="Times New Roman" w:cs="Times New Roman" w:eastAsia="Times New Roman" w:hAnsi="Times New Roman"/>
          <w:sz w:val="16"/>
          <w:szCs w:val="16"/>
          <w:color w:val="auto"/>
        </w:rPr>
        <w:t xml:space="preserve">The Company shall give prompt written notice to the Trustee of any fact known to the Company which would prohibit the making of any payment to or by the Trustee in respect of the Securities. Notwithstanding the provisions of this Article XIII or any other provision of this Indenture, the Trustee shall not be charged with knowledge of the existence of any facts which would prohibit the making of any payment to or by the Trustee in respect of the Securities, unless and until the Trustee shall have received written notice thereof from the Company or a holder of Senior Indebtedness or Subordinated Indebtedness of the Company or from any trustee therefor; and, prior to the receipt of any such written notice, the Trustee, subject to the provisions of Section 7.01, shall be entitled in all respects to assume that no such facts exist;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if the Trustee shall not have received the notice provided for in this Section 13.10 at least three Business Days prior to the date upon which by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terms hereof any money may become payable for any purpose (including, without limitation, the payment of the principal of, premium, if any, or interest or any additional amounts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three Business Days prior to such date.</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46" w:name="page247"/>
    <w:bookmarkEnd w:id="246"/>
    <w:p>
      <w:pPr>
        <w:ind w:firstLine="585"/>
        <w:spacing w:after="0" w:line="259" w:lineRule="auto"/>
        <w:rPr>
          <w:sz w:val="20"/>
          <w:szCs w:val="20"/>
          <w:color w:val="auto"/>
        </w:rPr>
      </w:pPr>
      <w:r>
        <w:rPr>
          <w:rFonts w:ascii="Times New Roman" w:cs="Times New Roman" w:eastAsia="Times New Roman" w:hAnsi="Times New Roman"/>
          <w:sz w:val="16"/>
          <w:szCs w:val="16"/>
          <w:color w:val="auto"/>
        </w:rPr>
        <w:t>Subject to the provisions of Section 7.01, the Trustee shall be entitled to rely on the delivery to it of a written notice by a Person representing himself to be a holder of Senior Indebtedness or Subordinated Indebtedness of the Company (or a trustee therefor) to establish that such notice has been given by a holder of Senior Indebtedness or Subordinated Indebtedness of the Company (or a trustee therefor). In the event that the Trustee determines in good faith that further evidence is required with respect to the right of any Person as a holder of Senior Indebtedness or Subordinated Indebtedness of the Company to participate in any payment or distribution pursuant to this Article XIII, the Trustee may request such Person to furnish evidence to the reasonable satisfaction of the Trustee as to the amount of Senior Indebtedness or Subordinated Indebtedness of the Company held by such Person, the extent to which such Person is entitled to participate in such payment or distribution and any other facts pertinent to the rights of such Person under this Article XIII, and if such evidence is not furnished, the Trustee may defer any payment to such Person pending judicial determination as to the right of such Person to receive such payment.</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13.11. Reliance on Judicial Order or Certificate of Liquidating Agent</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right="20" w:firstLine="585"/>
        <w:spacing w:after="0" w:line="261" w:lineRule="auto"/>
        <w:rPr>
          <w:sz w:val="20"/>
          <w:szCs w:val="20"/>
          <w:color w:val="auto"/>
        </w:rPr>
      </w:pPr>
      <w:r>
        <w:rPr>
          <w:rFonts w:ascii="Times New Roman" w:cs="Times New Roman" w:eastAsia="Times New Roman" w:hAnsi="Times New Roman"/>
          <w:sz w:val="16"/>
          <w:szCs w:val="16"/>
          <w:color w:val="auto"/>
        </w:rPr>
        <w:t>Upon any payment or distribution of assets of the Company referred to in this Article XIII, the Trustee, subject to the provisions of Section 7.01, and the Holders of the Securities shall be entitled to rely upon any order or decree entered by any court of competent jurisdiction in which such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Senior Indebtedness or Subordinated Indebtedness of the Company and other Indebtedness of the Company, the amount thereof or payable thereon, the amount or amounts paid or distributed thereon and all other facts pertinent thereto or to this Article XIII.</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13.12. Trustee Not Fiduciary for Holders of Senior Indebtedness or Subordinated Indebtedness of the Company</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right="260" w:firstLine="585"/>
        <w:spacing w:after="0" w:line="271" w:lineRule="auto"/>
        <w:rPr>
          <w:sz w:val="20"/>
          <w:szCs w:val="20"/>
          <w:color w:val="auto"/>
        </w:rPr>
      </w:pPr>
      <w:r>
        <w:rPr>
          <w:rFonts w:ascii="Times New Roman" w:cs="Times New Roman" w:eastAsia="Times New Roman" w:hAnsi="Times New Roman"/>
          <w:sz w:val="16"/>
          <w:szCs w:val="16"/>
          <w:color w:val="auto"/>
        </w:rPr>
        <w:t>The Trustee shall not be deemed to owe any fiduciary duty to the holders of Senior Indebtedness or Subordinated Indebtedness of the Company and shall not be liable to any such holders if it shall in good faith mistakenly pay over or distribute to Holders of Securities or to the Company or to any other Person cash, property or securities to which any holders of Senior Indebtedness or Subordinated Indebtedness of the Company shall be entitled by virtue of this Article XIII or otherwise.</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13.13. Rights of Trustee as Holder of Senior Indebtedness or Subordinated Indebtedness of the Company; Preservation of Trustee’s Rights</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right="100" w:firstLine="585"/>
        <w:spacing w:after="0" w:line="265" w:lineRule="auto"/>
        <w:rPr>
          <w:sz w:val="20"/>
          <w:szCs w:val="20"/>
          <w:color w:val="auto"/>
        </w:rPr>
      </w:pPr>
      <w:r>
        <w:rPr>
          <w:rFonts w:ascii="Times New Roman" w:cs="Times New Roman" w:eastAsia="Times New Roman" w:hAnsi="Times New Roman"/>
          <w:sz w:val="16"/>
          <w:szCs w:val="16"/>
          <w:color w:val="auto"/>
        </w:rPr>
        <w:t>The Trustee in its individual capacity shall be entitled to all the rights set forth in this Article XIII with respect to any Senior Indebtedness or Subordinated Indebtedness of the Company which may at any time be held by it, to the same extent as any other holder of Senior Indebtedness or Subordinated Indebtedness of the Company, and nothing in this Indenture shall deprive the Trustee of any of its rights as such holder. Nothing in this Article XIII shall apply to claims of, or payments to, the Trustee under or pursuant to Section 7.06.</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13.14. Article Applicable to Paying Agents</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right="20" w:firstLine="585"/>
        <w:spacing w:after="0" w:line="265" w:lineRule="auto"/>
        <w:rPr>
          <w:sz w:val="20"/>
          <w:szCs w:val="20"/>
          <w:color w:val="auto"/>
        </w:rPr>
      </w:pPr>
      <w:r>
        <w:rPr>
          <w:rFonts w:ascii="Times New Roman" w:cs="Times New Roman" w:eastAsia="Times New Roman" w:hAnsi="Times New Roman"/>
          <w:sz w:val="16"/>
          <w:szCs w:val="16"/>
          <w:color w:val="auto"/>
        </w:rPr>
        <w:t xml:space="preserve">In case at any time any Paying Agent other than the Trustee shall have been appointed by the Company with respect to the Securities and be then acting hereunder, the term “Trustee” as used in this Article XIII shall in such case (unless the context otherwise requires) be construed as extending to and including such Paying Agent within its meaning as fully for all intents and purposes as if such Paying Agent were named in this Article XIII in addition to or in place of the Trustee;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Section 13.13 shall not apply to the Company or any Affiliate of the Company if the Company or one of its Affiliates acts as Paying Agent.</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Section 13.15. Defeasance of this Article XIII</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jc w:val="both"/>
        <w:ind w:right="260" w:firstLine="585"/>
        <w:spacing w:after="0" w:line="271" w:lineRule="auto"/>
        <w:rPr>
          <w:sz w:val="20"/>
          <w:szCs w:val="20"/>
          <w:color w:val="auto"/>
        </w:rPr>
      </w:pPr>
      <w:r>
        <w:rPr>
          <w:rFonts w:ascii="Times New Roman" w:cs="Times New Roman" w:eastAsia="Times New Roman" w:hAnsi="Times New Roman"/>
          <w:sz w:val="16"/>
          <w:szCs w:val="16"/>
          <w:color w:val="auto"/>
        </w:rPr>
        <w:t>The subordination of the Securities of a series provided by this Article XIII is expressly made subject to the provisions for defeasance or covenant defeasance in Article IX and, anything herein to the contrary notwithstanding, upon the effectiveness of any such defeasance or covenant defeasance, the Securities of such series then outstanding shall thereupon cease to be subordinated pursuant to this Article XIII.</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[Signatures on following page]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6"/>
          <w:szCs w:val="16"/>
          <w:color w:val="auto"/>
        </w:rPr>
        <w:t>IN WITNESS WHEREOF, the parties have caused this Indenture to be duly executed as of the date first written above.</w:t>
      </w:r>
    </w:p>
    <w:p>
      <w:pPr>
        <w:spacing w:after="0" w:line="20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VIATRIS INC.</w:t>
      </w:r>
    </w:p>
    <w:p>
      <w:pPr>
        <w:spacing w:after="0" w:line="2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25400</wp:posOffset>
            </wp:positionV>
            <wp:extent cx="3209290" cy="152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3">
                      <a:extLst>
                        <a:ext uri="{28A0092B-C50C-407E-A947-70E740481C1C}"/>
                      </a:extLst>
                    </a:blip>
                    <a:srcRect/>
                    <a:stretch>
                      <a:fillRect/>
                    </a:stretch>
                  </pic:blipFill>
                  <pic:spPr bwMode="auto">
                    <a:xfrm>
                      <a:off x="0" y="0"/>
                      <a:ext cx="3209290" cy="15240"/>
                    </a:xfrm>
                    <a:prstGeom prst="rect">
                      <a:avLst/>
                    </a:prstGeom>
                    <a:noFill/>
                  </pic:spPr>
                </pic:pic>
              </a:graphicData>
            </a:graphic>
          </wp:anchor>
        </w:drawing>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Title:</w:t>
      </w:r>
    </w:p>
    <w:p>
      <w:pPr>
        <w:spacing w:after="0" w:line="19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THE GUARANTORS NAMED ON SCHEDULE A HERETO, as Guarantors,</w:t>
      </w:r>
    </w:p>
    <w:p>
      <w:pPr>
        <w:spacing w:after="0" w:line="2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25400</wp:posOffset>
            </wp:positionV>
            <wp:extent cx="3209290" cy="152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4">
                      <a:extLst>
                        <a:ext uri="{28A0092B-C50C-407E-A947-70E740481C1C}"/>
                      </a:extLst>
                    </a:blip>
                    <a:srcRect/>
                    <a:stretch>
                      <a:fillRect/>
                    </a:stretch>
                  </pic:blipFill>
                  <pic:spPr bwMode="auto">
                    <a:xfrm>
                      <a:off x="0" y="0"/>
                      <a:ext cx="3209290" cy="15240"/>
                    </a:xfrm>
                    <a:prstGeom prst="rect">
                      <a:avLst/>
                    </a:prstGeom>
                    <a:noFill/>
                  </pic:spPr>
                </pic:pic>
              </a:graphicData>
            </a:graphic>
          </wp:anchor>
        </w:drawing>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Title:</w:t>
      </w:r>
    </w:p>
    <w:p>
      <w:pPr>
        <w:spacing w:after="0" w:line="19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THE BANK OF NEW YORK MELLON,</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as Trustee</w:t>
      </w:r>
    </w:p>
    <w:p>
      <w:pPr>
        <w:spacing w:after="0" w:line="1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25400</wp:posOffset>
            </wp:positionV>
            <wp:extent cx="3209290" cy="152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5">
                      <a:extLst>
                        <a:ext uri="{28A0092B-C50C-407E-A947-70E740481C1C}"/>
                      </a:extLst>
                    </a:blip>
                    <a:srcRect/>
                    <a:stretch>
                      <a:fillRect/>
                    </a:stretch>
                  </pic:blipFill>
                  <pic:spPr bwMode="auto">
                    <a:xfrm>
                      <a:off x="0" y="0"/>
                      <a:ext cx="3209290" cy="15240"/>
                    </a:xfrm>
                    <a:prstGeom prst="rect">
                      <a:avLst/>
                    </a:prstGeom>
                    <a:noFill/>
                  </pic:spPr>
                </pic:pic>
              </a:graphicData>
            </a:graphic>
          </wp:anchor>
        </w:drawing>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Title:</w:t>
      </w:r>
    </w:p>
    <w:p>
      <w:pPr>
        <w:spacing w:after="0" w:line="1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[Signature Page to Junior Subordinated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118110</wp:posOffset>
            </wp:positionV>
            <wp:extent cx="7145655" cy="152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180"/>
          </w:cols>
          <w:pgMar w:left="900" w:top="123" w:right="819" w:bottom="1440" w:gutter="0" w:footer="0" w:header="0"/>
        </w:sectPr>
      </w:pPr>
    </w:p>
    <w:bookmarkStart w:id="248" w:name="page249"/>
    <w:bookmarkEnd w:id="24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243205</wp:posOffset>
            </wp:positionV>
            <wp:extent cx="7145655" cy="152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6"/>
          <w:szCs w:val="16"/>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NOTATION OF GUARANTEE]</w:t>
      </w:r>
    </w:p>
    <w:p>
      <w:pPr>
        <w:spacing w:after="0" w:line="204" w:lineRule="exact"/>
        <w:rPr>
          <w:sz w:val="20"/>
          <w:szCs w:val="20"/>
          <w:color w:val="auto"/>
        </w:rPr>
      </w:pPr>
    </w:p>
    <w:p>
      <w:pPr>
        <w:ind w:right="60" w:firstLine="585"/>
        <w:spacing w:after="0" w:line="261" w:lineRule="auto"/>
        <w:rPr>
          <w:sz w:val="20"/>
          <w:szCs w:val="20"/>
          <w:color w:val="auto"/>
        </w:rPr>
      </w:pPr>
      <w:r>
        <w:rPr>
          <w:rFonts w:ascii="Times New Roman" w:cs="Times New Roman" w:eastAsia="Times New Roman" w:hAnsi="Times New Roman"/>
          <w:sz w:val="16"/>
          <w:szCs w:val="16"/>
          <w:color w:val="auto"/>
        </w:rPr>
        <w:t>Each of the undersigned (collectively, the “</w:t>
      </w:r>
      <w:r>
        <w:rPr>
          <w:rFonts w:ascii="Times New Roman" w:cs="Times New Roman" w:eastAsia="Times New Roman" w:hAnsi="Times New Roman"/>
          <w:sz w:val="16"/>
          <w:szCs w:val="16"/>
          <w:i w:val="1"/>
          <w:iCs w:val="1"/>
          <w:color w:val="auto"/>
        </w:rPr>
        <w:t>Guarantors</w:t>
      </w:r>
      <w:r>
        <w:rPr>
          <w:rFonts w:ascii="Times New Roman" w:cs="Times New Roman" w:eastAsia="Times New Roman" w:hAnsi="Times New Roman"/>
          <w:sz w:val="16"/>
          <w:szCs w:val="16"/>
          <w:color w:val="auto"/>
        </w:rPr>
        <w:t>”) have guaranteed, jointly and severally, fully and unconditionally (such guarantee by each Guarantor being referred to herein as the “</w:t>
      </w:r>
      <w:r>
        <w:rPr>
          <w:rFonts w:ascii="Times New Roman" w:cs="Times New Roman" w:eastAsia="Times New Roman" w:hAnsi="Times New Roman"/>
          <w:sz w:val="16"/>
          <w:szCs w:val="16"/>
          <w:i w:val="1"/>
          <w:iCs w:val="1"/>
          <w:color w:val="auto"/>
        </w:rPr>
        <w:t>Guarantee</w:t>
      </w:r>
      <w:r>
        <w:rPr>
          <w:rFonts w:ascii="Times New Roman" w:cs="Times New Roman" w:eastAsia="Times New Roman" w:hAnsi="Times New Roman"/>
          <w:sz w:val="16"/>
          <w:szCs w:val="16"/>
          <w:color w:val="auto"/>
        </w:rPr>
        <w:t>”) (i) the due and punctual payment of the principal of and interest on the Securities, whether at maturity, by acceleration or otherwise, the due and punctual payment of interest on the overdue principal and interest, if any, on the Securities, to the extent lawful, and the due and punctual performance of all other obligations of the Company to the Holders or the Trustee all in accordance with the terms set forth in Article X of the Indenture and (ii) in case of any extension of time of payment or renewal of any Securities or any of such other obligations, that the same will be promptly paid in full when due or performed in accordance with the terms of the extension or renewal, whether at stated maturity, by acceleration or otherwise.</w:t>
      </w:r>
    </w:p>
    <w:p>
      <w:pPr>
        <w:spacing w:after="0" w:line="166" w:lineRule="exact"/>
        <w:rPr>
          <w:sz w:val="20"/>
          <w:szCs w:val="20"/>
          <w:color w:val="auto"/>
        </w:rPr>
      </w:pPr>
    </w:p>
    <w:p>
      <w:pPr>
        <w:ind w:right="100" w:firstLine="585"/>
        <w:spacing w:after="0" w:line="265" w:lineRule="auto"/>
        <w:rPr>
          <w:sz w:val="20"/>
          <w:szCs w:val="20"/>
          <w:color w:val="auto"/>
        </w:rPr>
      </w:pPr>
      <w:r>
        <w:rPr>
          <w:rFonts w:ascii="Times New Roman" w:cs="Times New Roman" w:eastAsia="Times New Roman" w:hAnsi="Times New Roman"/>
          <w:sz w:val="16"/>
          <w:szCs w:val="16"/>
          <w:color w:val="auto"/>
        </w:rPr>
        <w:t>No past, present or future director, board member, member, partner, officer, employee or equityholder of the Guarantors will have any liability for any of the Guarantor’s obligations under the Guarantee or for any claim based on, in respect of, or by reason of, such obligations or their creation (other than the Guarantors in respect of their respective Guarantees and the Company in respect of the Securities). Each Holder of Securities by accepting a Security waives and releases all such liability. The waiver and release are part of the consideration for issuance of the Guarantees.</w:t>
      </w:r>
    </w:p>
    <w:p>
      <w:pPr>
        <w:spacing w:after="0" w:line="162" w:lineRule="exact"/>
        <w:rPr>
          <w:sz w:val="20"/>
          <w:szCs w:val="20"/>
          <w:color w:val="auto"/>
        </w:rPr>
      </w:pPr>
    </w:p>
    <w:p>
      <w:pPr>
        <w:ind w:right="500" w:firstLine="585"/>
        <w:spacing w:after="0" w:line="288" w:lineRule="auto"/>
        <w:rPr>
          <w:sz w:val="20"/>
          <w:szCs w:val="20"/>
          <w:color w:val="auto"/>
        </w:rPr>
      </w:pPr>
      <w:r>
        <w:rPr>
          <w:rFonts w:ascii="Times New Roman" w:cs="Times New Roman" w:eastAsia="Times New Roman" w:hAnsi="Times New Roman"/>
          <w:sz w:val="16"/>
          <w:szCs w:val="16"/>
          <w:color w:val="auto"/>
        </w:rPr>
        <w:t>Each Holder of a Security by accepting a Security agrees that any Guarantor named below shall have no further liability with respect to its Guarantee if such Guarantor otherwise ceases to be liable in respect of its Guarantee in accordance with the terms of the Indenture.</w:t>
      </w:r>
    </w:p>
    <w:p>
      <w:pPr>
        <w:spacing w:after="0" w:line="143" w:lineRule="exact"/>
        <w:rPr>
          <w:sz w:val="20"/>
          <w:szCs w:val="20"/>
          <w:color w:val="auto"/>
        </w:rPr>
      </w:pPr>
    </w:p>
    <w:p>
      <w:pPr>
        <w:ind w:right="100" w:firstLine="585"/>
        <w:spacing w:after="0" w:line="288" w:lineRule="auto"/>
        <w:rPr>
          <w:sz w:val="20"/>
          <w:szCs w:val="20"/>
          <w:color w:val="auto"/>
        </w:rPr>
      </w:pPr>
      <w:r>
        <w:rPr>
          <w:rFonts w:ascii="Times New Roman" w:cs="Times New Roman" w:eastAsia="Times New Roman" w:hAnsi="Times New Roman"/>
          <w:sz w:val="16"/>
          <w:szCs w:val="16"/>
          <w:color w:val="auto"/>
        </w:rPr>
        <w:t>The Guarantee shall not be valid or obligatory for any purpose until the certificate of authentication on the Securities upon which the Guarantee is noted shall have been executed by the Trustee under the Indenture by the manual signature of one of its authorized officers.</w:t>
      </w:r>
    </w:p>
    <w:p>
      <w:pPr>
        <w:spacing w:after="0" w:line="1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[GUARANTORS]</w:t>
      </w:r>
    </w:p>
    <w:p>
      <w:pPr>
        <w:spacing w:after="0" w:line="2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17145</wp:posOffset>
            </wp:positionV>
            <wp:extent cx="3209290" cy="152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8">
                      <a:extLst>
                        <a:ext uri="{28A0092B-C50C-407E-A947-70E740481C1C}"/>
                      </a:extLst>
                    </a:blip>
                    <a:srcRect/>
                    <a:stretch>
                      <a:fillRect/>
                    </a:stretch>
                  </pic:blipFill>
                  <pic:spPr bwMode="auto">
                    <a:xfrm>
                      <a:off x="0" y="0"/>
                      <a:ext cx="3209290" cy="15240"/>
                    </a:xfrm>
                    <a:prstGeom prst="rect">
                      <a:avLst/>
                    </a:prstGeom>
                    <a:noFill/>
                  </pic:spPr>
                </pic:pic>
              </a:graphicData>
            </a:graphic>
          </wp:anchor>
        </w:drawing>
      </w:r>
    </w:p>
    <w:p>
      <w:pPr>
        <w:spacing w:after="0" w:line="1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309245</wp:posOffset>
            </wp:positionV>
            <wp:extent cx="7145655" cy="152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11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0">
                      <a:extLst>
                        <a:ext uri="{28A0092B-C50C-407E-A947-70E740481C1C}"/>
                      </a:extLst>
                    </a:blip>
                    <a:srcRect/>
                    <a:stretch>
                      <a:fillRect/>
                    </a:stretch>
                  </pic:blipFill>
                  <pic:spPr bwMode="auto">
                    <a:xfrm>
                      <a:off x="0" y="0"/>
                      <a:ext cx="7145655" cy="31115"/>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4902835" cy="386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1">
                      <a:extLst>
                        <a:ext uri="{28A0092B-C50C-407E-A947-70E740481C1C}"/>
                      </a:extLst>
                    </a:blip>
                    <a:srcRect/>
                    <a:stretch>
                      <a:fillRect/>
                    </a:stretch>
                  </pic:blipFill>
                  <pic:spPr bwMode="auto">
                    <a:xfrm>
                      <a:off x="0" y="0"/>
                      <a:ext cx="4902835" cy="38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8, 2025</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Viatris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Registration Statement on Form S-3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206" w:lineRule="exact"/>
        <w:rPr>
          <w:sz w:val="20"/>
          <w:szCs w:val="20"/>
          <w:color w:val="auto"/>
        </w:rPr>
      </w:pPr>
    </w:p>
    <w:p>
      <w:pPr>
        <w:ind w:right="20" w:firstLine="1169"/>
        <w:spacing w:after="0" w:line="256" w:lineRule="auto"/>
        <w:rPr>
          <w:sz w:val="20"/>
          <w:szCs w:val="20"/>
          <w:color w:val="auto"/>
        </w:rPr>
      </w:pPr>
      <w:r>
        <w:rPr>
          <w:rFonts w:ascii="Times New Roman" w:cs="Times New Roman" w:eastAsia="Times New Roman" w:hAnsi="Times New Roman"/>
          <w:sz w:val="16"/>
          <w:szCs w:val="16"/>
          <w:color w:val="auto"/>
        </w:rPr>
        <w:t>We have acted as special New York counsel to Viatris Inc., a Delaware corporation (“</w:t>
      </w:r>
      <w:r>
        <w:rPr>
          <w:rFonts w:ascii="Times New Roman" w:cs="Times New Roman" w:eastAsia="Times New Roman" w:hAnsi="Times New Roman"/>
          <w:sz w:val="16"/>
          <w:szCs w:val="16"/>
          <w:u w:val="single" w:color="auto"/>
          <w:color w:val="auto"/>
        </w:rPr>
        <w:t>Viatris Inc.</w:t>
      </w:r>
      <w:r>
        <w:rPr>
          <w:rFonts w:ascii="Times New Roman" w:cs="Times New Roman" w:eastAsia="Times New Roman" w:hAnsi="Times New Roman"/>
          <w:sz w:val="16"/>
          <w:szCs w:val="16"/>
          <w:color w:val="auto"/>
        </w:rPr>
        <w:t>”), Utah Acquisition Sub Inc., a Delaware corporation (“</w:t>
      </w:r>
      <w:r>
        <w:rPr>
          <w:rFonts w:ascii="Times New Roman" w:cs="Times New Roman" w:eastAsia="Times New Roman" w:hAnsi="Times New Roman"/>
          <w:sz w:val="16"/>
          <w:szCs w:val="16"/>
          <w:u w:val="single" w:color="auto"/>
          <w:color w:val="auto"/>
        </w:rPr>
        <w:t>Utah Acquisition Sub Inc.</w:t>
      </w:r>
      <w:r>
        <w:rPr>
          <w:rFonts w:ascii="Times New Roman" w:cs="Times New Roman" w:eastAsia="Times New Roman" w:hAnsi="Times New Roman"/>
          <w:sz w:val="16"/>
          <w:szCs w:val="16"/>
          <w:color w:val="auto"/>
        </w:rPr>
        <w:t>”), Mylan II B.V., a private limited liability company incorporated and existing under the laws of the Netherlands (“</w:t>
      </w:r>
      <w:r>
        <w:rPr>
          <w:rFonts w:ascii="Times New Roman" w:cs="Times New Roman" w:eastAsia="Times New Roman" w:hAnsi="Times New Roman"/>
          <w:sz w:val="16"/>
          <w:szCs w:val="16"/>
          <w:u w:val="single" w:color="auto"/>
          <w:color w:val="auto"/>
        </w:rPr>
        <w:t>Mylan II B.V.</w:t>
      </w:r>
      <w:r>
        <w:rPr>
          <w:rFonts w:ascii="Times New Roman" w:cs="Times New Roman" w:eastAsia="Times New Roman" w:hAnsi="Times New Roman"/>
          <w:sz w:val="16"/>
          <w:szCs w:val="16"/>
          <w:color w:val="auto"/>
        </w:rPr>
        <w:t>”), and Mylan Inc., a Pennsylvania corporation (“</w:t>
      </w:r>
      <w:r>
        <w:rPr>
          <w:rFonts w:ascii="Times New Roman" w:cs="Times New Roman" w:eastAsia="Times New Roman" w:hAnsi="Times New Roman"/>
          <w:sz w:val="16"/>
          <w:szCs w:val="16"/>
          <w:u w:val="single" w:color="auto"/>
          <w:color w:val="auto"/>
        </w:rPr>
        <w:t>Mylan Inc.</w:t>
      </w:r>
      <w:r>
        <w:rPr>
          <w:rFonts w:ascii="Times New Roman" w:cs="Times New Roman" w:eastAsia="Times New Roman" w:hAnsi="Times New Roman"/>
          <w:sz w:val="16"/>
          <w:szCs w:val="16"/>
          <w:color w:val="auto"/>
        </w:rPr>
        <w:t>” and, together with Utah Acquisition Sub Inc. and Mylan II B.V., the “</w:t>
      </w:r>
      <w:r>
        <w:rPr>
          <w:rFonts w:ascii="Times New Roman" w:cs="Times New Roman" w:eastAsia="Times New Roman" w:hAnsi="Times New Roman"/>
          <w:sz w:val="16"/>
          <w:szCs w:val="16"/>
          <w:u w:val="single" w:color="auto"/>
          <w:color w:val="auto"/>
        </w:rPr>
        <w:t>Guarantors</w:t>
      </w:r>
      <w:r>
        <w:rPr>
          <w:rFonts w:ascii="Times New Roman" w:cs="Times New Roman" w:eastAsia="Times New Roman" w:hAnsi="Times New Roman"/>
          <w:sz w:val="16"/>
          <w:szCs w:val="16"/>
          <w:color w:val="auto"/>
        </w:rPr>
        <w:t>”), in connection with the preparation and filing with the Securities and Exchange Commission (the “</w:t>
      </w:r>
      <w:r>
        <w:rPr>
          <w:rFonts w:ascii="Times New Roman" w:cs="Times New Roman" w:eastAsia="Times New Roman" w:hAnsi="Times New Roman"/>
          <w:sz w:val="16"/>
          <w:szCs w:val="16"/>
          <w:u w:val="single" w:color="auto"/>
          <w:color w:val="auto"/>
        </w:rPr>
        <w:t>Commission</w:t>
      </w:r>
      <w:r>
        <w:rPr>
          <w:rFonts w:ascii="Times New Roman" w:cs="Times New Roman" w:eastAsia="Times New Roman" w:hAnsi="Times New Roman"/>
          <w:sz w:val="16"/>
          <w:szCs w:val="16"/>
          <w:color w:val="auto"/>
        </w:rPr>
        <w:t>”) of a registration statement on Form S-3 (the “</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under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relating to the registration under the Securities Act and the proposed issuance and sale from time to time pursuant to Rule 415 under the Securities Act of (a) (i) senior debt securities of Viatris Inc. in one or more series (the “</w:t>
      </w:r>
      <w:r>
        <w:rPr>
          <w:rFonts w:ascii="Times New Roman" w:cs="Times New Roman" w:eastAsia="Times New Roman" w:hAnsi="Times New Roman"/>
          <w:sz w:val="16"/>
          <w:szCs w:val="16"/>
          <w:u w:val="single" w:color="auto"/>
          <w:color w:val="auto"/>
        </w:rPr>
        <w:t>Senior Debt Securities</w:t>
      </w:r>
      <w:r>
        <w:rPr>
          <w:rFonts w:ascii="Times New Roman" w:cs="Times New Roman" w:eastAsia="Times New Roman" w:hAnsi="Times New Roman"/>
          <w:sz w:val="16"/>
          <w:szCs w:val="16"/>
          <w:color w:val="auto"/>
        </w:rPr>
        <w:t>”) to be issued under an indenture (the “</w:t>
      </w:r>
      <w:r>
        <w:rPr>
          <w:rFonts w:ascii="Times New Roman" w:cs="Times New Roman" w:eastAsia="Times New Roman" w:hAnsi="Times New Roman"/>
          <w:sz w:val="16"/>
          <w:szCs w:val="16"/>
          <w:u w:val="single" w:color="auto"/>
          <w:color w:val="auto"/>
        </w:rPr>
        <w:t>Senior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Indenture</w:t>
      </w:r>
      <w:r>
        <w:rPr>
          <w:rFonts w:ascii="Times New Roman" w:cs="Times New Roman" w:eastAsia="Times New Roman" w:hAnsi="Times New Roman"/>
          <w:sz w:val="16"/>
          <w:szCs w:val="16"/>
          <w:color w:val="auto"/>
        </w:rPr>
        <w:t>”), to be entered into among Viatris Inc., any guarantors of the Senior Debt Securities and a trustee (the “</w:t>
      </w:r>
      <w:r>
        <w:rPr>
          <w:rFonts w:ascii="Times New Roman" w:cs="Times New Roman" w:eastAsia="Times New Roman" w:hAnsi="Times New Roman"/>
          <w:sz w:val="16"/>
          <w:szCs w:val="16"/>
          <w:u w:val="single" w:color="auto"/>
          <w:color w:val="auto"/>
        </w:rPr>
        <w:t>Senior Trustee</w:t>
      </w:r>
      <w:r>
        <w:rPr>
          <w:rFonts w:ascii="Times New Roman" w:cs="Times New Roman" w:eastAsia="Times New Roman" w:hAnsi="Times New Roman"/>
          <w:sz w:val="16"/>
          <w:szCs w:val="16"/>
          <w:color w:val="auto"/>
        </w:rPr>
        <w:t>”), (ii) subordinated debt securities of Viatris Inc. in one or more series (the “</w:t>
      </w:r>
      <w:r>
        <w:rPr>
          <w:rFonts w:ascii="Times New Roman" w:cs="Times New Roman" w:eastAsia="Times New Roman" w:hAnsi="Times New Roman"/>
          <w:sz w:val="16"/>
          <w:szCs w:val="16"/>
          <w:u w:val="single" w:color="auto"/>
          <w:color w:val="auto"/>
        </w:rPr>
        <w:t>Subordinated Debt Securities</w:t>
      </w:r>
      <w:r>
        <w:rPr>
          <w:rFonts w:ascii="Times New Roman" w:cs="Times New Roman" w:eastAsia="Times New Roman" w:hAnsi="Times New Roman"/>
          <w:sz w:val="16"/>
          <w:szCs w:val="16"/>
          <w:color w:val="auto"/>
        </w:rPr>
        <w:t>”) to be issued under an indenture (the “</w:t>
      </w:r>
      <w:r>
        <w:rPr>
          <w:rFonts w:ascii="Times New Roman" w:cs="Times New Roman" w:eastAsia="Times New Roman" w:hAnsi="Times New Roman"/>
          <w:sz w:val="16"/>
          <w:szCs w:val="16"/>
          <w:u w:val="single" w:color="auto"/>
          <w:color w:val="auto"/>
        </w:rPr>
        <w:t>Subordinated Indenture</w:t>
      </w:r>
      <w:r>
        <w:rPr>
          <w:rFonts w:ascii="Times New Roman" w:cs="Times New Roman" w:eastAsia="Times New Roman" w:hAnsi="Times New Roman"/>
          <w:sz w:val="16"/>
          <w:szCs w:val="16"/>
          <w:color w:val="auto"/>
        </w:rPr>
        <w:t>”), to be entered into among Viatris Inc., any guarantors of the Subordinated Debt Securities and a trustee (the “</w:t>
      </w:r>
      <w:r>
        <w:rPr>
          <w:rFonts w:ascii="Times New Roman" w:cs="Times New Roman" w:eastAsia="Times New Roman" w:hAnsi="Times New Roman"/>
          <w:sz w:val="16"/>
          <w:szCs w:val="16"/>
          <w:u w:val="single" w:color="auto"/>
          <w:color w:val="auto"/>
        </w:rPr>
        <w:t>Subordinated Trustee</w:t>
      </w:r>
      <w:r>
        <w:rPr>
          <w:rFonts w:ascii="Times New Roman" w:cs="Times New Roman" w:eastAsia="Times New Roman" w:hAnsi="Times New Roman"/>
          <w:sz w:val="16"/>
          <w:szCs w:val="16"/>
          <w:color w:val="auto"/>
        </w:rPr>
        <w:t>”), and (iii) junior subordinated debt securities of Viatris Inc. in one or more series (the “</w:t>
      </w:r>
      <w:r>
        <w:rPr>
          <w:rFonts w:ascii="Times New Roman" w:cs="Times New Roman" w:eastAsia="Times New Roman" w:hAnsi="Times New Roman"/>
          <w:sz w:val="16"/>
          <w:szCs w:val="16"/>
          <w:u w:val="single" w:color="auto"/>
          <w:color w:val="auto"/>
        </w:rPr>
        <w:t>Junior Subordinated Debt Securities</w:t>
      </w:r>
      <w:r>
        <w:rPr>
          <w:rFonts w:ascii="Times New Roman" w:cs="Times New Roman" w:eastAsia="Times New Roman" w:hAnsi="Times New Roman"/>
          <w:sz w:val="16"/>
          <w:szCs w:val="16"/>
          <w:color w:val="auto"/>
        </w:rPr>
        <w:t>” and, together with the Senior Debt Securities and the Subordinated Debt Securities, the “</w:t>
      </w:r>
      <w:r>
        <w:rPr>
          <w:rFonts w:ascii="Times New Roman" w:cs="Times New Roman" w:eastAsia="Times New Roman" w:hAnsi="Times New Roman"/>
          <w:sz w:val="16"/>
          <w:szCs w:val="16"/>
          <w:u w:val="single" w:color="auto"/>
          <w:color w:val="auto"/>
        </w:rPr>
        <w:t>Debt Securities</w:t>
      </w:r>
      <w:r>
        <w:rPr>
          <w:rFonts w:ascii="Times New Roman" w:cs="Times New Roman" w:eastAsia="Times New Roman" w:hAnsi="Times New Roman"/>
          <w:sz w:val="16"/>
          <w:szCs w:val="16"/>
          <w:color w:val="auto"/>
        </w:rPr>
        <w:t>”) to be issued under an indenture (the “</w:t>
      </w:r>
      <w:r>
        <w:rPr>
          <w:rFonts w:ascii="Times New Roman" w:cs="Times New Roman" w:eastAsia="Times New Roman" w:hAnsi="Times New Roman"/>
          <w:sz w:val="16"/>
          <w:szCs w:val="16"/>
          <w:u w:val="single" w:color="auto"/>
          <w:color w:val="auto"/>
        </w:rPr>
        <w:t>Junior Subordinated Indenture</w:t>
      </w:r>
      <w:r>
        <w:rPr>
          <w:rFonts w:ascii="Times New Roman" w:cs="Times New Roman" w:eastAsia="Times New Roman" w:hAnsi="Times New Roman"/>
          <w:sz w:val="16"/>
          <w:szCs w:val="16"/>
          <w:color w:val="auto"/>
        </w:rPr>
        <w:t>” and, together with the Senior Indenture and the Subordinated Indenture, the “</w:t>
      </w:r>
      <w:r>
        <w:rPr>
          <w:rFonts w:ascii="Times New Roman" w:cs="Times New Roman" w:eastAsia="Times New Roman" w:hAnsi="Times New Roman"/>
          <w:sz w:val="16"/>
          <w:szCs w:val="16"/>
          <w:u w:val="single" w:color="auto"/>
          <w:color w:val="auto"/>
        </w:rPr>
        <w:t>Indentures</w:t>
      </w:r>
      <w:r>
        <w:rPr>
          <w:rFonts w:ascii="Times New Roman" w:cs="Times New Roman" w:eastAsia="Times New Roman" w:hAnsi="Times New Roman"/>
          <w:sz w:val="16"/>
          <w:szCs w:val="16"/>
          <w:color w:val="auto"/>
        </w:rPr>
        <w:t>”), to be entered into among Viatris Inc., any guarantors of the Junior Subordinated Debt Securities and a trustee (the “</w:t>
      </w:r>
      <w:r>
        <w:rPr>
          <w:rFonts w:ascii="Times New Roman" w:cs="Times New Roman" w:eastAsia="Times New Roman" w:hAnsi="Times New Roman"/>
          <w:sz w:val="16"/>
          <w:szCs w:val="16"/>
          <w:u w:val="single" w:color="auto"/>
          <w:color w:val="auto"/>
        </w:rPr>
        <w:t>Junior Subordinated Trustee</w:t>
      </w:r>
      <w:r>
        <w:rPr>
          <w:rFonts w:ascii="Times New Roman" w:cs="Times New Roman" w:eastAsia="Times New Roman" w:hAnsi="Times New Roman"/>
          <w:sz w:val="16"/>
          <w:szCs w:val="16"/>
          <w:color w:val="auto"/>
        </w:rPr>
        <w:t>”), (b) guarantees (the “</w:t>
      </w:r>
      <w:r>
        <w:rPr>
          <w:rFonts w:ascii="Times New Roman" w:cs="Times New Roman" w:eastAsia="Times New Roman" w:hAnsi="Times New Roman"/>
          <w:sz w:val="16"/>
          <w:szCs w:val="16"/>
          <w:u w:val="single" w:color="auto"/>
          <w:color w:val="auto"/>
        </w:rPr>
        <w:t>Guarantees</w:t>
      </w:r>
      <w:r>
        <w:rPr>
          <w:rFonts w:ascii="Times New Roman" w:cs="Times New Roman" w:eastAsia="Times New Roman" w:hAnsi="Times New Roman"/>
          <w:sz w:val="16"/>
          <w:szCs w:val="16"/>
          <w:color w:val="auto"/>
        </w:rPr>
        <w:t>”) of the Debt Securities by each of the Guarantors, (c) common stock, par value $0.01 per share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of Viatris Inc., including Common Stock as may from time to time be issued upon conversion of Debt Securities or Preferred Stock (as defined below), (d) preferred stock, par value $0.01 per share (the “</w:t>
      </w:r>
      <w:r>
        <w:rPr>
          <w:rFonts w:ascii="Times New Roman" w:cs="Times New Roman" w:eastAsia="Times New Roman" w:hAnsi="Times New Roman"/>
          <w:sz w:val="16"/>
          <w:szCs w:val="16"/>
          <w:u w:val="single" w:color="auto"/>
          <w:color w:val="auto"/>
        </w:rPr>
        <w:t>Preferred Stock</w:t>
      </w:r>
      <w:r>
        <w:rPr>
          <w:rFonts w:ascii="Times New Roman" w:cs="Times New Roman" w:eastAsia="Times New Roman" w:hAnsi="Times New Roman"/>
          <w:sz w:val="16"/>
          <w:szCs w:val="16"/>
          <w:color w:val="auto"/>
        </w:rPr>
        <w:t>”), of Viatris Inc., including Preferred Stock as may from time to time be issued upon conversion of Debt Securities, (e) warrants to purchase Debt Securities, Common Stock or Preferred Stock (the “</w:t>
      </w:r>
      <w:r>
        <w:rPr>
          <w:rFonts w:ascii="Times New Roman" w:cs="Times New Roman" w:eastAsia="Times New Roman" w:hAnsi="Times New Roman"/>
          <w:sz w:val="16"/>
          <w:szCs w:val="16"/>
          <w:u w:val="single" w:color="auto"/>
          <w:color w:val="auto"/>
        </w:rPr>
        <w:t>Warrants</w:t>
      </w:r>
      <w:r>
        <w:rPr>
          <w:rFonts w:ascii="Times New Roman" w:cs="Times New Roman" w:eastAsia="Times New Roman" w:hAnsi="Times New Roman"/>
          <w:sz w:val="16"/>
          <w:szCs w:val="16"/>
          <w:color w:val="auto"/>
        </w:rPr>
        <w:t>”) in one or more series under a warrant agreement (the “</w:t>
      </w:r>
      <w:r>
        <w:rPr>
          <w:rFonts w:ascii="Times New Roman" w:cs="Times New Roman" w:eastAsia="Times New Roman" w:hAnsi="Times New Roman"/>
          <w:sz w:val="16"/>
          <w:szCs w:val="16"/>
          <w:u w:val="single" w:color="auto"/>
          <w:color w:val="auto"/>
        </w:rPr>
        <w:t>Warrant Agreement</w:t>
      </w:r>
      <w:r>
        <w:rPr>
          <w:rFonts w:ascii="Times New Roman" w:cs="Times New Roman" w:eastAsia="Times New Roman" w:hAnsi="Times New Roman"/>
          <w:sz w:val="16"/>
          <w:szCs w:val="16"/>
          <w:color w:val="auto"/>
        </w:rPr>
        <w:t>”) to be entered into by Viatris Inc. and a warrant agent (the “</w:t>
      </w:r>
      <w:r>
        <w:rPr>
          <w:rFonts w:ascii="Times New Roman" w:cs="Times New Roman" w:eastAsia="Times New Roman" w:hAnsi="Times New Roman"/>
          <w:sz w:val="16"/>
          <w:szCs w:val="16"/>
          <w:u w:val="single" w:color="auto"/>
          <w:color w:val="auto"/>
        </w:rPr>
        <w:t>Warrant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Agent</w:t>
      </w:r>
      <w:r>
        <w:rPr>
          <w:rFonts w:ascii="Times New Roman" w:cs="Times New Roman" w:eastAsia="Times New Roman" w:hAnsi="Times New Roman"/>
          <w:sz w:val="16"/>
          <w:szCs w:val="16"/>
          <w:color w:val="auto"/>
        </w:rPr>
        <w:t>”), (f) rights to purchase Debt Securities, Common Stock or Preferred Stock (the “</w:t>
      </w:r>
      <w:r>
        <w:rPr>
          <w:rFonts w:ascii="Times New Roman" w:cs="Times New Roman" w:eastAsia="Times New Roman" w:hAnsi="Times New Roman"/>
          <w:sz w:val="16"/>
          <w:szCs w:val="16"/>
          <w:u w:val="single" w:color="auto"/>
          <w:color w:val="auto"/>
        </w:rPr>
        <w:t>Rights</w:t>
      </w:r>
      <w:r>
        <w:rPr>
          <w:rFonts w:ascii="Times New Roman" w:cs="Times New Roman" w:eastAsia="Times New Roman" w:hAnsi="Times New Roman"/>
          <w:sz w:val="16"/>
          <w:szCs w:val="16"/>
          <w:color w:val="auto"/>
        </w:rPr>
        <w:t>”) in one or more series under a rights agreement (the “</w:t>
      </w:r>
      <w:r>
        <w:rPr>
          <w:rFonts w:ascii="Times New Roman" w:cs="Times New Roman" w:eastAsia="Times New Roman" w:hAnsi="Times New Roman"/>
          <w:sz w:val="16"/>
          <w:szCs w:val="16"/>
          <w:u w:val="single" w:color="auto"/>
          <w:color w:val="auto"/>
        </w:rPr>
        <w:t>Rights Agreement</w:t>
      </w:r>
      <w:r>
        <w:rPr>
          <w:rFonts w:ascii="Times New Roman" w:cs="Times New Roman" w:eastAsia="Times New Roman" w:hAnsi="Times New Roman"/>
          <w:sz w:val="16"/>
          <w:szCs w:val="16"/>
          <w:color w:val="auto"/>
        </w:rPr>
        <w:t>”) to be entered into by Viatris Inc. and a rights agent (the “</w:t>
      </w:r>
      <w:r>
        <w:rPr>
          <w:rFonts w:ascii="Times New Roman" w:cs="Times New Roman" w:eastAsia="Times New Roman" w:hAnsi="Times New Roman"/>
          <w:sz w:val="16"/>
          <w:szCs w:val="16"/>
          <w:u w:val="single" w:color="auto"/>
          <w:color w:val="auto"/>
        </w:rPr>
        <w:t>Rights Agent</w:t>
      </w:r>
      <w:r>
        <w:rPr>
          <w:rFonts w:ascii="Times New Roman" w:cs="Times New Roman" w:eastAsia="Times New Roman" w:hAnsi="Times New Roman"/>
          <w:sz w:val="16"/>
          <w:szCs w:val="16"/>
          <w:color w:val="auto"/>
        </w:rPr>
        <w:t>”) and (g) units consisting of two or more of Debt Securities, Common Stock, Preferred Stock, Warrants or Rights (the “</w:t>
      </w:r>
      <w:r>
        <w:rPr>
          <w:rFonts w:ascii="Times New Roman" w:cs="Times New Roman" w:eastAsia="Times New Roman" w:hAnsi="Times New Roman"/>
          <w:sz w:val="16"/>
          <w:szCs w:val="16"/>
          <w:u w:val="single" w:color="auto"/>
          <w:color w:val="auto"/>
        </w:rPr>
        <w:t>Units</w:t>
      </w:r>
      <w:r>
        <w:rPr>
          <w:rFonts w:ascii="Times New Roman" w:cs="Times New Roman" w:eastAsia="Times New Roman" w:hAnsi="Times New Roman"/>
          <w:sz w:val="16"/>
          <w:szCs w:val="16"/>
          <w:color w:val="auto"/>
        </w:rPr>
        <w:t>” and, together with the securities specified in clauses (a) through (f) above, the “</w:t>
      </w:r>
      <w:r>
        <w:rPr>
          <w:rFonts w:ascii="Times New Roman" w:cs="Times New Roman" w:eastAsia="Times New Roman" w:hAnsi="Times New Roman"/>
          <w:sz w:val="16"/>
          <w:szCs w:val="16"/>
          <w:u w:val="single" w:color="auto"/>
          <w:color w:val="auto"/>
        </w:rPr>
        <w:t>Securities</w:t>
      </w:r>
      <w:r>
        <w:rPr>
          <w:rFonts w:ascii="Times New Roman" w:cs="Times New Roman" w:eastAsia="Times New Roman" w:hAnsi="Times New Roman"/>
          <w:sz w:val="16"/>
          <w:szCs w:val="16"/>
          <w:color w:val="auto"/>
        </w:rPr>
        <w:t>”) in one or more series under a unit agreement (the “</w:t>
      </w:r>
      <w:r>
        <w:rPr>
          <w:rFonts w:ascii="Times New Roman" w:cs="Times New Roman" w:eastAsia="Times New Roman" w:hAnsi="Times New Roman"/>
          <w:sz w:val="16"/>
          <w:szCs w:val="16"/>
          <w:u w:val="single" w:color="auto"/>
          <w:color w:val="auto"/>
        </w:rPr>
        <w:t>Unit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to be entered into by Viatris Inc. and a unit agent (the “</w:t>
      </w:r>
      <w:r>
        <w:rPr>
          <w:rFonts w:ascii="Times New Roman" w:cs="Times New Roman" w:eastAsia="Times New Roman" w:hAnsi="Times New Roman"/>
          <w:sz w:val="16"/>
          <w:szCs w:val="16"/>
          <w:u w:val="single" w:color="auto"/>
          <w:color w:val="auto"/>
        </w:rPr>
        <w:t>Unit Agent</w:t>
      </w:r>
      <w:r>
        <w:rPr>
          <w:rFonts w:ascii="Times New Roman" w:cs="Times New Roman" w:eastAsia="Times New Roman" w:hAnsi="Times New Roman"/>
          <w:sz w:val="16"/>
          <w:szCs w:val="16"/>
          <w:color w:val="auto"/>
        </w:rPr>
        <w:t>”). Viatris Inc. and the Guarantors are collectively referred to herein as the “</w:t>
      </w:r>
      <w:r>
        <w:rPr>
          <w:rFonts w:ascii="Times New Roman" w:cs="Times New Roman" w:eastAsia="Times New Roman" w:hAnsi="Times New Roman"/>
          <w:sz w:val="16"/>
          <w:szCs w:val="16"/>
          <w:u w:val="single" w:color="auto"/>
          <w:color w:val="auto"/>
        </w:rPr>
        <w:t>Registrants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1346200</wp:posOffset>
            </wp:positionV>
            <wp:extent cx="7145655" cy="152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2">
                      <a:extLst>
                        <a:ext uri="{28A0092B-C50C-407E-A947-70E740481C1C}"/>
                      </a:extLst>
                    </a:blip>
                    <a:srcRect/>
                    <a:stretch>
                      <a:fillRect/>
                    </a:stretch>
                  </pic:blipFill>
                  <pic:spPr bwMode="auto">
                    <a:xfrm>
                      <a:off x="0" y="0"/>
                      <a:ext cx="7145655" cy="152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116840</wp:posOffset>
            </wp:positionV>
            <wp:extent cx="4895215" cy="10128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3">
                      <a:extLst>
                        <a:ext uri="{28A0092B-C50C-407E-A947-70E740481C1C}"/>
                      </a:extLst>
                    </a:blip>
                    <a:srcRect/>
                    <a:stretch>
                      <a:fillRect/>
                    </a:stretch>
                  </pic:blipFill>
                  <pic:spPr bwMode="auto">
                    <a:xfrm>
                      <a:off x="0" y="0"/>
                      <a:ext cx="4895215" cy="1012825"/>
                    </a:xfrm>
                    <a:prstGeom prst="rect">
                      <a:avLst/>
                    </a:prstGeom>
                    <a:noFill/>
                  </pic:spPr>
                </pic:pic>
              </a:graphicData>
            </a:graphic>
          </wp:anchor>
        </w:drawing>
      </w:r>
    </w:p>
    <w:p>
      <w:pPr>
        <w:sectPr>
          <w:pgSz w:w="11900" w:h="16838" w:orient="portrait"/>
          <w:cols w:equalWidth="0" w:num="1">
            <w:col w:w="11260"/>
          </w:cols>
          <w:pgMar w:left="320" w:top="243" w:right="319" w:bottom="1440" w:gutter="0" w:footer="0" w:header="0"/>
        </w:sectPr>
      </w:pPr>
    </w:p>
    <w:bookmarkStart w:id="251" w:name="page252"/>
    <w:bookmarkEnd w:id="251"/>
    <w:p>
      <w:pPr>
        <w:ind w:left="3" w:right="60" w:firstLine="1169"/>
        <w:spacing w:after="0" w:line="264" w:lineRule="auto"/>
        <w:rPr>
          <w:sz w:val="20"/>
          <w:szCs w:val="20"/>
          <w:color w:val="auto"/>
        </w:rPr>
      </w:pPr>
      <w:r>
        <w:rPr>
          <w:rFonts w:ascii="Times New Roman" w:cs="Times New Roman" w:eastAsia="Times New Roman" w:hAnsi="Times New Roman"/>
          <w:sz w:val="16"/>
          <w:szCs w:val="16"/>
          <w:color w:val="auto"/>
        </w:rPr>
        <w:t>In connection with this opinion, we have examined originals, or copies certified or otherwise identified to our satisfaction, of such corporate records, certificates of corporate officers and government officials and such other documents as we have deemed necessary or appropriate for the purposes of this opinion, including:</w:t>
      </w:r>
    </w:p>
    <w:p>
      <w:pPr>
        <w:spacing w:after="0" w:line="1" w:lineRule="exact"/>
        <w:rPr>
          <w:sz w:val="20"/>
          <w:szCs w:val="20"/>
          <w:color w:val="auto"/>
        </w:rPr>
      </w:pPr>
    </w:p>
    <w:p>
      <w:pPr>
        <w:ind w:left="3" w:right="40" w:hanging="3"/>
        <w:spacing w:after="0" w:line="257" w:lineRule="auto"/>
        <w:tabs>
          <w:tab w:leader="none" w:pos="196"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Amended and Restated Certificate of Incorporation of Viatris Inc.; (ii) the Certificates of Amendment to the Amended and Restated Certificate of Incorporation of Viatris Inc.; (iii) the Amended and Restated Bylaws of Viatris Inc.; (iv) resolutions approved by the finance committee of the board of directors of Viatris Inc. on March 6, 2025; (v) the Certificate of Incorporation of Utah Acquisition Sub Inc.; (vi) the Bylaws of Utah Acquisition Sub Inc.; (vii) the unanimous written consent of the board of directors of Utah Acquisition Sub Inc., dated April 30, 2025; (viii) the Registration Statement; and (ix) the respective forms of Senior Indenture, Subordinated Indenture and Junior Subordinated Indenture to be filed as exhibits to the Registration Statement.</w:t>
      </w:r>
    </w:p>
    <w:p>
      <w:pPr>
        <w:spacing w:after="0" w:line="168" w:lineRule="exact"/>
        <w:rPr>
          <w:sz w:val="20"/>
          <w:szCs w:val="20"/>
          <w:color w:val="auto"/>
        </w:rPr>
      </w:pPr>
    </w:p>
    <w:p>
      <w:pPr>
        <w:ind w:left="3" w:right="440" w:firstLine="1169"/>
        <w:spacing w:after="0" w:line="265" w:lineRule="auto"/>
        <w:rPr>
          <w:sz w:val="20"/>
          <w:szCs w:val="20"/>
          <w:color w:val="auto"/>
        </w:rPr>
      </w:pPr>
      <w:r>
        <w:rPr>
          <w:rFonts w:ascii="Times New Roman" w:cs="Times New Roman" w:eastAsia="Times New Roman" w:hAnsi="Times New Roman"/>
          <w:sz w:val="16"/>
          <w:szCs w:val="16"/>
          <w:color w:val="auto"/>
        </w:rPr>
        <w:t>As to various questions of fact material to this opinion, we have relied upon representations of officers or directors of the Registrants and documents furnished to us by the Registrants without independent verification of their accuracy. We have also assumed the genuineness of all signatures, the legal capacity and competency of all natural persons, the authenticity of all documents submitted to us as originals and the conformity to authentic original documents of all documents submitted to us as copies.</w:t>
      </w:r>
    </w:p>
    <w:p>
      <w:pPr>
        <w:spacing w:after="0" w:line="162" w:lineRule="exact"/>
        <w:rPr>
          <w:sz w:val="20"/>
          <w:szCs w:val="20"/>
          <w:color w:val="auto"/>
        </w:rPr>
      </w:pPr>
    </w:p>
    <w:p>
      <w:pPr>
        <w:ind w:left="3" w:right="100" w:firstLine="1169"/>
        <w:spacing w:after="0" w:line="257" w:lineRule="auto"/>
        <w:rPr>
          <w:sz w:val="20"/>
          <w:szCs w:val="20"/>
          <w:color w:val="auto"/>
        </w:rPr>
      </w:pPr>
      <w:r>
        <w:rPr>
          <w:rFonts w:ascii="Times New Roman" w:cs="Times New Roman" w:eastAsia="Times New Roman" w:hAnsi="Times New Roman"/>
          <w:sz w:val="16"/>
          <w:szCs w:val="16"/>
          <w:color w:val="auto"/>
        </w:rPr>
        <w:t>Based on the foregoing and subject to the qualifications set forth herein, and assuming that: (i) the Registration Statement and any supplements and amendments thereto (including post-effective amendments) will have become effective and will comply with all applicable laws; (ii) the Registration Statement and any supplements and amendments thereto (including post-effective amendments) will be effective and will comply with all applicable laws at the time the Securities are offered or issued as contemplated by the Registration Statement; (iii) a prospectus supplement will have been prepared and filed with the Commission describing the Securities offered thereby and will comply with all applicable laws; (iv) all Securities will be issued and sold in compliance with all applicable Federal and state securities laws and in the manner stated in the Registration Statement and the appropriate prospectus supplement; (v) none of the terms of any Security to be established subsequent to the date hereof, nor the issuance and delivery of such Security, nor the compliance by the Registrants with the terms of such Security will violate any applicable law or will result in a violation of any provision of any instrument or agreement then binding upon the Registrants or any restriction imposed by any court or governmental body having jurisdiction over the Registrants; (vi) a definitive purchase, underwriting or similar agreement and any other necessary agreement with respect to any Securities offered or issued will have been duly authorized and validly executed and delivered by the Registrants and the other parties thereto; (vii) any Warrant Agreement, Rights Agreement and Unit Agreement will be governed by the laws of the State of New York; and (viii) any Securities issuable upon conversion, exchange or exercise of any Security being offered or issued will be duly authorized, created and, if appropriate, reserved for issuance upon such conversion, exchange or exercise, we are of opinion that:</w:t>
      </w:r>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4F8ABD"/>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252" w:name="page253"/>
    <w:bookmarkEnd w:id="252"/>
    <w:p>
      <w:pPr>
        <w:ind w:left="300" w:right="260" w:hanging="298"/>
        <w:spacing w:after="0" w:line="258" w:lineRule="auto"/>
        <w:tabs>
          <w:tab w:leader="none" w:pos="30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Senior Debt Securities, Subordinated Debt Securities and Junior Subordinated Debt Securities and any Guarantees thereof to be issued under the Senior Indenture, the Subordinated Indenture and the Junior Subordinated Indenture, respectively, when (A) the Senior Trustee, Subordinated Trustee and Junior Subordinated Trustee, respectively, is qualified to act as trustee under the Senior Indenture, the Subordinated Indenture and the Junior Subordinated Indenture, respectively, (B) the Senior Trustee, Subordinated Trustee and Junior Subordinated Trustee, respectively, has duly executed and delivered the Senior Indenture, the Subordinated Indenture and the Junior Subordinated Indenture, respectively, and any supplemental indenture thereunder,</w:t>
      </w:r>
    </w:p>
    <w:p>
      <w:pPr>
        <w:spacing w:after="0" w:line="1" w:lineRule="exact"/>
        <w:rPr>
          <w:rFonts w:ascii="Times New Roman" w:cs="Times New Roman" w:eastAsia="Times New Roman" w:hAnsi="Times New Roman"/>
          <w:sz w:val="16"/>
          <w:szCs w:val="16"/>
          <w:color w:val="auto"/>
        </w:rPr>
      </w:pPr>
    </w:p>
    <w:p>
      <w:pPr>
        <w:ind w:left="300" w:right="20" w:hanging="6"/>
        <w:spacing w:after="0" w:line="255" w:lineRule="auto"/>
        <w:tabs>
          <w:tab w:leader="none" w:pos="598" w:val="left"/>
        </w:tabs>
        <w:numPr>
          <w:ilvl w:val="1"/>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Senior Indenture, the Subordinated Indenture and the Junior Subordinated Indenture, respectively, and any supplemental indenture thereunder has been duly authorized and validly executed and delivered by Viatris Inc. and any Guarantor to the Senior Trustee, Subordinated Trustee and Junior Subordinated Trustee, respectively, (D) the Senior Indenture, the Subordinated Indenture, and the Junior Subordinated Indenture, respectively, has been duly qualified under the Trust Indenture Act of 1939, as amended, (E) the boards of directors of Viatris Inc. and any Guarantor, a duly constituted and acting committee thereof or any officers of Viatris Inc. and such Guarantor delegated such authority (such board of directors, committee or officers being hereinafter referred to as the “</w:t>
      </w:r>
      <w:r>
        <w:rPr>
          <w:rFonts w:ascii="Times New Roman" w:cs="Times New Roman" w:eastAsia="Times New Roman" w:hAnsi="Times New Roman"/>
          <w:sz w:val="16"/>
          <w:szCs w:val="16"/>
          <w:u w:val="single" w:color="auto"/>
          <w:color w:val="auto"/>
        </w:rPr>
        <w:t>Boards</w:t>
      </w:r>
      <w:r>
        <w:rPr>
          <w:rFonts w:ascii="Times New Roman" w:cs="Times New Roman" w:eastAsia="Times New Roman" w:hAnsi="Times New Roman"/>
          <w:sz w:val="16"/>
          <w:szCs w:val="16"/>
          <w:color w:val="auto"/>
        </w:rPr>
        <w:t>”) have taken all necessary corporate or other organizational action, as applicable, to approve the issuance and terms of a particular series of Senior Debt Securities, Subordinated Debt Securities and Junior Subordinated Debt Securities, respectively, and Guarantees, if any, the terms of the offering thereof and related matters, and (F) such Senior Debt Securities, Subordinated Debt Securities and Junior Subordinated Debt Securities, respectively, and Guarantees, if any, have been duly executed, authenticated, issued and delivered in accordance with the provisions of the Senior Indenture, the Subordinated Indenture and the Junior Subordinated Indenture, respectively, including any supplemental indenture related thereto, and the applicable definitive purchase, underwriting or similar agreement approved by the applicable Boards upon payment of the consideration therefor provided for therein, such Senior Debt Securities, Subordinated Debt Securities and Junior Subordinated Debt Securities, respectively, and such Guarantees thereof will be validly issued and will constitute valid and binding obligations of Viatris Inc. and each such Guarantor, enforceable against them in accordance with their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spacing w:after="0" w:line="364" w:lineRule="exact"/>
        <w:rPr>
          <w:rFonts w:ascii="Times New Roman" w:cs="Times New Roman" w:eastAsia="Times New Roman" w:hAnsi="Times New Roman"/>
          <w:sz w:val="16"/>
          <w:szCs w:val="16"/>
          <w:color w:val="auto"/>
        </w:rPr>
      </w:pPr>
    </w:p>
    <w:p>
      <w:pPr>
        <w:ind w:left="300" w:right="20" w:hanging="298"/>
        <w:spacing w:after="0" w:line="259" w:lineRule="auto"/>
        <w:tabs>
          <w:tab w:leader="none" w:pos="30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shares of Common Stock, when both (a) the Board of Viatris Inc. has taken all necessary corporate action to approve the issuance of and the terms of the offering of (i) the Debt Securities or Preferred Stock, as the case may be, convertible or exchangeable into Common Stock and (ii) the shares of Common Stock and (b) certificates representing the shares of Common Stock have been duly executed, countersigned, registered and delivered either (i) in accordance with the applicable definitive purchase, underwriting or similar agreement approved by the Board of Viatris Inc. upon payment of the consideration therefor (which per share consideration is not less than the par value of the Common Stock) provided for therein or (ii) upon conversion or exercise of such Debt Security or Preferred Stock, as the case may be, in accordance with the terms of such Security or the instrument governing such Security providing for such conversion or exercise as approved by the Board of Viatris Inc., for the consideration approved by the Board of Viatris Inc. (which per share consideration is not less than the par value of the Common Stock), then such shares of Common Stock will be validly issued, fully paid and nonassessable.</w:t>
      </w: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4F8ABD"/>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33655</wp:posOffset>
            </wp:positionV>
            <wp:extent cx="7145655" cy="152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80"/>
          </w:cols>
          <w:pgMar w:left="900" w:top="123" w:right="319" w:bottom="1440" w:gutter="0" w:footer="0" w:header="0"/>
        </w:sectPr>
      </w:pPr>
    </w:p>
    <w:bookmarkStart w:id="253" w:name="page254"/>
    <w:bookmarkEnd w:id="253"/>
    <w:p>
      <w:pPr>
        <w:ind w:left="300" w:right="40" w:hanging="298"/>
        <w:spacing w:after="0" w:line="258" w:lineRule="auto"/>
        <w:tabs>
          <w:tab w:leader="none" w:pos="30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shares of Preferred Stock, when (a) the Board of Viatris Inc. has taken all necessary corporate action to approve the issuance and terms of a particular series of Preferred Stock, the terms of the offering thereof and related matters, including the adoption of a Certificate of Designation relating to such Preferred Stock (a “</w:t>
      </w:r>
      <w:r>
        <w:rPr>
          <w:rFonts w:ascii="Times New Roman" w:cs="Times New Roman" w:eastAsia="Times New Roman" w:hAnsi="Times New Roman"/>
          <w:sz w:val="16"/>
          <w:szCs w:val="16"/>
          <w:u w:val="single" w:color="auto"/>
          <w:color w:val="auto"/>
        </w:rPr>
        <w:t>Certificate</w:t>
      </w:r>
      <w:r>
        <w:rPr>
          <w:rFonts w:ascii="Times New Roman" w:cs="Times New Roman" w:eastAsia="Times New Roman" w:hAnsi="Times New Roman"/>
          <w:sz w:val="16"/>
          <w:szCs w:val="16"/>
          <w:color w:val="auto"/>
        </w:rPr>
        <w:t>”) and the filing of such Certificate with the Secretary of State of the State of Delaware, (b) such Certificate has been properly filed with the Secretary of State of the State of Delaware and (c) certificates representing such shares of Preferred Stock have been duly executed, countersigned, registered and delivered either (i) in accordance with the applicable definitive purchase, underwriting or similar agreement approved by the Board of Viatris Inc. upon payment of the consideration therefor (which per share consideration is not less than the par value of the Preferred Stock) provided for therein or (ii) upon conversion or exercise of any other Security, in accordance with the terms of such Security or the instrument governing such Security providing for such conversion or exercise as approved by the Board of Viatris Inc., for the consideration approved by the Board of Viatris Inc. (which per share consideration is not less than the par value of the Preferred Stock), then such shares of Preferred Stock will be validly issued, fully paid and nonassessable.</w:t>
      </w:r>
    </w:p>
    <w:p>
      <w:pPr>
        <w:spacing w:after="0" w:line="168" w:lineRule="exact"/>
        <w:rPr>
          <w:rFonts w:ascii="Times New Roman" w:cs="Times New Roman" w:eastAsia="Times New Roman" w:hAnsi="Times New Roman"/>
          <w:sz w:val="16"/>
          <w:szCs w:val="16"/>
          <w:color w:val="auto"/>
        </w:rPr>
      </w:pPr>
    </w:p>
    <w:p>
      <w:pPr>
        <w:ind w:left="300" w:right="40" w:hanging="298"/>
        <w:spacing w:after="0" w:line="258" w:lineRule="auto"/>
        <w:tabs>
          <w:tab w:leader="none" w:pos="30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Warrants, when (a) the Warrant Agent has duly executed and delivered the Warrant Agreement, (b) the Warrant Agreement has been duly authorized and validly executed and delivered by Viatris Inc. to the Warrant Agent, (c) the Board of Viatris Inc. has taken all necessary corporate action to approve the due and valid issuance and terms of a particular series of Warrants, the terms of the offering thereof and related matters and (d) such Warrants have been duly executed, countersigned, registered and delivered in accordance with the provisions of the Warrant Agreement and the applicable definitive purchase, underwriting or similar agreement approved by the Board of Viatris Inc., upon payment of the consideration therefor provided for therein, such Warrants will constitute valid and binding obligations of Viatris Inc., enforceable against Viatris Inc. in accordance with their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spacing w:after="0" w:line="168" w:lineRule="exact"/>
        <w:rPr>
          <w:rFonts w:ascii="Times New Roman" w:cs="Times New Roman" w:eastAsia="Times New Roman" w:hAnsi="Times New Roman"/>
          <w:sz w:val="16"/>
          <w:szCs w:val="16"/>
          <w:color w:val="auto"/>
        </w:rPr>
      </w:pPr>
    </w:p>
    <w:p>
      <w:pPr>
        <w:ind w:left="300" w:right="40" w:hanging="298"/>
        <w:spacing w:after="0" w:line="258" w:lineRule="auto"/>
        <w:tabs>
          <w:tab w:leader="none" w:pos="30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Rights, when (a) the Rights Agent has duly executed and delivered the Rights Agreement, (b) the Rights Agreement has been duly authorized and validly executed and delivered by Viatris Inc. to the Rights Agent, (c) the Board of Viatris Inc. has taken all necessary corporate action to approve the due and valid issuance and terms of a particular series of Rights, the terms of the offering thereof and related matters and (d) such Rights have been duly executed and delivered in accordance with the provisions of the Rights Agreement and the applicable definitive purchase, underwriting or similar agreement approved by the Board of Viatris Inc., upon payment of the consideration therefor provided for therein, such Rights will constitute valid and binding obligations of Viatris Inc., enforceable against Viatris Inc. in accordance with their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4F8ABD"/>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33655</wp:posOffset>
            </wp:positionV>
            <wp:extent cx="7145655" cy="152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80"/>
          </w:cols>
          <w:pgMar w:left="900" w:top="123" w:right="319" w:bottom="1440" w:gutter="0" w:footer="0" w:header="0"/>
        </w:sectPr>
      </w:pPr>
    </w:p>
    <w:bookmarkStart w:id="254" w:name="page255"/>
    <w:bookmarkEnd w:id="254"/>
    <w:p>
      <w:pPr>
        <w:ind w:left="880" w:right="20" w:hanging="298"/>
        <w:spacing w:after="0" w:line="259" w:lineRule="auto"/>
        <w:tabs>
          <w:tab w:leader="none" w:pos="88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Units, when (a) the Unit Agent has duly executed and delivered the Unit Agreement, (b) the Unit Agreement has been duly authorized and validly executed and delivered by Viatris Inc. to the Unit Agent, (c) the Board of Viatris Inc. has taken all necessary corporate action to approve the due and valid issuance and terms of a particular series of Units, the terms of the offering thereof and related matters and (d) such Units have been duly executed and delivered in accordance with the provisions of the Unit Agreement and the applicable definitive purchase, underwriting or similar agreement approved by the Board of Viatris Inc., upon payment of the consideration therefor provided for therein, such Units will constitute valid and binding obligations of Viatris Inc., enforceable against Viatris Inc. in accordance with their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spacing w:after="0" w:line="299" w:lineRule="exact"/>
        <w:rPr>
          <w:sz w:val="20"/>
          <w:szCs w:val="20"/>
          <w:color w:val="auto"/>
        </w:rPr>
      </w:pPr>
    </w:p>
    <w:p>
      <w:pPr>
        <w:ind w:right="60" w:firstLine="1169"/>
        <w:spacing w:after="0" w:line="259" w:lineRule="auto"/>
        <w:rPr>
          <w:sz w:val="20"/>
          <w:szCs w:val="20"/>
          <w:color w:val="auto"/>
        </w:rPr>
      </w:pPr>
      <w:r>
        <w:rPr>
          <w:rFonts w:ascii="Times New Roman" w:cs="Times New Roman" w:eastAsia="Times New Roman" w:hAnsi="Times New Roman"/>
          <w:sz w:val="16"/>
          <w:szCs w:val="16"/>
          <w:color w:val="auto"/>
        </w:rPr>
        <w:t>We express no opinion herein as to any provision of any Indenture, the Warrant Agreement, the Rights Agreement or the Unit Agreement or the Debt Securities, the Guarantees, the Warrants, the Rights or the Units that (a) relates to the subject matter jurisdiction of any Federal court of the United States of America, or any Federal appellate court, to adjudicate any controversy related thereto, (b) contains a waiver of an inconvenient forum, (c) relates to the waiver of rights to jury trial or (d) provides for indemnification, contribution or limitations on liability. We also express no opinion as to (i) the enforceability of the provisions of any Indenture, the Warrant Agreement, the Rights Agreement or the Unit Agreement or the Debt Securities, the Guarantees, the Warrants, the Rights or the Units to the extent that such provisions constitute a waiver of illegality as a defense to performance of contract obligations or any other defense to performance which cannot, as a matter of law, be effectively waived or (ii) whether a state court outside the State of New York or a Federal court of the United States would give effect to the choice of New York law provided for therein.</w:t>
      </w:r>
    </w:p>
    <w:p>
      <w:pPr>
        <w:spacing w:after="0" w:line="165" w:lineRule="exact"/>
        <w:rPr>
          <w:sz w:val="20"/>
          <w:szCs w:val="20"/>
          <w:color w:val="auto"/>
        </w:rPr>
      </w:pPr>
    </w:p>
    <w:p>
      <w:pPr>
        <w:ind w:right="140" w:firstLine="1169"/>
        <w:spacing w:after="0" w:line="262" w:lineRule="auto"/>
        <w:rPr>
          <w:sz w:val="20"/>
          <w:szCs w:val="20"/>
          <w:color w:val="auto"/>
        </w:rPr>
      </w:pPr>
      <w:r>
        <w:rPr>
          <w:rFonts w:ascii="Times New Roman" w:cs="Times New Roman" w:eastAsia="Times New Roman" w:hAnsi="Times New Roman"/>
          <w:sz w:val="16"/>
          <w:szCs w:val="16"/>
          <w:color w:val="auto"/>
        </w:rPr>
        <w:t>Courts in the United States have not customarily rendered judgments for money damages denominated in any currency other than United States dollars. Section 27(b) of the Judiciary Law of the State of New York provides, however, that a judgment or decree in an action based upon an obligation denominated in a currency other than United States dollars shall be rendered in the foreign currency of the underlying obligation and converted into United States dollars at the rate of exchange prevailing on the date of the entry of the judgment or decree. We express no opinion as to whether a Federal court would render a judgment other than in United States dollars.</w:t>
      </w:r>
    </w:p>
    <w:p>
      <w:pPr>
        <w:spacing w:after="0" w:line="92" w:lineRule="exact"/>
        <w:rPr>
          <w:sz w:val="20"/>
          <w:szCs w:val="20"/>
          <w:color w:val="auto"/>
        </w:rPr>
      </w:pPr>
    </w:p>
    <w:p>
      <w:pPr>
        <w:ind w:right="140" w:firstLine="1169"/>
        <w:spacing w:after="0" w:line="271" w:lineRule="auto"/>
        <w:rPr>
          <w:sz w:val="20"/>
          <w:szCs w:val="20"/>
          <w:color w:val="auto"/>
        </w:rPr>
      </w:pPr>
      <w:r>
        <w:rPr>
          <w:rFonts w:ascii="Times New Roman" w:cs="Times New Roman" w:eastAsia="Times New Roman" w:hAnsi="Times New Roman"/>
          <w:sz w:val="16"/>
          <w:szCs w:val="16"/>
          <w:color w:val="auto"/>
        </w:rPr>
        <w:t>We are admitted to practice only in the State of New York, and we express no opinion as to matters governed by any laws other than the laws of the State of New York, the General Corporation Law of the State of Delaware and the Federal laws of the United States of America. In particular, we do not purport to pass on any matter governed by the laws of the Netherlands or Pennsylvania.</w:t>
      </w: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4F8ABD"/>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55" w:name="page256"/>
    <w:bookmarkEnd w:id="255"/>
    <w:p>
      <w:pPr>
        <w:ind w:right="200" w:firstLine="1169"/>
        <w:spacing w:after="0" w:line="265" w:lineRule="auto"/>
        <w:rPr>
          <w:sz w:val="20"/>
          <w:szCs w:val="20"/>
          <w:color w:val="auto"/>
        </w:rPr>
      </w:pPr>
      <w:r>
        <w:rPr>
          <w:rFonts w:ascii="Times New Roman" w:cs="Times New Roman" w:eastAsia="Times New Roman" w:hAnsi="Times New Roman"/>
          <w:sz w:val="16"/>
          <w:szCs w:val="16"/>
          <w:color w:val="auto"/>
        </w:rPr>
        <w:t>We understand that we may be referred to as counsel who has passed upon the validity of the Securities of the Registrants in the prospectus and in a supplement to the prospectus forming a part of the Registration Statement, and we hereby consent to such use of our name in said Registration Statement and to the use of this opinion for filing with said Registration Statement as Exhibit 5.1 thereto. In giving this consent, we do not hereby admit that we are within the category of persons whose consent is required under Section 7 of the Securities Act or the rules and regulations of the Commission promulgated thereunder.</w:t>
      </w:r>
    </w:p>
    <w:p>
      <w:pPr>
        <w:spacing w:after="0" w:line="162" w:lineRule="exact"/>
        <w:rPr>
          <w:sz w:val="20"/>
          <w:szCs w:val="20"/>
          <w:color w:val="auto"/>
        </w:rPr>
      </w:pPr>
    </w:p>
    <w:p>
      <w:pPr>
        <w:ind w:right="20" w:firstLine="1169"/>
        <w:spacing w:after="0" w:line="265" w:lineRule="auto"/>
        <w:rPr>
          <w:sz w:val="20"/>
          <w:szCs w:val="20"/>
          <w:color w:val="auto"/>
        </w:rPr>
      </w:pPr>
      <w:r>
        <w:rPr>
          <w:rFonts w:ascii="Times New Roman" w:cs="Times New Roman" w:eastAsia="Times New Roman" w:hAnsi="Times New Roman"/>
          <w:sz w:val="16"/>
          <w:szCs w:val="16"/>
          <w:color w:val="auto"/>
        </w:rPr>
        <w:t>In rendering this opinion, we have assumed, without independent investigation, the correctness of, and take no responsibility for, (i) the opinion dated May 8, 2025 of NautaDutilh N.V., a copy of which shall be filed with the Registration Statement as Exhibit 5.2 thereto, as to all matters of law covered therein relating to the laws of the Netherlands or (ii) the opinion dated May 8, 2025, of Parker Poe Adams &amp; Bernstein LLP, a copy of which shall be filed with the Registration Statement as Exhibit 5.3 thereto, as to all matters of law covered therein relating to the laws of Pennsylvania.</w:t>
      </w:r>
    </w:p>
    <w:p>
      <w:pPr>
        <w:spacing w:after="0" w:line="10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2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/s/ Cravath, Swaine &amp; Moore LLP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Viatris Inc.</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1000 Mylan Boulevard</w:t>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Canonsburg, PA 15317</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4F8ABD"/>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49530</wp:posOffset>
            </wp:positionV>
            <wp:extent cx="7145655" cy="152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11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9">
                      <a:extLst>
                        <a:ext uri="{28A0092B-C50C-407E-A947-70E740481C1C}"/>
                      </a:extLst>
                    </a:blip>
                    <a:srcRect/>
                    <a:stretch>
                      <a:fillRect/>
                    </a:stretch>
                  </pic:blipFill>
                  <pic:spPr bwMode="auto">
                    <a:xfrm>
                      <a:off x="0" y="0"/>
                      <a:ext cx="7145655" cy="31115"/>
                    </a:xfrm>
                    <a:prstGeom prst="rect">
                      <a:avLst/>
                    </a:prstGeom>
                    <a:noFill/>
                  </pic:spPr>
                </pic:pic>
              </a:graphicData>
            </a:graphic>
          </wp:anchor>
        </w:drawing>
        <w:t>Exhibit 5.2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ATTORNEYS • CIVIL LAW NOTARIES • TAX ADVISERS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3378200</wp:posOffset>
            </wp:positionH>
            <wp:positionV relativeFrom="paragraph">
              <wp:posOffset>-106045</wp:posOffset>
            </wp:positionV>
            <wp:extent cx="1028700" cy="1238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0">
                      <a:extLst>
                        <a:ext uri="{28A0092B-C50C-407E-A947-70E740481C1C}"/>
                      </a:extLst>
                    </a:blip>
                    <a:srcRect/>
                    <a:stretch>
                      <a:fillRect/>
                    </a:stretch>
                  </pic:blipFill>
                  <pic:spPr bwMode="auto">
                    <a:xfrm>
                      <a:off x="0" y="0"/>
                      <a:ext cx="1028700" cy="123825"/>
                    </a:xfrm>
                    <a:prstGeom prst="rect">
                      <a:avLst/>
                    </a:prstGeom>
                    <a:noFill/>
                  </pic:spPr>
                </pic:pic>
              </a:graphicData>
            </a:graphic>
          </wp:anchor>
        </w:drawing>
      </w:r>
    </w:p>
    <w:p>
      <w:pPr>
        <w:spacing w:after="0" w:line="23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6"/>
          <w:szCs w:val="16"/>
          <w:b w:val="1"/>
          <w:bCs w:val="1"/>
          <w:color w:val="auto"/>
        </w:rPr>
        <w:t>Beethovenstraat 400</w:t>
      </w:r>
      <w:r>
        <w:rPr>
          <w:sz w:val="20"/>
          <w:szCs w:val="20"/>
          <w:color w:val="auto"/>
        </w:rPr>
        <w:tab/>
      </w:r>
      <w:r>
        <w:rPr>
          <w:rFonts w:ascii="Times New Roman" w:cs="Times New Roman" w:eastAsia="Times New Roman" w:hAnsi="Times New Roman"/>
          <w:sz w:val="16"/>
          <w:szCs w:val="16"/>
          <w:color w:val="auto"/>
        </w:rPr>
        <w:t>Amsterdam, 8 May 2025</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1082 PR Amsterdam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 +31 20 71 71 000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Viatris Inc.:</w:t>
      </w:r>
    </w:p>
    <w:p>
      <w:pPr>
        <w:spacing w:after="0" w:line="20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We have acted as legal counsel as to Dutch law to Viatris Inc. and the Dutch Company in connection with the filing of the Registration Statement with the SEC. This opinion letter is rendered to you in order to be filed with the SEC as an exhibit to the Registration Statement.</w:t>
      </w:r>
    </w:p>
    <w:p>
      <w:pPr>
        <w:spacing w:after="0" w:line="143"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Capitalised terms used in this opinion letter have the meanings set forth in Exhibit A to this opinion letter. The headings used in this opinion letter are for convenience of reference only and are not to affect its construction or to be taken into consideration in its interpretation.</w:t>
      </w:r>
    </w:p>
    <w:p>
      <w:pPr>
        <w:spacing w:after="0" w:line="14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any document reviewed by us in connection with this opinion letter, except as expressly confirmed in this opinion letter.</w:t>
      </w:r>
    </w:p>
    <w:p>
      <w:pPr>
        <w:spacing w:after="0" w:line="15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 xml:space="preserve">In rendering the opinions expressed in this opinion letter, we have exclusively reviewed and relied upon the Registration Statement, the Forms of Indenture, the Form of Notation of Guarantee and pdf copies of the Corporate Documents and we have assumed that any issuance of Registered Securities or the entering of any Agreements shall be effected for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commercial reasons. We have not investigated or verified any factual matter disclosed to us in the course of our review.</w:t>
      </w:r>
    </w:p>
    <w:p>
      <w:pPr>
        <w:sectPr>
          <w:pgSz w:w="11900" w:h="16838" w:orient="portrait"/>
          <w:cols w:equalWidth="0" w:num="1">
            <w:col w:w="11260"/>
          </w:cols>
          <w:pgMar w:left="320" w:top="255" w:right="319" w:bottom="1440" w:gutter="0" w:footer="0" w:header="0"/>
        </w:sectPr>
      </w:pP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Amsterdam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Brussels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London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Luxemburg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Rotterdam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6"/>
          <w:szCs w:val="16"/>
          <w:color w:val="auto"/>
        </w:rPr>
        <w:t xml:space="preserve">This communication is confidential and may be subject to professional privilege. All legal relationships are subject to NautaDutilh N.V.'s general terms and conditions (see </w:t>
      </w:r>
      <w:r>
        <w:rPr>
          <w:rFonts w:ascii="Times New Roman" w:cs="Times New Roman" w:eastAsia="Times New Roman" w:hAnsi="Times New Roman"/>
          <w:sz w:val="16"/>
          <w:szCs w:val="16"/>
          <w:u w:val="single" w:color="auto"/>
          <w:color w:val="auto"/>
        </w:rPr>
        <w:t>https://www.nautadutilh.com/terms</w:t>
      </w:r>
      <w:r>
        <w:rPr>
          <w:rFonts w:ascii="Times New Roman" w:cs="Times New Roman" w:eastAsia="Times New Roman" w:hAnsi="Times New Roman"/>
          <w:sz w:val="16"/>
          <w:szCs w:val="16"/>
          <w:color w:val="auto"/>
        </w:rPr>
        <w:t>), which apply mutatis mutandis to our relationship with third parties relying on statements of NautaDutilh N.V., include a limitation of liability clause, have been filed with the Rotterdam District Court and will be provided free of charge upon request. NautaDutilh N.V.; corporate seat Rotterdam; trade register no. 24338323.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647065</wp:posOffset>
            </wp:positionV>
            <wp:extent cx="7145655" cy="152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2">
            <w:col w:w="1540" w:space="720"/>
            <w:col w:w="9000"/>
          </w:cols>
          <w:pgMar w:left="320" w:top="255" w:right="319" w:bottom="1440" w:gutter="0" w:footer="0" w:header="0"/>
          <w:type w:val="continuous"/>
        </w:sectPr>
      </w:pPr>
    </w:p>
    <w:bookmarkStart w:id="257" w:name="page258"/>
    <w:bookmarkEnd w:id="257"/>
    <w:p>
      <w:pPr>
        <w:ind w:left="5963"/>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3805555</wp:posOffset>
            </wp:positionH>
            <wp:positionV relativeFrom="page">
              <wp:posOffset>88900</wp:posOffset>
            </wp:positionV>
            <wp:extent cx="1028700" cy="1238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2">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23825"/>
                    </a:xfrm>
                    <a:prstGeom prst="rect">
                      <a:avLst/>
                    </a:prstGeom>
                    <a:noFill/>
                  </pic:spPr>
                </pic:pic>
              </a:graphicData>
            </a:graphic>
          </wp:anchor>
        </w:drawing>
        <w:t>2</w:t>
      </w:r>
    </w:p>
    <w:p>
      <w:pPr>
        <w:spacing w:after="0" w:line="183" w:lineRule="exact"/>
        <w:rPr>
          <w:sz w:val="20"/>
          <w:szCs w:val="20"/>
          <w:color w:val="auto"/>
        </w:rPr>
      </w:pPr>
    </w:p>
    <w:p>
      <w:pPr>
        <w:jc w:val="both"/>
        <w:ind w:left="3"/>
        <w:spacing w:after="0" w:line="261" w:lineRule="auto"/>
        <w:rPr>
          <w:sz w:val="20"/>
          <w:szCs w:val="20"/>
          <w:color w:val="auto"/>
        </w:rPr>
      </w:pPr>
      <w:r>
        <w:rPr>
          <w:rFonts w:ascii="Times New Roman" w:cs="Times New Roman" w:eastAsia="Times New Roman" w:hAnsi="Times New Roman"/>
          <w:sz w:val="16"/>
          <w:szCs w:val="16"/>
          <w:color w:val="auto"/>
        </w:rPr>
        <w:t>This opinion letter sets out our opinion on certain matters of the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tax law, Dutch or European competition law, data protection law, securitization law or regulatory law. No undertaking is assumed on our part to revise, update or amend this opinion letter in connection with or to notify or inform you of, any developments and/or changes of Dutch law subsequent to today's date. We do not purport to opine on the consequences of amendments to the Registration Statement or the Corporate Documents subsequent to the date of this opinion letter.</w:t>
      </w:r>
    </w:p>
    <w:p>
      <w:pPr>
        <w:spacing w:after="0" w:line="164" w:lineRule="exact"/>
        <w:rPr>
          <w:sz w:val="20"/>
          <w:szCs w:val="20"/>
          <w:color w:val="auto"/>
        </w:rPr>
      </w:pPr>
    </w:p>
    <w:p>
      <w:pPr>
        <w:jc w:val="both"/>
        <w:ind w:left="3"/>
        <w:spacing w:after="0" w:line="262" w:lineRule="auto"/>
        <w:rPr>
          <w:sz w:val="20"/>
          <w:szCs w:val="20"/>
          <w:color w:val="auto"/>
        </w:rPr>
      </w:pPr>
      <w:r>
        <w:rPr>
          <w:rFonts w:ascii="Times New Roman" w:cs="Times New Roman" w:eastAsia="Times New Roman" w:hAnsi="Times New Roman"/>
          <w:sz w:val="16"/>
          <w:szCs w:val="16"/>
          <w:color w:val="auto"/>
        </w:rPr>
        <w:t>The opinions expressed in this opinion letter are to be construed and interpreted in accordance with Dutch law. The competent courts at Amsterdam, the Netherlands have exclusive jurisdiction to settle any issues of interpretation or liability arising out of or in connection with this opinion letter. Any legal relationship arising out of or in connection with this opinion letter (whether contractual or non-contractual), including the above submission as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w:t>
      </w:r>
    </w:p>
    <w:p>
      <w:pPr>
        <w:spacing w:after="0" w:line="165" w:lineRule="exact"/>
        <w:rPr>
          <w:sz w:val="20"/>
          <w:szCs w:val="20"/>
          <w:color w:val="auto"/>
        </w:rPr>
      </w:pPr>
    </w:p>
    <w:p>
      <w:pPr>
        <w:jc w:val="both"/>
        <w:ind w:left="3"/>
        <w:spacing w:after="0" w:line="271" w:lineRule="auto"/>
        <w:rPr>
          <w:sz w:val="20"/>
          <w:szCs w:val="20"/>
          <w:color w:val="auto"/>
        </w:rPr>
      </w:pPr>
      <w:r>
        <w:rPr>
          <w:rFonts w:ascii="Times New Roman" w:cs="Times New Roman" w:eastAsia="Times New Roman" w:hAnsi="Times New Roman"/>
          <w:sz w:val="16"/>
          <w:szCs w:val="16"/>
          <w:color w:val="auto"/>
        </w:rPr>
        <w:t>In this opinion letter, legal concepts are expressed in English terms. The Dutch legal concepts concerned may not be identical in meaning to the concepts described by the English terms as they exist under the law of other jurisdictions. In the event of a conflict or inconsistency, the relevant expression shall be deemed to refer only to the Dutch legal concepts described by the English terms.</w:t>
      </w:r>
    </w:p>
    <w:p>
      <w:pPr>
        <w:spacing w:after="0" w:line="15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For the purposes of this opinion letter, we have assumed that:</w:t>
      </w:r>
    </w:p>
    <w:p>
      <w:pPr>
        <w:spacing w:after="0" w:line="206" w:lineRule="exact"/>
        <w:rPr>
          <w:sz w:val="20"/>
          <w:szCs w:val="20"/>
          <w:color w:val="auto"/>
        </w:rPr>
      </w:pPr>
    </w:p>
    <w:p>
      <w:pPr>
        <w:ind w:left="563" w:hanging="563"/>
        <w:spacing w:after="0" w:line="288" w:lineRule="auto"/>
        <w:tabs>
          <w:tab w:leader="none" w:pos="563"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drafts of documents reviewed by us will be signed in the form of those drafts, each copy of a document conforms to the original, each original is authentic, and each signature is the genuine signature of the individual purported to have placed that signature;</w:t>
      </w:r>
    </w:p>
    <w:p>
      <w:pPr>
        <w:spacing w:after="0" w:line="143" w:lineRule="exact"/>
        <w:rPr>
          <w:rFonts w:ascii="Times New Roman" w:cs="Times New Roman" w:eastAsia="Times New Roman" w:hAnsi="Times New Roman"/>
          <w:sz w:val="16"/>
          <w:szCs w:val="16"/>
          <w:color w:val="auto"/>
        </w:rPr>
      </w:pPr>
    </w:p>
    <w:p>
      <w:pPr>
        <w:ind w:left="563" w:hanging="563"/>
        <w:spacing w:after="0" w:line="288" w:lineRule="auto"/>
        <w:tabs>
          <w:tab w:leader="none" w:pos="563"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signature under any document is an electronic signature (as opposed to a handwritten (“wet ink”) signature) only, it is either a qualified electronic signature within the meaning of the eIDAS Regulation, or the method used for signing is otherwise sufficiently reliable;</w:t>
      </w:r>
    </w:p>
    <w:p>
      <w:pPr>
        <w:spacing w:after="0" w:line="143" w:lineRule="exact"/>
        <w:rPr>
          <w:rFonts w:ascii="Times New Roman" w:cs="Times New Roman" w:eastAsia="Times New Roman" w:hAnsi="Times New Roman"/>
          <w:sz w:val="16"/>
          <w:szCs w:val="16"/>
          <w:color w:val="auto"/>
        </w:rPr>
      </w:pPr>
    </w:p>
    <w:p>
      <w:pPr>
        <w:ind w:left="563" w:hanging="563"/>
        <w:spacing w:after="0"/>
        <w:tabs>
          <w:tab w:leader="none" w:pos="563"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Registration Statement, in the form reviewed by us, has become or will become effective automatically upon filing with the SEC by Viatris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145655" cy="152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3"/>
          </w:cols>
          <w:pgMar w:left="317" w:top="582" w:right="339" w:bottom="1440" w:gutter="0" w:footer="0" w:header="0"/>
        </w:sectPr>
      </w:pPr>
    </w:p>
    <w:bookmarkStart w:id="258" w:name="page259"/>
    <w:bookmarkEnd w:id="258"/>
    <w:p>
      <w:pPr>
        <w:ind w:left="5963"/>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3805555</wp:posOffset>
            </wp:positionH>
            <wp:positionV relativeFrom="page">
              <wp:posOffset>88900</wp:posOffset>
            </wp:positionV>
            <wp:extent cx="1028700" cy="1238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4">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23825"/>
                    </a:xfrm>
                    <a:prstGeom prst="rect">
                      <a:avLst/>
                    </a:prstGeom>
                    <a:noFill/>
                  </pic:spPr>
                </pic:pic>
              </a:graphicData>
            </a:graphic>
          </wp:anchor>
        </w:drawing>
        <w:t>3</w:t>
      </w:r>
    </w:p>
    <w:p>
      <w:pPr>
        <w:spacing w:after="0" w:line="183" w:lineRule="exact"/>
        <w:rPr>
          <w:sz w:val="20"/>
          <w:szCs w:val="20"/>
          <w:color w:val="auto"/>
        </w:rPr>
      </w:pPr>
    </w:p>
    <w:p>
      <w:pPr>
        <w:ind w:left="563" w:hanging="563"/>
        <w:spacing w:after="0"/>
        <w:tabs>
          <w:tab w:leader="none" w:pos="563"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Current Articles are the Articles of Association currently in force (as supported by the Extract) and as they will be in force at each Relevant Moment;</w:t>
      </w:r>
    </w:p>
    <w:p>
      <w:pPr>
        <w:spacing w:after="0" w:line="203" w:lineRule="exact"/>
        <w:rPr>
          <w:rFonts w:ascii="Times New Roman" w:cs="Times New Roman" w:eastAsia="Times New Roman" w:hAnsi="Times New Roman"/>
          <w:sz w:val="16"/>
          <w:szCs w:val="16"/>
          <w:color w:val="auto"/>
        </w:rPr>
      </w:pPr>
    </w:p>
    <w:p>
      <w:pPr>
        <w:jc w:val="both"/>
        <w:ind w:left="563" w:hanging="563"/>
        <w:spacing w:after="0" w:line="260" w:lineRule="auto"/>
        <w:tabs>
          <w:tab w:leader="none" w:pos="563"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Dutch Company has not (i) been dissolved (</w:t>
      </w:r>
      <w:r>
        <w:rPr>
          <w:rFonts w:ascii="Times New Roman" w:cs="Times New Roman" w:eastAsia="Times New Roman" w:hAnsi="Times New Roman"/>
          <w:sz w:val="16"/>
          <w:szCs w:val="16"/>
          <w:i w:val="1"/>
          <w:iCs w:val="1"/>
          <w:color w:val="auto"/>
        </w:rPr>
        <w:t>ontbonden</w:t>
      </w:r>
      <w:r>
        <w:rPr>
          <w:rFonts w:ascii="Times New Roman" w:cs="Times New Roman" w:eastAsia="Times New Roman" w:hAnsi="Times New Roman"/>
          <w:sz w:val="16"/>
          <w:szCs w:val="16"/>
          <w:color w:val="auto"/>
        </w:rPr>
        <w:t>), (ii) ceased to exist pursuant to a merger (</w:t>
      </w:r>
      <w:r>
        <w:rPr>
          <w:rFonts w:ascii="Times New Roman" w:cs="Times New Roman" w:eastAsia="Times New Roman" w:hAnsi="Times New Roman"/>
          <w:sz w:val="16"/>
          <w:szCs w:val="16"/>
          <w:i w:val="1"/>
          <w:iCs w:val="1"/>
          <w:color w:val="auto"/>
        </w:rPr>
        <w:t>fusie</w:t>
      </w:r>
      <w:r>
        <w:rPr>
          <w:rFonts w:ascii="Times New Roman" w:cs="Times New Roman" w:eastAsia="Times New Roman" w:hAnsi="Times New Roman"/>
          <w:sz w:val="16"/>
          <w:szCs w:val="16"/>
          <w:color w:val="auto"/>
        </w:rPr>
        <w:t>) or a division (</w:t>
      </w:r>
      <w:r>
        <w:rPr>
          <w:rFonts w:ascii="Times New Roman" w:cs="Times New Roman" w:eastAsia="Times New Roman" w:hAnsi="Times New Roman"/>
          <w:sz w:val="16"/>
          <w:szCs w:val="16"/>
          <w:i w:val="1"/>
          <w:iCs w:val="1"/>
          <w:color w:val="auto"/>
        </w:rPr>
        <w:t>splitsing</w:t>
      </w:r>
      <w:r>
        <w:rPr>
          <w:rFonts w:ascii="Times New Roman" w:cs="Times New Roman" w:eastAsia="Times New Roman" w:hAnsi="Times New Roman"/>
          <w:sz w:val="16"/>
          <w:szCs w:val="16"/>
          <w:color w:val="auto"/>
        </w:rPr>
        <w:t>), (iii) been converted (</w:t>
      </w:r>
      <w:r>
        <w:rPr>
          <w:rFonts w:ascii="Times New Roman" w:cs="Times New Roman" w:eastAsia="Times New Roman" w:hAnsi="Times New Roman"/>
          <w:sz w:val="16"/>
          <w:szCs w:val="16"/>
          <w:i w:val="1"/>
          <w:iCs w:val="1"/>
          <w:color w:val="auto"/>
        </w:rPr>
        <w:t>omgezet</w:t>
      </w:r>
      <w:r>
        <w:rPr>
          <w:rFonts w:ascii="Times New Roman" w:cs="Times New Roman" w:eastAsia="Times New Roman" w:hAnsi="Times New Roman"/>
          <w:sz w:val="16"/>
          <w:szCs w:val="16"/>
          <w:color w:val="auto"/>
        </w:rPr>
        <w:t>) into another legal form, either national or foreign, (iv) had its assets placed under administration (</w:t>
      </w:r>
      <w:r>
        <w:rPr>
          <w:rFonts w:ascii="Times New Roman" w:cs="Times New Roman" w:eastAsia="Times New Roman" w:hAnsi="Times New Roman"/>
          <w:sz w:val="16"/>
          <w:szCs w:val="16"/>
          <w:i w:val="1"/>
          <w:iCs w:val="1"/>
          <w:color w:val="auto"/>
        </w:rPr>
        <w:t>onder bewind gesteld</w:t>
      </w:r>
      <w:r>
        <w:rPr>
          <w:rFonts w:ascii="Times New Roman" w:cs="Times New Roman" w:eastAsia="Times New Roman" w:hAnsi="Times New Roman"/>
          <w:sz w:val="16"/>
          <w:szCs w:val="16"/>
          <w:color w:val="auto"/>
        </w:rPr>
        <w:t>), (v) been declared bankrupt (</w:t>
      </w:r>
      <w:r>
        <w:rPr>
          <w:rFonts w:ascii="Times New Roman" w:cs="Times New Roman" w:eastAsia="Times New Roman" w:hAnsi="Times New Roman"/>
          <w:sz w:val="16"/>
          <w:szCs w:val="16"/>
          <w:i w:val="1"/>
          <w:iCs w:val="1"/>
          <w:color w:val="auto"/>
        </w:rPr>
        <w:t>failliet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verklaard</w:t>
      </w:r>
      <w:r>
        <w:rPr>
          <w:rFonts w:ascii="Times New Roman" w:cs="Times New Roman" w:eastAsia="Times New Roman" w:hAnsi="Times New Roman"/>
          <w:sz w:val="16"/>
          <w:szCs w:val="16"/>
          <w:color w:val="auto"/>
        </w:rPr>
        <w:t>), been granted a suspension of payments (</w:t>
      </w:r>
      <w:r>
        <w:rPr>
          <w:rFonts w:ascii="Times New Roman" w:cs="Times New Roman" w:eastAsia="Times New Roman" w:hAnsi="Times New Roman"/>
          <w:sz w:val="16"/>
          <w:szCs w:val="16"/>
          <w:i w:val="1"/>
          <w:iCs w:val="1"/>
          <w:color w:val="auto"/>
        </w:rPr>
        <w:t>surseance van betaling verleend</w:t>
      </w:r>
      <w:r>
        <w:rPr>
          <w:rFonts w:ascii="Times New Roman" w:cs="Times New Roman" w:eastAsia="Times New Roman" w:hAnsi="Times New Roman"/>
          <w:sz w:val="16"/>
          <w:szCs w:val="16"/>
          <w:color w:val="auto"/>
        </w:rPr>
        <w:t>), or started or become subject to statutory proceedings for the restructuring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its debts (</w:t>
      </w:r>
      <w:r>
        <w:rPr>
          <w:rFonts w:ascii="Times New Roman" w:cs="Times New Roman" w:eastAsia="Times New Roman" w:hAnsi="Times New Roman"/>
          <w:sz w:val="16"/>
          <w:szCs w:val="16"/>
          <w:i w:val="1"/>
          <w:iCs w:val="1"/>
          <w:color w:val="auto"/>
        </w:rPr>
        <w:t>akkoordprocedure</w:t>
      </w:r>
      <w:r>
        <w:rPr>
          <w:rFonts w:ascii="Times New Roman" w:cs="Times New Roman" w:eastAsia="Times New Roman" w:hAnsi="Times New Roman"/>
          <w:sz w:val="16"/>
          <w:szCs w:val="16"/>
          <w:color w:val="auto"/>
        </w:rPr>
        <w:t>) or (vi) been made subject to similar proceedings in any jurisdiction or otherwise been limited in its power to dispose of its assets. The Extract and our inquiries of today with the Insolvency Registers support the items (i) through (v) (except for any statutory proceedings for the restructuring of debts (</w:t>
      </w:r>
      <w:r>
        <w:rPr>
          <w:rFonts w:ascii="Times New Roman" w:cs="Times New Roman" w:eastAsia="Times New Roman" w:hAnsi="Times New Roman"/>
          <w:sz w:val="16"/>
          <w:szCs w:val="16"/>
          <w:i w:val="1"/>
          <w:iCs w:val="1"/>
          <w:color w:val="auto"/>
        </w:rPr>
        <w:t>akkoordprocedure</w:t>
      </w:r>
      <w:r>
        <w:rPr>
          <w:rFonts w:ascii="Times New Roman" w:cs="Times New Roman" w:eastAsia="Times New Roman" w:hAnsi="Times New Roman"/>
          <w:sz w:val="16"/>
          <w:szCs w:val="16"/>
          <w:color w:val="auto"/>
        </w:rPr>
        <w:t>) that have not, or not yet, been filed in the Insolvency Registers) of this assumption. However, this information does not constitute conclusive evidence that the events set out in items (i) through (v) have not occurred;</w:t>
      </w:r>
    </w:p>
    <w:p>
      <w:pPr>
        <w:spacing w:after="0" w:line="165" w:lineRule="exact"/>
        <w:rPr>
          <w:rFonts w:ascii="Times New Roman" w:cs="Times New Roman" w:eastAsia="Times New Roman" w:hAnsi="Times New Roman"/>
          <w:sz w:val="16"/>
          <w:szCs w:val="16"/>
          <w:color w:val="auto"/>
        </w:rPr>
      </w:pPr>
    </w:p>
    <w:p>
      <w:pPr>
        <w:ind w:left="563" w:right="20" w:hanging="563"/>
        <w:spacing w:after="0" w:line="288" w:lineRule="auto"/>
        <w:tabs>
          <w:tab w:leader="none" w:pos="563"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Power of Attorney (i) is in full force and effect, and (ii) under any applicable law other than Dutch law, validly authorises the person or persons purported to be granted power of attorney, to represent and bind the Dutch Company for the purposes stated therein;</w:t>
      </w:r>
    </w:p>
    <w:p>
      <w:pPr>
        <w:spacing w:after="0" w:line="143" w:lineRule="exact"/>
        <w:rPr>
          <w:rFonts w:ascii="Times New Roman" w:cs="Times New Roman" w:eastAsia="Times New Roman" w:hAnsi="Times New Roman"/>
          <w:sz w:val="16"/>
          <w:szCs w:val="16"/>
          <w:color w:val="auto"/>
        </w:rPr>
      </w:pPr>
    </w:p>
    <w:p>
      <w:pPr>
        <w:ind w:left="563" w:right="20" w:hanging="563"/>
        <w:spacing w:after="0" w:line="288" w:lineRule="auto"/>
        <w:tabs>
          <w:tab w:leader="none" w:pos="563"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any applicable law, the Agreements shall constitute the legal, valid and binding obligations of the parties expressed to be a party thereto, enforceable against them in accordance with their terms; and</w:t>
      </w:r>
    </w:p>
    <w:p>
      <w:pPr>
        <w:spacing w:after="0" w:line="143" w:lineRule="exact"/>
        <w:rPr>
          <w:rFonts w:ascii="Times New Roman" w:cs="Times New Roman" w:eastAsia="Times New Roman" w:hAnsi="Times New Roman"/>
          <w:sz w:val="16"/>
          <w:szCs w:val="16"/>
          <w:color w:val="auto"/>
        </w:rPr>
      </w:pPr>
    </w:p>
    <w:p>
      <w:pPr>
        <w:ind w:left="563" w:hanging="563"/>
        <w:spacing w:after="0"/>
        <w:tabs>
          <w:tab w:leader="none" w:pos="563"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each Relevant Moment, each of the assumptions made in this opinion letter will be correct in all aspects by reference to the facts and circumstances then existing.</w:t>
      </w:r>
    </w:p>
    <w:p>
      <w:pPr>
        <w:spacing w:after="0" w:line="206" w:lineRule="exact"/>
        <w:rPr>
          <w:sz w:val="20"/>
          <w:szCs w:val="20"/>
          <w:color w:val="auto"/>
        </w:rPr>
      </w:pPr>
    </w:p>
    <w:p>
      <w:pPr>
        <w:ind w:left="3"/>
        <w:spacing w:after="0" w:line="288" w:lineRule="auto"/>
        <w:rPr>
          <w:sz w:val="20"/>
          <w:szCs w:val="20"/>
          <w:color w:val="auto"/>
        </w:rPr>
      </w:pPr>
      <w:r>
        <w:rPr>
          <w:rFonts w:ascii="Times New Roman" w:cs="Times New Roman" w:eastAsia="Times New Roman" w:hAnsi="Times New Roman"/>
          <w:sz w:val="16"/>
          <w:szCs w:val="16"/>
          <w:color w:val="auto"/>
        </w:rPr>
        <w:t>Based upon and subject to the foregoing and subject to the qualifications set forth in this opinion letter and to any matters, documents or events not disclosed to us, we express the following opinions:</w:t>
      </w:r>
    </w:p>
    <w:p>
      <w:pPr>
        <w:spacing w:after="0" w:line="141"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b w:val="1"/>
          <w:bCs w:val="1"/>
          <w:color w:val="auto"/>
        </w:rPr>
        <w:t>Incorporation and Corporate Status</w:t>
      </w:r>
    </w:p>
    <w:p>
      <w:pPr>
        <w:spacing w:after="0" w:line="206" w:lineRule="exact"/>
        <w:rPr>
          <w:sz w:val="20"/>
          <w:szCs w:val="20"/>
          <w:color w:val="auto"/>
        </w:rPr>
      </w:pPr>
    </w:p>
    <w:p>
      <w:pPr>
        <w:ind w:left="563" w:hanging="563"/>
        <w:spacing w:after="0"/>
        <w:tabs>
          <w:tab w:leader="none" w:pos="563"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Dutch Company has been duly incorporated and is validly existing as a </w:t>
      </w:r>
      <w:r>
        <w:rPr>
          <w:rFonts w:ascii="Times New Roman" w:cs="Times New Roman" w:eastAsia="Times New Roman" w:hAnsi="Times New Roman"/>
          <w:sz w:val="16"/>
          <w:szCs w:val="16"/>
          <w:i w:val="1"/>
          <w:iCs w:val="1"/>
          <w:color w:val="auto"/>
        </w:rPr>
        <w:t>besloten vennootschap met beperkte aansprakelijkheid</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250825</wp:posOffset>
            </wp:positionV>
            <wp:extent cx="7145655" cy="152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582" w:right="319" w:bottom="1440" w:gutter="0" w:footer="0" w:header="0"/>
        </w:sectPr>
      </w:pPr>
    </w:p>
    <w:bookmarkStart w:id="259" w:name="page260"/>
    <w:bookmarkEnd w:id="259"/>
    <w:p>
      <w:pPr>
        <w:ind w:left="5963"/>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3805555</wp:posOffset>
            </wp:positionH>
            <wp:positionV relativeFrom="page">
              <wp:posOffset>88900</wp:posOffset>
            </wp:positionV>
            <wp:extent cx="1028700" cy="1238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6">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23825"/>
                    </a:xfrm>
                    <a:prstGeom prst="rect">
                      <a:avLst/>
                    </a:prstGeom>
                    <a:noFill/>
                  </pic:spPr>
                </pic:pic>
              </a:graphicData>
            </a:graphic>
          </wp:anchor>
        </w:drawing>
        <w:t>4</w:t>
      </w:r>
    </w:p>
    <w:p>
      <w:pPr>
        <w:spacing w:after="0" w:line="181"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b w:val="1"/>
          <w:bCs w:val="1"/>
          <w:color w:val="auto"/>
        </w:rPr>
        <w:t>Execution of Agreements</w:t>
      </w:r>
    </w:p>
    <w:p>
      <w:pPr>
        <w:spacing w:after="0" w:line="208" w:lineRule="exact"/>
        <w:rPr>
          <w:sz w:val="20"/>
          <w:szCs w:val="20"/>
          <w:color w:val="auto"/>
        </w:rPr>
      </w:pPr>
    </w:p>
    <w:p>
      <w:pPr>
        <w:ind w:left="563" w:right="20" w:hanging="563"/>
        <w:spacing w:after="0" w:line="288" w:lineRule="auto"/>
        <w:tabs>
          <w:tab w:leader="none" w:pos="563"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Agreement when duly signed by all members of the Board, any member of the Board or a holder of a Power of Attorney for such purpose, shall have been duly and validly executed on behalf of the Dutch Company.</w:t>
      </w:r>
    </w:p>
    <w:p>
      <w:pPr>
        <w:spacing w:after="0" w:line="143" w:lineRule="exact"/>
        <w:rPr>
          <w:rFonts w:ascii="Times New Roman" w:cs="Times New Roman" w:eastAsia="Times New Roman" w:hAnsi="Times New Roman"/>
          <w:sz w:val="16"/>
          <w:szCs w:val="16"/>
          <w:color w:val="auto"/>
        </w:rPr>
      </w:pPr>
    </w:p>
    <w:p>
      <w:pPr>
        <w:ind w:left="563" w:hanging="563"/>
        <w:spacing w:after="0"/>
        <w:tabs>
          <w:tab w:leader="none" w:pos="563"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Registration Statement has been validly signed on behalf of the Dutch Company.</w:t>
      </w:r>
    </w:p>
    <w:p>
      <w:pPr>
        <w:spacing w:after="0" w:line="203" w:lineRule="exact"/>
        <w:rPr>
          <w:rFonts w:ascii="Times New Roman" w:cs="Times New Roman" w:eastAsia="Times New Roman" w:hAnsi="Times New Roman"/>
          <w:sz w:val="16"/>
          <w:szCs w:val="16"/>
          <w:color w:val="auto"/>
        </w:rPr>
      </w:pPr>
    </w:p>
    <w:p>
      <w:pPr>
        <w:ind w:left="5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Corporate Power</w:t>
      </w:r>
    </w:p>
    <w:p>
      <w:pPr>
        <w:spacing w:after="0" w:line="207" w:lineRule="exact"/>
        <w:rPr>
          <w:rFonts w:ascii="Times New Roman" w:cs="Times New Roman" w:eastAsia="Times New Roman" w:hAnsi="Times New Roman"/>
          <w:sz w:val="16"/>
          <w:szCs w:val="16"/>
          <w:color w:val="auto"/>
        </w:rPr>
      </w:pPr>
    </w:p>
    <w:p>
      <w:pPr>
        <w:ind w:left="563" w:hanging="563"/>
        <w:spacing w:after="0"/>
        <w:tabs>
          <w:tab w:leader="none" w:pos="563"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Dutch Company has the corporate power to enter into any Agreements and to perform its obligations thereunder and to sign the Registration Statement.</w:t>
      </w:r>
    </w:p>
    <w:p>
      <w:pPr>
        <w:spacing w:after="0" w:line="203" w:lineRule="exact"/>
        <w:rPr>
          <w:rFonts w:ascii="Times New Roman" w:cs="Times New Roman" w:eastAsia="Times New Roman" w:hAnsi="Times New Roman"/>
          <w:sz w:val="16"/>
          <w:szCs w:val="16"/>
          <w:color w:val="auto"/>
        </w:rPr>
      </w:pPr>
    </w:p>
    <w:p>
      <w:pPr>
        <w:ind w:left="5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Corporate Action</w:t>
      </w:r>
    </w:p>
    <w:p>
      <w:pPr>
        <w:spacing w:after="0" w:line="207" w:lineRule="exact"/>
        <w:rPr>
          <w:rFonts w:ascii="Times New Roman" w:cs="Times New Roman" w:eastAsia="Times New Roman" w:hAnsi="Times New Roman"/>
          <w:sz w:val="16"/>
          <w:szCs w:val="16"/>
          <w:color w:val="auto"/>
        </w:rPr>
      </w:pPr>
    </w:p>
    <w:p>
      <w:pPr>
        <w:ind w:left="563" w:hanging="563"/>
        <w:spacing w:after="0" w:line="288" w:lineRule="auto"/>
        <w:tabs>
          <w:tab w:leader="none" w:pos="563"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Dutch Company has taken all corporate action required by its Articles of Association and Dutch law in connection with the entering into any Agreements and the performance of its obligations thereunder and with the signing of the Registration Statement.</w:t>
      </w:r>
    </w:p>
    <w:p>
      <w:pPr>
        <w:spacing w:after="0" w:line="14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The opinions expressed above are subject to the following qualifications:</w:t>
      </w:r>
    </w:p>
    <w:p>
      <w:pPr>
        <w:spacing w:after="0" w:line="204" w:lineRule="exact"/>
        <w:rPr>
          <w:sz w:val="20"/>
          <w:szCs w:val="20"/>
          <w:color w:val="auto"/>
        </w:rPr>
      </w:pPr>
    </w:p>
    <w:p>
      <w:pPr>
        <w:jc w:val="both"/>
        <w:ind w:left="563" w:hanging="563"/>
        <w:spacing w:after="0" w:line="266" w:lineRule="auto"/>
        <w:tabs>
          <w:tab w:leader="none" w:pos="563"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opinion expressed in paragraph </w:t>
      </w:r>
      <w:r>
        <w:rPr>
          <w:rFonts w:ascii="Times New Roman" w:cs="Times New Roman" w:eastAsia="Times New Roman" w:hAnsi="Times New Roman"/>
          <w:sz w:val="16"/>
          <w:szCs w:val="16"/>
          <w:u w:val="single" w:color="auto"/>
          <w:color w:val="0000EE"/>
        </w:rPr>
        <w:t>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Incorporation and Corporate Status</w:t>
      </w:r>
      <w:r>
        <w:rPr>
          <w:rFonts w:ascii="Times New Roman" w:cs="Times New Roman" w:eastAsia="Times New Roman" w:hAnsi="Times New Roman"/>
          <w:sz w:val="16"/>
          <w:szCs w:val="16"/>
          <w:color w:val="auto"/>
        </w:rPr>
        <w:t>) of this opinion letter must not be read to imply that the Dutch Company cannot be dissolved (</w:t>
      </w:r>
      <w:r>
        <w:rPr>
          <w:rFonts w:ascii="Times New Roman" w:cs="Times New Roman" w:eastAsia="Times New Roman" w:hAnsi="Times New Roman"/>
          <w:sz w:val="16"/>
          <w:szCs w:val="16"/>
          <w:i w:val="1"/>
          <w:iCs w:val="1"/>
          <w:color w:val="auto"/>
        </w:rPr>
        <w:t>ontbonden</w:t>
      </w:r>
      <w:r>
        <w:rPr>
          <w:rFonts w:ascii="Times New Roman" w:cs="Times New Roman" w:eastAsia="Times New Roman" w:hAnsi="Times New Roman"/>
          <w:sz w:val="16"/>
          <w:szCs w:val="16"/>
          <w:color w:val="auto"/>
        </w:rPr>
        <w:t xml:space="preserve">). A company such as the Dutch Company may be dissolved, </w:t>
      </w:r>
      <w:r>
        <w:rPr>
          <w:rFonts w:ascii="Times New Roman" w:cs="Times New Roman" w:eastAsia="Times New Roman" w:hAnsi="Times New Roman"/>
          <w:sz w:val="16"/>
          <w:szCs w:val="16"/>
          <w:i w:val="1"/>
          <w:iCs w:val="1"/>
          <w:color w:val="auto"/>
        </w:rPr>
        <w:t>inter alia</w:t>
      </w:r>
      <w:r>
        <w:rPr>
          <w:rFonts w:ascii="Times New Roman" w:cs="Times New Roman" w:eastAsia="Times New Roman" w:hAnsi="Times New Roman"/>
          <w:sz w:val="16"/>
          <w:szCs w:val="16"/>
          <w:color w:val="auto"/>
        </w:rPr>
        <w:t xml:space="preserve"> by the competent court at the request of the company's management board, any interested party (</w:t>
      </w:r>
      <w:r>
        <w:rPr>
          <w:rFonts w:ascii="Times New Roman" w:cs="Times New Roman" w:eastAsia="Times New Roman" w:hAnsi="Times New Roman"/>
          <w:sz w:val="16"/>
          <w:szCs w:val="16"/>
          <w:i w:val="1"/>
          <w:iCs w:val="1"/>
          <w:color w:val="auto"/>
        </w:rPr>
        <w:t>belanghebbende</w:t>
      </w:r>
      <w:r>
        <w:rPr>
          <w:rFonts w:ascii="Times New Roman" w:cs="Times New Roman" w:eastAsia="Times New Roman" w:hAnsi="Times New Roman"/>
          <w:sz w:val="16"/>
          <w:szCs w:val="16"/>
          <w:color w:val="auto"/>
        </w:rPr>
        <w:t>) or the public prosecution office in certain circumstances, such as when there are certain defects in the incorporation of the company. Any such dissolution will not have retro-active effect.</w:t>
      </w:r>
    </w:p>
    <w:p>
      <w:pPr>
        <w:spacing w:after="0" w:line="160" w:lineRule="exact"/>
        <w:rPr>
          <w:rFonts w:ascii="Times New Roman" w:cs="Times New Roman" w:eastAsia="Times New Roman" w:hAnsi="Times New Roman"/>
          <w:sz w:val="16"/>
          <w:szCs w:val="16"/>
          <w:color w:val="auto"/>
        </w:rPr>
      </w:pPr>
    </w:p>
    <w:p>
      <w:pPr>
        <w:ind w:left="563" w:hanging="563"/>
        <w:spacing w:after="0"/>
        <w:tabs>
          <w:tab w:leader="none" w:pos="563"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Extract does not constitute conclusive evidence of the facts reflected therein.</w:t>
      </w:r>
    </w:p>
    <w:p>
      <w:pPr>
        <w:spacing w:after="0" w:line="205" w:lineRule="exact"/>
        <w:rPr>
          <w:rFonts w:ascii="Times New Roman" w:cs="Times New Roman" w:eastAsia="Times New Roman" w:hAnsi="Times New Roman"/>
          <w:sz w:val="16"/>
          <w:szCs w:val="16"/>
          <w:color w:val="auto"/>
        </w:rPr>
      </w:pPr>
    </w:p>
    <w:p>
      <w:pPr>
        <w:jc w:val="both"/>
        <w:ind w:left="563" w:right="20" w:hanging="563"/>
        <w:spacing w:after="0" w:line="258" w:lineRule="auto"/>
        <w:tabs>
          <w:tab w:leader="none" w:pos="563"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Article 2:7 DCC, any transaction entered into by a legal entity may be nullified by the legal entity itself or its liquidator in bankruptcy proceedings (</w:t>
      </w:r>
      <w:r>
        <w:rPr>
          <w:rFonts w:ascii="Times New Roman" w:cs="Times New Roman" w:eastAsia="Times New Roman" w:hAnsi="Times New Roman"/>
          <w:sz w:val="16"/>
          <w:szCs w:val="16"/>
          <w:i w:val="1"/>
          <w:iCs w:val="1"/>
          <w:color w:val="auto"/>
        </w:rPr>
        <w:t>curator</w:t>
      </w:r>
      <w:r>
        <w:rPr>
          <w:rFonts w:ascii="Times New Roman" w:cs="Times New Roman" w:eastAsia="Times New Roman" w:hAnsi="Times New Roman"/>
          <w:sz w:val="16"/>
          <w:szCs w:val="16"/>
          <w:color w:val="auto"/>
        </w:rPr>
        <w:t>) if the objects of that entity were transgressed by the transaction and the other party to the transaction knew or should have known this without independent investigation (</w:t>
      </w:r>
      <w:r>
        <w:rPr>
          <w:rFonts w:ascii="Times New Roman" w:cs="Times New Roman" w:eastAsia="Times New Roman" w:hAnsi="Times New Roman"/>
          <w:sz w:val="16"/>
          <w:szCs w:val="16"/>
          <w:i w:val="1"/>
          <w:iCs w:val="1"/>
          <w:color w:val="auto"/>
        </w:rPr>
        <w:t>wist of zonder eigen onderzoek moest weten</w:t>
      </w:r>
      <w:r>
        <w:rPr>
          <w:rFonts w:ascii="Times New Roman" w:cs="Times New Roman" w:eastAsia="Times New Roman" w:hAnsi="Times New Roman"/>
          <w:sz w:val="16"/>
          <w:szCs w:val="16"/>
          <w:color w:val="auto"/>
        </w:rPr>
        <w:t>). The Dutch Supreme Court (</w:t>
      </w:r>
      <w:r>
        <w:rPr>
          <w:rFonts w:ascii="Times New Roman" w:cs="Times New Roman" w:eastAsia="Times New Roman" w:hAnsi="Times New Roman"/>
          <w:sz w:val="16"/>
          <w:szCs w:val="16"/>
          <w:i w:val="1"/>
          <w:iCs w:val="1"/>
          <w:color w:val="auto"/>
        </w:rPr>
        <w:t>Hoge Raad der Nederlanden</w:t>
      </w:r>
      <w:r>
        <w:rPr>
          <w:rFonts w:ascii="Times New Roman" w:cs="Times New Roman" w:eastAsia="Times New Roman" w:hAnsi="Times New Roman"/>
          <w:sz w:val="16"/>
          <w:szCs w:val="16"/>
          <w:color w:val="auto"/>
        </w:rPr>
        <w:t>) has ruled that in determining whether the objects of a legal entity are transgressed, not only the description of the objects in that legal entity's articles of association (</w:t>
      </w:r>
      <w:r>
        <w:rPr>
          <w:rFonts w:ascii="Times New Roman" w:cs="Times New Roman" w:eastAsia="Times New Roman" w:hAnsi="Times New Roman"/>
          <w:sz w:val="16"/>
          <w:szCs w:val="16"/>
          <w:i w:val="1"/>
          <w:iCs w:val="1"/>
          <w:color w:val="auto"/>
        </w:rPr>
        <w:t>statuten</w:t>
      </w:r>
      <w:r>
        <w:rPr>
          <w:rFonts w:ascii="Times New Roman" w:cs="Times New Roman" w:eastAsia="Times New Roman" w:hAnsi="Times New Roman"/>
          <w:sz w:val="16"/>
          <w:szCs w:val="16"/>
          <w:color w:val="auto"/>
        </w:rPr>
        <w:t>) is decisive, but all (relevant) circumstances must be taken into account, in particular whether the interests of the legal entity were served by the transaction. Based on the objects clause contained in the Current Articles, we have no reason to believe that, by entering into any Agreements or by the performance of its obligations thereunder, the Dutch Company would transgress the description of the objects contained in its Current Articles. However, we cannot assess whether there are other relevant circumstances that must be taken into account, in particular whether the interests of the Dutch Company are served by entering into any Agreements since this is a matter of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351155</wp:posOffset>
            </wp:positionV>
            <wp:extent cx="7145655" cy="152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582" w:right="319" w:bottom="1440" w:gutter="0" w:footer="0" w:header="0"/>
        </w:sectPr>
      </w:pPr>
    </w:p>
    <w:bookmarkStart w:id="260" w:name="page261"/>
    <w:bookmarkEnd w:id="260"/>
    <w:p>
      <w:pPr>
        <w:ind w:left="5963"/>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3805555</wp:posOffset>
            </wp:positionH>
            <wp:positionV relativeFrom="page">
              <wp:posOffset>88900</wp:posOffset>
            </wp:positionV>
            <wp:extent cx="1028700" cy="1238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23825"/>
                    </a:xfrm>
                    <a:prstGeom prst="rect">
                      <a:avLst/>
                    </a:prstGeom>
                    <a:noFill/>
                  </pic:spPr>
                </pic:pic>
              </a:graphicData>
            </a:graphic>
          </wp:anchor>
        </w:drawing>
        <w:t>5</w:t>
      </w:r>
    </w:p>
    <w:p>
      <w:pPr>
        <w:spacing w:after="0" w:line="183" w:lineRule="exact"/>
        <w:rPr>
          <w:sz w:val="20"/>
          <w:szCs w:val="20"/>
          <w:color w:val="auto"/>
        </w:rPr>
      </w:pPr>
    </w:p>
    <w:p>
      <w:pPr>
        <w:ind w:left="563" w:hanging="563"/>
        <w:spacing w:after="0" w:line="288" w:lineRule="auto"/>
        <w:tabs>
          <w:tab w:leader="none" w:pos="563"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power of attorney or mandate granted by the Dutch Company will terminate in the event of a bankruptcy and become ineffective upon the suspension of payments of the principal or, unless otherwise provided, the attorney.</w:t>
      </w:r>
    </w:p>
    <w:p>
      <w:pPr>
        <w:spacing w:after="0" w:line="143" w:lineRule="exact"/>
        <w:rPr>
          <w:rFonts w:ascii="Times New Roman" w:cs="Times New Roman" w:eastAsia="Times New Roman" w:hAnsi="Times New Roman"/>
          <w:sz w:val="16"/>
          <w:szCs w:val="16"/>
          <w:color w:val="auto"/>
        </w:rPr>
      </w:pPr>
    </w:p>
    <w:p>
      <w:pPr>
        <w:ind w:left="563" w:hanging="563"/>
        <w:spacing w:after="0"/>
        <w:tabs>
          <w:tab w:leader="none" w:pos="563"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opinions expressed in this opinion letter may be limited or affected by:</w:t>
      </w:r>
    </w:p>
    <w:p>
      <w:pPr>
        <w:spacing w:after="0" w:line="205" w:lineRule="exact"/>
        <w:rPr>
          <w:rFonts w:ascii="Times New Roman" w:cs="Times New Roman" w:eastAsia="Times New Roman" w:hAnsi="Times New Roman"/>
          <w:sz w:val="16"/>
          <w:szCs w:val="16"/>
          <w:color w:val="auto"/>
        </w:rPr>
      </w:pPr>
    </w:p>
    <w:p>
      <w:pPr>
        <w:ind w:left="1143" w:hanging="570"/>
        <w:spacing w:after="0"/>
        <w:tabs>
          <w:tab w:leader="none" w:pos="1143" w:val="left"/>
        </w:tabs>
        <w:numPr>
          <w:ilvl w:val="1"/>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rules relating to Insolvency Proceedings or similar proceedings under a foreign law and other rules affecting creditors' rights generally;</w:t>
      </w:r>
    </w:p>
    <w:p>
      <w:pPr>
        <w:spacing w:after="0" w:line="203" w:lineRule="exact"/>
        <w:rPr>
          <w:rFonts w:ascii="Times New Roman" w:cs="Times New Roman" w:eastAsia="Times New Roman" w:hAnsi="Times New Roman"/>
          <w:sz w:val="16"/>
          <w:szCs w:val="16"/>
          <w:color w:val="auto"/>
        </w:rPr>
      </w:pPr>
    </w:p>
    <w:p>
      <w:pPr>
        <w:ind w:left="1143" w:hanging="570"/>
        <w:spacing w:after="0" w:line="291" w:lineRule="auto"/>
        <w:tabs>
          <w:tab w:leader="none" w:pos="1143" w:val="left"/>
        </w:tabs>
        <w:numPr>
          <w:ilvl w:val="1"/>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of fraudulent preference and fraudulent conveyance (</w:t>
      </w:r>
      <w:r>
        <w:rPr>
          <w:rFonts w:ascii="Times New Roman" w:cs="Times New Roman" w:eastAsia="Times New Roman" w:hAnsi="Times New Roman"/>
          <w:sz w:val="16"/>
          <w:szCs w:val="16"/>
          <w:i w:val="1"/>
          <w:iCs w:val="1"/>
          <w:color w:val="auto"/>
        </w:rPr>
        <w:t>Actio Pauliana</w:t>
      </w:r>
      <w:r>
        <w:rPr>
          <w:rFonts w:ascii="Times New Roman" w:cs="Times New Roman" w:eastAsia="Times New Roman" w:hAnsi="Times New Roman"/>
          <w:sz w:val="16"/>
          <w:szCs w:val="16"/>
          <w:color w:val="auto"/>
        </w:rPr>
        <w:t>) and similar rights available in other jurisdictions to insolvency practitioners and insolvency office holders in bankruptcy proceedings or creditors;</w:t>
      </w:r>
    </w:p>
    <w:p>
      <w:pPr>
        <w:spacing w:after="0" w:line="138" w:lineRule="exact"/>
        <w:rPr>
          <w:rFonts w:ascii="Times New Roman" w:cs="Times New Roman" w:eastAsia="Times New Roman" w:hAnsi="Times New Roman"/>
          <w:sz w:val="16"/>
          <w:szCs w:val="16"/>
          <w:color w:val="auto"/>
        </w:rPr>
      </w:pPr>
    </w:p>
    <w:p>
      <w:pPr>
        <w:ind w:left="1143" w:hanging="570"/>
        <w:spacing w:after="0"/>
        <w:tabs>
          <w:tab w:leader="none" w:pos="1143" w:val="left"/>
        </w:tabs>
        <w:numPr>
          <w:ilvl w:val="1"/>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claims based on tort (</w:t>
      </w:r>
      <w:r>
        <w:rPr>
          <w:rFonts w:ascii="Times New Roman" w:cs="Times New Roman" w:eastAsia="Times New Roman" w:hAnsi="Times New Roman"/>
          <w:sz w:val="16"/>
          <w:szCs w:val="16"/>
          <w:i w:val="1"/>
          <w:iCs w:val="1"/>
          <w:color w:val="auto"/>
        </w:rPr>
        <w:t>onrechtmatige daad</w:t>
      </w:r>
      <w:r>
        <w:rPr>
          <w:rFonts w:ascii="Times New Roman" w:cs="Times New Roman" w:eastAsia="Times New Roman" w:hAnsi="Times New Roman"/>
          <w:sz w:val="16"/>
          <w:szCs w:val="16"/>
          <w:color w:val="auto"/>
        </w:rPr>
        <w:t>);</w:t>
      </w:r>
    </w:p>
    <w:p>
      <w:pPr>
        <w:spacing w:after="0" w:line="207" w:lineRule="exact"/>
        <w:rPr>
          <w:rFonts w:ascii="Times New Roman" w:cs="Times New Roman" w:eastAsia="Times New Roman" w:hAnsi="Times New Roman"/>
          <w:sz w:val="16"/>
          <w:szCs w:val="16"/>
          <w:color w:val="auto"/>
        </w:rPr>
      </w:pPr>
    </w:p>
    <w:p>
      <w:pPr>
        <w:ind w:left="1143" w:hanging="570"/>
        <w:spacing w:after="0" w:line="288" w:lineRule="auto"/>
        <w:tabs>
          <w:tab w:leader="none" w:pos="1143" w:val="left"/>
        </w:tabs>
        <w:numPr>
          <w:ilvl w:val="1"/>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sanctions and measures, including but not limited to those concerning export control, pursuant to European Union regulations, under the Dutch Sanctions Act 1977 (</w:t>
      </w:r>
      <w:r>
        <w:rPr>
          <w:rFonts w:ascii="Times New Roman" w:cs="Times New Roman" w:eastAsia="Times New Roman" w:hAnsi="Times New Roman"/>
          <w:sz w:val="16"/>
          <w:szCs w:val="16"/>
          <w:i w:val="1"/>
          <w:iCs w:val="1"/>
          <w:color w:val="auto"/>
        </w:rPr>
        <w:t>Sanctiewet 1977</w:t>
      </w:r>
      <w:r>
        <w:rPr>
          <w:rFonts w:ascii="Times New Roman" w:cs="Times New Roman" w:eastAsia="Times New Roman" w:hAnsi="Times New Roman"/>
          <w:sz w:val="16"/>
          <w:szCs w:val="16"/>
          <w:color w:val="auto"/>
        </w:rPr>
        <w:t>) or other legislation;</w:t>
      </w:r>
    </w:p>
    <w:p>
      <w:pPr>
        <w:spacing w:after="0" w:line="143" w:lineRule="exact"/>
        <w:rPr>
          <w:rFonts w:ascii="Times New Roman" w:cs="Times New Roman" w:eastAsia="Times New Roman" w:hAnsi="Times New Roman"/>
          <w:sz w:val="16"/>
          <w:szCs w:val="16"/>
          <w:color w:val="auto"/>
        </w:rPr>
      </w:pPr>
    </w:p>
    <w:p>
      <w:pPr>
        <w:ind w:left="1143" w:hanging="570"/>
        <w:spacing w:after="0"/>
        <w:tabs>
          <w:tab w:leader="none" w:pos="1143" w:val="left"/>
        </w:tabs>
        <w:numPr>
          <w:ilvl w:val="1"/>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Anti-Boycott Regulation and related legislation;</w:t>
      </w:r>
    </w:p>
    <w:p>
      <w:pPr>
        <w:spacing w:after="0" w:line="205" w:lineRule="exact"/>
        <w:rPr>
          <w:rFonts w:ascii="Times New Roman" w:cs="Times New Roman" w:eastAsia="Times New Roman" w:hAnsi="Times New Roman"/>
          <w:sz w:val="16"/>
          <w:szCs w:val="16"/>
          <w:color w:val="auto"/>
        </w:rPr>
      </w:pPr>
    </w:p>
    <w:p>
      <w:pPr>
        <w:ind w:left="1143" w:hanging="570"/>
        <w:spacing w:after="0" w:line="288" w:lineRule="auto"/>
        <w:tabs>
          <w:tab w:leader="none" w:pos="1143" w:val="left"/>
        </w:tabs>
        <w:numPr>
          <w:ilvl w:val="1"/>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intervention, recovery or resolution measure by any regulatory or other authority or governmental body in relation to financial enterprises or their affiliated entities; and</w:t>
      </w:r>
    </w:p>
    <w:p>
      <w:pPr>
        <w:spacing w:after="0" w:line="141" w:lineRule="exact"/>
        <w:rPr>
          <w:rFonts w:ascii="Times New Roman" w:cs="Times New Roman" w:eastAsia="Times New Roman" w:hAnsi="Times New Roman"/>
          <w:sz w:val="16"/>
          <w:szCs w:val="16"/>
          <w:color w:val="auto"/>
        </w:rPr>
      </w:pPr>
    </w:p>
    <w:p>
      <w:pPr>
        <w:jc w:val="both"/>
        <w:ind w:left="1143" w:hanging="570"/>
        <w:spacing w:after="0" w:line="272" w:lineRule="auto"/>
        <w:tabs>
          <w:tab w:leader="none" w:pos="1143" w:val="left"/>
        </w:tabs>
        <w:numPr>
          <w:ilvl w:val="1"/>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rules of force majeure (</w:t>
      </w:r>
      <w:r>
        <w:rPr>
          <w:rFonts w:ascii="Times New Roman" w:cs="Times New Roman" w:eastAsia="Times New Roman" w:hAnsi="Times New Roman"/>
          <w:sz w:val="16"/>
          <w:szCs w:val="16"/>
          <w:i w:val="1"/>
          <w:iCs w:val="1"/>
          <w:color w:val="auto"/>
        </w:rPr>
        <w:t>niet toerekenbare tekortkoming</w:t>
      </w:r>
      <w:r>
        <w:rPr>
          <w:rFonts w:ascii="Times New Roman" w:cs="Times New Roman" w:eastAsia="Times New Roman" w:hAnsi="Times New Roman"/>
          <w:sz w:val="16"/>
          <w:szCs w:val="16"/>
          <w:color w:val="auto"/>
        </w:rPr>
        <w:t>), reasonableness and fairness (</w:t>
      </w:r>
      <w:r>
        <w:rPr>
          <w:rFonts w:ascii="Times New Roman" w:cs="Times New Roman" w:eastAsia="Times New Roman" w:hAnsi="Times New Roman"/>
          <w:sz w:val="16"/>
          <w:szCs w:val="16"/>
          <w:i w:val="1"/>
          <w:iCs w:val="1"/>
          <w:color w:val="auto"/>
        </w:rPr>
        <w:t>redelijkheid en billijkheid</w:t>
      </w:r>
      <w:r>
        <w:rPr>
          <w:rFonts w:ascii="Times New Roman" w:cs="Times New Roman" w:eastAsia="Times New Roman" w:hAnsi="Times New Roman"/>
          <w:sz w:val="16"/>
          <w:szCs w:val="16"/>
          <w:color w:val="auto"/>
        </w:rPr>
        <w:t>), suspension (</w:t>
      </w:r>
      <w:r>
        <w:rPr>
          <w:rFonts w:ascii="Times New Roman" w:cs="Times New Roman" w:eastAsia="Times New Roman" w:hAnsi="Times New Roman"/>
          <w:sz w:val="16"/>
          <w:szCs w:val="16"/>
          <w:i w:val="1"/>
          <w:iCs w:val="1"/>
          <w:color w:val="auto"/>
        </w:rPr>
        <w:t>opschorting</w:t>
      </w:r>
      <w:r>
        <w:rPr>
          <w:rFonts w:ascii="Times New Roman" w:cs="Times New Roman" w:eastAsia="Times New Roman" w:hAnsi="Times New Roman"/>
          <w:sz w:val="16"/>
          <w:szCs w:val="16"/>
          <w:color w:val="auto"/>
        </w:rPr>
        <w:t>), dissolution (</w:t>
      </w:r>
      <w:r>
        <w:rPr>
          <w:rFonts w:ascii="Times New Roman" w:cs="Times New Roman" w:eastAsia="Times New Roman" w:hAnsi="Times New Roman"/>
          <w:sz w:val="16"/>
          <w:szCs w:val="16"/>
          <w:i w:val="1"/>
          <w:iCs w:val="1"/>
          <w:color w:val="auto"/>
        </w:rPr>
        <w:t>ontbinding</w:t>
      </w:r>
      <w:r>
        <w:rPr>
          <w:rFonts w:ascii="Times New Roman" w:cs="Times New Roman" w:eastAsia="Times New Roman" w:hAnsi="Times New Roman"/>
          <w:sz w:val="16"/>
          <w:szCs w:val="16"/>
          <w:color w:val="auto"/>
        </w:rPr>
        <w:t>), unforeseen circumstances (</w:t>
      </w:r>
      <w:r>
        <w:rPr>
          <w:rFonts w:ascii="Times New Roman" w:cs="Times New Roman" w:eastAsia="Times New Roman" w:hAnsi="Times New Roman"/>
          <w:sz w:val="16"/>
          <w:szCs w:val="16"/>
          <w:i w:val="1"/>
          <w:iCs w:val="1"/>
          <w:color w:val="auto"/>
        </w:rPr>
        <w:t>onvoorziene omstandigheden</w:t>
      </w:r>
      <w:r>
        <w:rPr>
          <w:rFonts w:ascii="Times New Roman" w:cs="Times New Roman" w:eastAsia="Times New Roman" w:hAnsi="Times New Roman"/>
          <w:sz w:val="16"/>
          <w:szCs w:val="16"/>
          <w:color w:val="auto"/>
        </w:rPr>
        <w:t>) and vitiated consent (i.e., duress (</w:t>
      </w:r>
      <w:r>
        <w:rPr>
          <w:rFonts w:ascii="Times New Roman" w:cs="Times New Roman" w:eastAsia="Times New Roman" w:hAnsi="Times New Roman"/>
          <w:sz w:val="16"/>
          <w:szCs w:val="16"/>
          <w:i w:val="1"/>
          <w:iCs w:val="1"/>
          <w:color w:val="auto"/>
        </w:rPr>
        <w:t>bedreiging</w:t>
      </w:r>
      <w:r>
        <w:rPr>
          <w:rFonts w:ascii="Times New Roman" w:cs="Times New Roman" w:eastAsia="Times New Roman" w:hAnsi="Times New Roman"/>
          <w:sz w:val="16"/>
          <w:szCs w:val="16"/>
          <w:color w:val="auto"/>
        </w:rPr>
        <w:t>), fraud (</w:t>
      </w:r>
      <w:r>
        <w:rPr>
          <w:rFonts w:ascii="Times New Roman" w:cs="Times New Roman" w:eastAsia="Times New Roman" w:hAnsi="Times New Roman"/>
          <w:sz w:val="16"/>
          <w:szCs w:val="16"/>
          <w:i w:val="1"/>
          <w:iCs w:val="1"/>
          <w:color w:val="auto"/>
        </w:rPr>
        <w:t>bedrog</w:t>
      </w:r>
      <w:r>
        <w:rPr>
          <w:rFonts w:ascii="Times New Roman" w:cs="Times New Roman" w:eastAsia="Times New Roman" w:hAnsi="Times New Roman"/>
          <w:sz w:val="16"/>
          <w:szCs w:val="16"/>
          <w:color w:val="auto"/>
        </w:rPr>
        <w:t>), abuse of circumstances (</w:t>
      </w:r>
      <w:r>
        <w:rPr>
          <w:rFonts w:ascii="Times New Roman" w:cs="Times New Roman" w:eastAsia="Times New Roman" w:hAnsi="Times New Roman"/>
          <w:sz w:val="16"/>
          <w:szCs w:val="16"/>
          <w:i w:val="1"/>
          <w:iCs w:val="1"/>
          <w:color w:val="auto"/>
        </w:rPr>
        <w:t>misbruik van omstandigheden</w:t>
      </w:r>
      <w:r>
        <w:rPr>
          <w:rFonts w:ascii="Times New Roman" w:cs="Times New Roman" w:eastAsia="Times New Roman" w:hAnsi="Times New Roman"/>
          <w:sz w:val="16"/>
          <w:szCs w:val="16"/>
          <w:color w:val="auto"/>
        </w:rPr>
        <w:t>) and error (</w:t>
      </w:r>
      <w:r>
        <w:rPr>
          <w:rFonts w:ascii="Times New Roman" w:cs="Times New Roman" w:eastAsia="Times New Roman" w:hAnsi="Times New Roman"/>
          <w:sz w:val="16"/>
          <w:szCs w:val="16"/>
          <w:i w:val="1"/>
          <w:iCs w:val="1"/>
          <w:color w:val="auto"/>
        </w:rPr>
        <w:t>dwaling</w:t>
      </w:r>
      <w:r>
        <w:rPr>
          <w:rFonts w:ascii="Times New Roman" w:cs="Times New Roman" w:eastAsia="Times New Roman" w:hAnsi="Times New Roman"/>
          <w:sz w:val="16"/>
          <w:szCs w:val="16"/>
          <w:color w:val="auto"/>
        </w:rPr>
        <w:t>)) or a difference of intention (</w:t>
      </w:r>
      <w:r>
        <w:rPr>
          <w:rFonts w:ascii="Times New Roman" w:cs="Times New Roman" w:eastAsia="Times New Roman" w:hAnsi="Times New Roman"/>
          <w:sz w:val="16"/>
          <w:szCs w:val="16"/>
          <w:i w:val="1"/>
          <w:iCs w:val="1"/>
          <w:color w:val="auto"/>
        </w:rPr>
        <w:t>wil</w:t>
      </w:r>
      <w:r>
        <w:rPr>
          <w:rFonts w:ascii="Times New Roman" w:cs="Times New Roman" w:eastAsia="Times New Roman" w:hAnsi="Times New Roman"/>
          <w:sz w:val="16"/>
          <w:szCs w:val="16"/>
          <w:color w:val="auto"/>
        </w:rPr>
        <w:t>) and declaration (</w:t>
      </w:r>
      <w:r>
        <w:rPr>
          <w:rFonts w:ascii="Times New Roman" w:cs="Times New Roman" w:eastAsia="Times New Roman" w:hAnsi="Times New Roman"/>
          <w:sz w:val="16"/>
          <w:szCs w:val="16"/>
          <w:i w:val="1"/>
          <w:iCs w:val="1"/>
          <w:color w:val="auto"/>
        </w:rPr>
        <w:t>verklaring</w:t>
      </w:r>
      <w:r>
        <w:rPr>
          <w:rFonts w:ascii="Times New Roman" w:cs="Times New Roman" w:eastAsia="Times New Roman" w:hAnsi="Times New Roman"/>
          <w:sz w:val="16"/>
          <w:szCs w:val="16"/>
          <w:color w:val="auto"/>
        </w:rPr>
        <w:t>).</w:t>
      </w:r>
    </w:p>
    <w:p>
      <w:pPr>
        <w:spacing w:after="0" w:line="155" w:lineRule="exact"/>
        <w:rPr>
          <w:rFonts w:ascii="Times New Roman" w:cs="Times New Roman" w:eastAsia="Times New Roman" w:hAnsi="Times New Roman"/>
          <w:sz w:val="16"/>
          <w:szCs w:val="16"/>
          <w:color w:val="auto"/>
        </w:rPr>
      </w:pPr>
    </w:p>
    <w:p>
      <w:pPr>
        <w:ind w:left="563" w:hanging="563"/>
        <w:spacing w:after="0"/>
        <w:tabs>
          <w:tab w:leader="none" w:pos="563"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opinion letter does not purport to express any opinion or view on the operational rules and procedures of any clearing or settlement system or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145655" cy="152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3"/>
          </w:cols>
          <w:pgMar w:left="317" w:top="582" w:right="339" w:bottom="1440" w:gutter="0" w:footer="0" w:header="0"/>
        </w:sectPr>
      </w:pPr>
    </w:p>
    <w:bookmarkStart w:id="261" w:name="page262"/>
    <w:bookmarkEnd w:id="261"/>
    <w:p>
      <w:pPr>
        <w:ind w:left="59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3805555</wp:posOffset>
            </wp:positionH>
            <wp:positionV relativeFrom="page">
              <wp:posOffset>88900</wp:posOffset>
            </wp:positionV>
            <wp:extent cx="1028700" cy="1238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0">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23825"/>
                    </a:xfrm>
                    <a:prstGeom prst="rect">
                      <a:avLst/>
                    </a:prstGeom>
                    <a:noFill/>
                  </pic:spPr>
                </pic:pic>
              </a:graphicData>
            </a:graphic>
          </wp:anchor>
        </w:drawing>
        <w:t>6</w:t>
      </w:r>
    </w:p>
    <w:p>
      <w:pPr>
        <w:spacing w:after="0" w:line="1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We consent to the filing of this opinion letter as an exhibit to the Registration Statement and also consent to the reference to NautaDutilh in the Registration Statement under the caption “Legal Matters”. In giving this consent we do not admit or imply that we are a person whose consent is required under Section 7 of the United States Securities Act of 1933, as amended, or any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145655" cy="152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262" w:name="page263"/>
    <w:bookmarkEnd w:id="262"/>
    <w:p>
      <w:pPr>
        <w:jc w:val="right"/>
        <w:ind w:right="409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3805555</wp:posOffset>
            </wp:positionH>
            <wp:positionV relativeFrom="page">
              <wp:posOffset>88900</wp:posOffset>
            </wp:positionV>
            <wp:extent cx="1028700" cy="1238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2">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23825"/>
                    </a:xfrm>
                    <a:prstGeom prst="rect">
                      <a:avLst/>
                    </a:prstGeom>
                    <a:noFill/>
                  </pic:spPr>
                </pic:pic>
              </a:graphicData>
            </a:graphic>
          </wp:anchor>
        </w:drawing>
        <w:t>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Sincerely yours,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Nauta Dutilh N.V.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Nauta Dutilh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239395</wp:posOffset>
            </wp:positionV>
            <wp:extent cx="7145655" cy="152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139"/>
          </w:cols>
          <w:pgMar w:left="320" w:top="582" w:right="1440" w:bottom="1440" w:gutter="0" w:footer="0" w:header="0"/>
        </w:sectPr>
      </w:pPr>
    </w:p>
    <w:bookmarkStart w:id="263" w:name="page264"/>
    <w:bookmarkEnd w:id="263"/>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940" w:type="dxa"/>
            <w:vAlign w:val="bottom"/>
          </w:tcPr>
          <w:p>
            <w:pPr>
              <w:ind w:left="364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358"/>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A</w:t>
            </w:r>
          </w:p>
        </w:tc>
        <w:tc>
          <w:tcPr>
            <w:tcW w:w="8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LIST OF DEFINITIONS</w:t>
            </w:r>
          </w:p>
        </w:tc>
        <w:tc>
          <w:tcPr>
            <w:tcW w:w="8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300" w:type="dxa"/>
            <w:vAlign w:val="bottom"/>
          </w:tcPr>
          <w:p>
            <w:pPr>
              <w:spacing w:after="0"/>
              <w:rPr>
                <w:sz w:val="17"/>
                <w:szCs w:val="17"/>
                <w:color w:val="auto"/>
              </w:rPr>
            </w:pPr>
          </w:p>
        </w:tc>
        <w:tc>
          <w:tcPr>
            <w:tcW w:w="8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Agreements</w:t>
            </w:r>
            <w:r>
              <w:rPr>
                <w:rFonts w:ascii="Times New Roman" w:cs="Times New Roman" w:eastAsia="Times New Roman" w:hAnsi="Times New Roman"/>
                <w:sz w:val="16"/>
                <w:szCs w:val="16"/>
                <w:color w:val="auto"/>
              </w:rPr>
              <w:t>"</w:t>
            </w:r>
          </w:p>
        </w:tc>
        <w:tc>
          <w:tcPr>
            <w:tcW w:w="8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any Indenture or any Notation of Guarantee</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30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23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Anti-Boycott Regulation</w:t>
            </w:r>
            <w:r>
              <w:rPr>
                <w:rFonts w:ascii="Times New Roman" w:cs="Times New Roman" w:eastAsia="Times New Roman" w:hAnsi="Times New Roman"/>
                <w:sz w:val="16"/>
                <w:szCs w:val="16"/>
                <w:color w:val="auto"/>
              </w:rPr>
              <w:t>"</w:t>
            </w:r>
          </w:p>
        </w:tc>
        <w:tc>
          <w:tcPr>
            <w:tcW w:w="8940" w:type="dxa"/>
            <w:vAlign w:val="bottom"/>
            <w:shd w:val="clear" w:color="auto" w:fill="CCEEFF"/>
          </w:tcPr>
          <w:p>
            <w:pPr>
              <w:ind w:left="500"/>
              <w:spacing w:after="0" w:line="178" w:lineRule="exact"/>
              <w:rPr>
                <w:sz w:val="20"/>
                <w:szCs w:val="20"/>
                <w:color w:val="auto"/>
              </w:rPr>
            </w:pPr>
            <w:r>
              <w:rPr>
                <w:rFonts w:ascii="Times New Roman" w:cs="Times New Roman" w:eastAsia="Times New Roman" w:hAnsi="Times New Roman"/>
                <w:sz w:val="16"/>
                <w:szCs w:val="16"/>
                <w:color w:val="auto"/>
              </w:rPr>
              <w:t>Regulation (EC) No 2271/96 on protecting against the effects of the extra-territorial application of legislation adopted by a third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country, and actions based thereon or resulting therefrom</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30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Articles of Association</w:t>
            </w:r>
            <w:r>
              <w:rPr>
                <w:rFonts w:ascii="Times New Roman" w:cs="Times New Roman" w:eastAsia="Times New Roman" w:hAnsi="Times New Roman"/>
                <w:sz w:val="16"/>
                <w:szCs w:val="16"/>
                <w:color w:val="auto"/>
              </w:rPr>
              <w:t>"</w:t>
            </w:r>
          </w:p>
        </w:tc>
        <w:tc>
          <w:tcPr>
            <w:tcW w:w="8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the Dutch Company’s articles of association (</w:t>
            </w:r>
            <w:r>
              <w:rPr>
                <w:rFonts w:ascii="Times New Roman" w:cs="Times New Roman" w:eastAsia="Times New Roman" w:hAnsi="Times New Roman"/>
                <w:sz w:val="16"/>
                <w:szCs w:val="16"/>
                <w:i w:val="1"/>
                <w:iCs w:val="1"/>
                <w:color w:val="auto"/>
              </w:rPr>
              <w:t>statuten</w:t>
            </w:r>
            <w:r>
              <w:rPr>
                <w:rFonts w:ascii="Times New Roman" w:cs="Times New Roman" w:eastAsia="Times New Roman" w:hAnsi="Times New Roman"/>
                <w:sz w:val="16"/>
                <w:szCs w:val="16"/>
                <w:color w:val="auto"/>
              </w:rPr>
              <w:t>) as they read from time to time</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30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w:t>
            </w:r>
          </w:p>
        </w:tc>
        <w:tc>
          <w:tcPr>
            <w:tcW w:w="8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the board of directors (bestuur) of the Dutch Company.</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30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Commercial Register</w:t>
            </w:r>
            <w:r>
              <w:rPr>
                <w:rFonts w:ascii="Times New Roman" w:cs="Times New Roman" w:eastAsia="Times New Roman" w:hAnsi="Times New Roman"/>
                <w:sz w:val="16"/>
                <w:szCs w:val="16"/>
                <w:color w:val="auto"/>
              </w:rPr>
              <w:t>"</w:t>
            </w:r>
          </w:p>
        </w:tc>
        <w:tc>
          <w:tcPr>
            <w:tcW w:w="8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the Commercial Register held by the Dutch Chamber of Commerce (</w:t>
            </w:r>
            <w:r>
              <w:rPr>
                <w:rFonts w:ascii="Times New Roman" w:cs="Times New Roman" w:eastAsia="Times New Roman" w:hAnsi="Times New Roman"/>
                <w:sz w:val="16"/>
                <w:szCs w:val="16"/>
                <w:i w:val="1"/>
                <w:iCs w:val="1"/>
                <w:color w:val="auto"/>
              </w:rPr>
              <w:t>handelsregister gehouden door de Kamer van Koophandel</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30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w:t>
            </w:r>
          </w:p>
        </w:tc>
        <w:tc>
          <w:tcPr>
            <w:tcW w:w="8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shares of common stock in Viatris Inc. with a par value of $0.01 per share</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30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Corporate Documents</w:t>
            </w:r>
            <w:r>
              <w:rPr>
                <w:rFonts w:ascii="Times New Roman" w:cs="Times New Roman" w:eastAsia="Times New Roman" w:hAnsi="Times New Roman"/>
                <w:sz w:val="16"/>
                <w:szCs w:val="16"/>
                <w:color w:val="auto"/>
              </w:rPr>
              <w:t>"</w:t>
            </w:r>
          </w:p>
        </w:tc>
        <w:tc>
          <w:tcPr>
            <w:tcW w:w="8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the Deed of Incorporation, the Current Articles and the Extract</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30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Current Articles</w:t>
            </w:r>
            <w:r>
              <w:rPr>
                <w:rFonts w:ascii="Times New Roman" w:cs="Times New Roman" w:eastAsia="Times New Roman" w:hAnsi="Times New Roman"/>
                <w:sz w:val="16"/>
                <w:szCs w:val="16"/>
                <w:color w:val="auto"/>
              </w:rPr>
              <w:t>"</w:t>
            </w:r>
          </w:p>
        </w:tc>
        <w:tc>
          <w:tcPr>
            <w:tcW w:w="8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the Articles of Association as contained in the Deed of Incorporation</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30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DCC</w:t>
            </w:r>
            <w:r>
              <w:rPr>
                <w:rFonts w:ascii="Times New Roman" w:cs="Times New Roman" w:eastAsia="Times New Roman" w:hAnsi="Times New Roman"/>
                <w:sz w:val="16"/>
                <w:szCs w:val="16"/>
                <w:color w:val="auto"/>
              </w:rPr>
              <w:t>"</w:t>
            </w:r>
          </w:p>
        </w:tc>
        <w:tc>
          <w:tcPr>
            <w:tcW w:w="8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the Dutch Civil Code (</w:t>
            </w:r>
            <w:r>
              <w:rPr>
                <w:rFonts w:ascii="Times New Roman" w:cs="Times New Roman" w:eastAsia="Times New Roman" w:hAnsi="Times New Roman"/>
                <w:sz w:val="16"/>
                <w:szCs w:val="16"/>
                <w:i w:val="1"/>
                <w:iCs w:val="1"/>
                <w:color w:val="auto"/>
              </w:rPr>
              <w:t>Burgerlijk Wetboek</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30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23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Debt Securities</w:t>
            </w:r>
            <w:r>
              <w:rPr>
                <w:rFonts w:ascii="Times New Roman" w:cs="Times New Roman" w:eastAsia="Times New Roman" w:hAnsi="Times New Roman"/>
                <w:sz w:val="16"/>
                <w:szCs w:val="16"/>
                <w:color w:val="auto"/>
              </w:rPr>
              <w:t>"</w:t>
            </w:r>
          </w:p>
        </w:tc>
        <w:tc>
          <w:tcPr>
            <w:tcW w:w="8940" w:type="dxa"/>
            <w:vAlign w:val="bottom"/>
            <w:shd w:val="clear" w:color="auto" w:fill="CCEEFF"/>
          </w:tcPr>
          <w:p>
            <w:pPr>
              <w:ind w:left="500"/>
              <w:spacing w:after="0" w:line="178" w:lineRule="exact"/>
              <w:rPr>
                <w:sz w:val="20"/>
                <w:szCs w:val="20"/>
                <w:color w:val="auto"/>
              </w:rPr>
            </w:pPr>
            <w:r>
              <w:rPr>
                <w:rFonts w:ascii="Times New Roman" w:cs="Times New Roman" w:eastAsia="Times New Roman" w:hAnsi="Times New Roman"/>
                <w:sz w:val="16"/>
                <w:szCs w:val="16"/>
                <w:color w:val="auto"/>
              </w:rPr>
              <w:t>one or more series of debt securities issuable by Viatris Inc. and applicable guarantees offered by, among others, the Dutch</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Company and registered pursuant to the Registration Statement.</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30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Deed of Incorporation</w:t>
            </w:r>
            <w:r>
              <w:rPr>
                <w:rFonts w:ascii="Times New Roman" w:cs="Times New Roman" w:eastAsia="Times New Roman" w:hAnsi="Times New Roman"/>
                <w:sz w:val="16"/>
                <w:szCs w:val="16"/>
                <w:color w:val="auto"/>
              </w:rPr>
              <w:t>"</w:t>
            </w:r>
          </w:p>
        </w:tc>
        <w:tc>
          <w:tcPr>
            <w:tcW w:w="8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the deed of incorporation (</w:t>
            </w:r>
            <w:r>
              <w:rPr>
                <w:rFonts w:ascii="Times New Roman" w:cs="Times New Roman" w:eastAsia="Times New Roman" w:hAnsi="Times New Roman"/>
                <w:sz w:val="16"/>
                <w:szCs w:val="16"/>
                <w:i w:val="1"/>
                <w:iCs w:val="1"/>
                <w:color w:val="auto"/>
              </w:rPr>
              <w:t>akte van oprichting</w:t>
            </w:r>
            <w:r>
              <w:rPr>
                <w:rFonts w:ascii="Times New Roman" w:cs="Times New Roman" w:eastAsia="Times New Roman" w:hAnsi="Times New Roman"/>
                <w:sz w:val="16"/>
                <w:szCs w:val="16"/>
                <w:color w:val="auto"/>
              </w:rPr>
              <w:t>) of the Dutch Company, dated 25 July 2019</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60"/>
          </w:cols>
          <w:pgMar w:left="320" w:top="582" w:right="319" w:bottom="1440" w:gutter="0" w:footer="0" w:header="0"/>
        </w:sectPr>
      </w:pPr>
      <w:r>
        <w:rPr>
          <w:sz w:val="20"/>
          <w:szCs w:val="20"/>
          <w:color w:val="auto"/>
        </w:rPr>
        <w:drawing>
          <wp:anchor simplePos="0" relativeHeight="251657728" behindDoc="1" locked="0" layoutInCell="0" allowOverlap="1">
            <wp:simplePos x="0" y="0"/>
            <wp:positionH relativeFrom="page">
              <wp:posOffset>3805555</wp:posOffset>
            </wp:positionH>
            <wp:positionV relativeFrom="page">
              <wp:posOffset>88900</wp:posOffset>
            </wp:positionV>
            <wp:extent cx="1028700" cy="1238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4">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23825"/>
                    </a:xfrm>
                    <a:prstGeom prst="rect">
                      <a:avLst/>
                    </a:prstGeom>
                    <a:noFill/>
                  </pic:spPr>
                </pic:pic>
              </a:graphicData>
            </a:graphic>
          </wp:anchor>
        </w:drawing>
      </w:r>
    </w:p>
    <w:bookmarkStart w:id="264" w:name="page265"/>
    <w:bookmarkEnd w:id="264"/>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940" w:type="dxa"/>
            <w:vAlign w:val="bottom"/>
          </w:tcPr>
          <w:p>
            <w:pPr>
              <w:ind w:left="3640"/>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2300" w:type="dxa"/>
            <w:vAlign w:val="bottom"/>
          </w:tcPr>
          <w:p>
            <w:pPr>
              <w:spacing w:after="0"/>
              <w:rPr>
                <w:sz w:val="15"/>
                <w:szCs w:val="15"/>
                <w:color w:val="auto"/>
              </w:rPr>
            </w:pPr>
          </w:p>
        </w:tc>
        <w:tc>
          <w:tcPr>
            <w:tcW w:w="8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Dutch Bankruptcy Code</w:t>
            </w:r>
            <w:r>
              <w:rPr>
                <w:rFonts w:ascii="Times New Roman" w:cs="Times New Roman" w:eastAsia="Times New Roman" w:hAnsi="Times New Roman"/>
                <w:sz w:val="16"/>
                <w:szCs w:val="16"/>
                <w:color w:val="auto"/>
              </w:rPr>
              <w:t>"</w:t>
            </w:r>
          </w:p>
        </w:tc>
        <w:tc>
          <w:tcPr>
            <w:tcW w:w="8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the Dutch Bankruptcy Code (</w:t>
            </w:r>
            <w:r>
              <w:rPr>
                <w:rFonts w:ascii="Times New Roman" w:cs="Times New Roman" w:eastAsia="Times New Roman" w:hAnsi="Times New Roman"/>
                <w:sz w:val="16"/>
                <w:szCs w:val="16"/>
                <w:i w:val="1"/>
                <w:iCs w:val="1"/>
                <w:color w:val="auto"/>
              </w:rPr>
              <w:t>Faillissementswet</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30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23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Dutch Company</w:t>
            </w:r>
            <w:r>
              <w:rPr>
                <w:rFonts w:ascii="Times New Roman" w:cs="Times New Roman" w:eastAsia="Times New Roman" w:hAnsi="Times New Roman"/>
                <w:sz w:val="16"/>
                <w:szCs w:val="16"/>
                <w:color w:val="auto"/>
              </w:rPr>
              <w:t>"</w:t>
            </w:r>
          </w:p>
        </w:tc>
        <w:tc>
          <w:tcPr>
            <w:tcW w:w="8940" w:type="dxa"/>
            <w:vAlign w:val="bottom"/>
            <w:shd w:val="clear" w:color="auto" w:fill="CCEEFF"/>
          </w:tcPr>
          <w:p>
            <w:pPr>
              <w:ind w:left="500"/>
              <w:spacing w:after="0" w:line="178" w:lineRule="exact"/>
              <w:rPr>
                <w:sz w:val="20"/>
                <w:szCs w:val="20"/>
                <w:color w:val="auto"/>
              </w:rPr>
            </w:pPr>
            <w:r>
              <w:rPr>
                <w:rFonts w:ascii="Times New Roman" w:cs="Times New Roman" w:eastAsia="Times New Roman" w:hAnsi="Times New Roman"/>
                <w:sz w:val="16"/>
                <w:szCs w:val="16"/>
                <w:color w:val="auto"/>
              </w:rPr>
              <w:t>Mylan II B.V., a private company with limited liability (</w:t>
            </w:r>
            <w:r>
              <w:rPr>
                <w:rFonts w:ascii="Times New Roman" w:cs="Times New Roman" w:eastAsia="Times New Roman" w:hAnsi="Times New Roman"/>
                <w:sz w:val="16"/>
                <w:szCs w:val="16"/>
                <w:i w:val="1"/>
                <w:iCs w:val="1"/>
                <w:color w:val="auto"/>
              </w:rPr>
              <w:t>besloten vennootschap met beperkte aansprakelijkheid</w:t>
            </w:r>
            <w:r>
              <w:rPr>
                <w:rFonts w:ascii="Times New Roman" w:cs="Times New Roman" w:eastAsia="Times New Roman" w:hAnsi="Times New Roman"/>
                <w:sz w:val="16"/>
                <w:szCs w:val="16"/>
                <w:color w:val="auto"/>
              </w:rPr>
              <w:t>), registered with</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the Commercial Register under number 75453444</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30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23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eIDAS Regulation</w:t>
            </w:r>
            <w:r>
              <w:rPr>
                <w:rFonts w:ascii="Times New Roman" w:cs="Times New Roman" w:eastAsia="Times New Roman" w:hAnsi="Times New Roman"/>
                <w:sz w:val="16"/>
                <w:szCs w:val="16"/>
                <w:color w:val="auto"/>
              </w:rPr>
              <w:t>"</w:t>
            </w:r>
          </w:p>
        </w:tc>
        <w:tc>
          <w:tcPr>
            <w:tcW w:w="8940" w:type="dxa"/>
            <w:vAlign w:val="bottom"/>
            <w:shd w:val="clear" w:color="auto" w:fill="CCEEFF"/>
          </w:tcPr>
          <w:p>
            <w:pPr>
              <w:ind w:left="500"/>
              <w:spacing w:after="0" w:line="178" w:lineRule="exact"/>
              <w:rPr>
                <w:sz w:val="20"/>
                <w:szCs w:val="20"/>
                <w:color w:val="auto"/>
              </w:rPr>
            </w:pPr>
            <w:r>
              <w:rPr>
                <w:rFonts w:ascii="Times New Roman" w:cs="Times New Roman" w:eastAsia="Times New Roman" w:hAnsi="Times New Roman"/>
                <w:sz w:val="16"/>
                <w:szCs w:val="16"/>
                <w:color w:val="auto"/>
              </w:rPr>
              <w:t>Regulation (EU) No 910/2014 of the European Parliament and of the Council of 23 July 2014 on electronic identification and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trust services for electronic transactions in the internal market and repealing Directive 1999/93/EC</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30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23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Extract</w:t>
            </w:r>
            <w:r>
              <w:rPr>
                <w:rFonts w:ascii="Times New Roman" w:cs="Times New Roman" w:eastAsia="Times New Roman" w:hAnsi="Times New Roman"/>
                <w:sz w:val="16"/>
                <w:szCs w:val="16"/>
                <w:color w:val="auto"/>
              </w:rPr>
              <w:t>"</w:t>
            </w:r>
          </w:p>
        </w:tc>
        <w:tc>
          <w:tcPr>
            <w:tcW w:w="8940" w:type="dxa"/>
            <w:vAlign w:val="bottom"/>
            <w:shd w:val="clear" w:color="auto" w:fill="CCEEFF"/>
          </w:tcPr>
          <w:p>
            <w:pPr>
              <w:ind w:left="500"/>
              <w:spacing w:after="0" w:line="178" w:lineRule="exact"/>
              <w:rPr>
                <w:sz w:val="20"/>
                <w:szCs w:val="20"/>
                <w:color w:val="auto"/>
              </w:rPr>
            </w:pPr>
            <w:r>
              <w:rPr>
                <w:rFonts w:ascii="Times New Roman" w:cs="Times New Roman" w:eastAsia="Times New Roman" w:hAnsi="Times New Roman"/>
                <w:sz w:val="16"/>
                <w:szCs w:val="16"/>
                <w:color w:val="auto"/>
              </w:rPr>
              <w:t>a pdf copy of an extract from the Commercial Register, received by us by email and dated the date of this opinion letter with</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respect to the Dutch Company</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30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Forms of Indenture</w:t>
            </w:r>
            <w:r>
              <w:rPr>
                <w:rFonts w:ascii="Times New Roman" w:cs="Times New Roman" w:eastAsia="Times New Roman" w:hAnsi="Times New Roman"/>
                <w:sz w:val="16"/>
                <w:szCs w:val="16"/>
                <w:color w:val="auto"/>
              </w:rPr>
              <w:t>"</w:t>
            </w:r>
          </w:p>
        </w:tc>
        <w:tc>
          <w:tcPr>
            <w:tcW w:w="8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the forms of indenture as attached to the Registration Statement as Exhibit 4.11, Exhibit 4.12 and Exhibit 4.13</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30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Form of Notation of</w:t>
            </w:r>
          </w:p>
        </w:tc>
        <w:tc>
          <w:tcPr>
            <w:tcW w:w="8940" w:type="dxa"/>
            <w:vAlign w:val="bottom"/>
            <w:shd w:val="clear" w:color="auto" w:fill="CCEEFF"/>
          </w:tcPr>
          <w:p>
            <w:pPr>
              <w:ind w:left="500"/>
              <w:spacing w:after="0" w:line="177" w:lineRule="exact"/>
              <w:rPr>
                <w:sz w:val="20"/>
                <w:szCs w:val="20"/>
                <w:color w:val="auto"/>
              </w:rPr>
            </w:pPr>
            <w:r>
              <w:rPr>
                <w:rFonts w:ascii="Times New Roman" w:cs="Times New Roman" w:eastAsia="Times New Roman" w:hAnsi="Times New Roman"/>
                <w:sz w:val="16"/>
                <w:szCs w:val="16"/>
                <w:color w:val="auto"/>
              </w:rPr>
              <w:t>the form of notation of guarantee as attached to each Form of Indenture as Exhibit 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Guarantee</w:t>
            </w:r>
            <w:r>
              <w:rPr>
                <w:rFonts w:ascii="Times New Roman" w:cs="Times New Roman" w:eastAsia="Times New Roman" w:hAnsi="Times New Roman"/>
                <w:sz w:val="16"/>
                <w:szCs w:val="16"/>
                <w:color w:val="auto"/>
              </w:rPr>
              <w:t>"</w:t>
            </w:r>
          </w:p>
        </w:tc>
        <w:tc>
          <w:tcPr>
            <w:tcW w:w="8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30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23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Indenture</w:t>
            </w:r>
            <w:r>
              <w:rPr>
                <w:rFonts w:ascii="Times New Roman" w:cs="Times New Roman" w:eastAsia="Times New Roman" w:hAnsi="Times New Roman"/>
                <w:sz w:val="16"/>
                <w:szCs w:val="16"/>
                <w:color w:val="auto"/>
              </w:rPr>
              <w:t>"</w:t>
            </w:r>
          </w:p>
        </w:tc>
        <w:tc>
          <w:tcPr>
            <w:tcW w:w="8940" w:type="dxa"/>
            <w:vAlign w:val="bottom"/>
            <w:shd w:val="clear" w:color="auto" w:fill="CCEEFF"/>
          </w:tcPr>
          <w:p>
            <w:pPr>
              <w:ind w:left="500"/>
              <w:spacing w:after="0" w:line="178" w:lineRule="exact"/>
              <w:rPr>
                <w:sz w:val="20"/>
                <w:szCs w:val="20"/>
                <w:color w:val="auto"/>
              </w:rPr>
            </w:pPr>
            <w:r>
              <w:rPr>
                <w:rFonts w:ascii="Times New Roman" w:cs="Times New Roman" w:eastAsia="Times New Roman" w:hAnsi="Times New Roman"/>
                <w:sz w:val="16"/>
                <w:szCs w:val="16"/>
                <w:color w:val="auto"/>
              </w:rPr>
              <w:t>any indenture or supplemental indenture to be entered into between Viatris Inc., the Company as Guarantor, any additional</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Guarantors and the Trustee (as defined therein) in respect of the issuance of Debt Securities, in the form of any Form of Indenture</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30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Insolvency Proceedings</w:t>
            </w:r>
            <w:r>
              <w:rPr>
                <w:rFonts w:ascii="Times New Roman" w:cs="Times New Roman" w:eastAsia="Times New Roman" w:hAnsi="Times New Roman"/>
                <w:sz w:val="16"/>
                <w:szCs w:val="16"/>
                <w:color w:val="auto"/>
              </w:rPr>
              <w:t>"</w:t>
            </w:r>
          </w:p>
        </w:tc>
        <w:tc>
          <w:tcPr>
            <w:tcW w:w="8940" w:type="dxa"/>
            <w:vAlign w:val="bottom"/>
            <w:shd w:val="clear" w:color="auto" w:fill="CCEEFF"/>
          </w:tcPr>
          <w:p>
            <w:pPr>
              <w:ind w:left="500"/>
              <w:spacing w:after="0" w:line="177" w:lineRule="exact"/>
              <w:rPr>
                <w:sz w:val="20"/>
                <w:szCs w:val="20"/>
                <w:color w:val="auto"/>
              </w:rPr>
            </w:pPr>
            <w:r>
              <w:rPr>
                <w:rFonts w:ascii="Times New Roman" w:cs="Times New Roman" w:eastAsia="Times New Roman" w:hAnsi="Times New Roman"/>
                <w:sz w:val="16"/>
                <w:szCs w:val="16"/>
                <w:color w:val="auto"/>
              </w:rPr>
              <w:t>any insolvency proceedings within the meaning of Regulation (EU) 2015/848 on insolvency proceedings (recast), listed in Annex</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8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 thereto and any statutory proceedings for the restructuring of debts (</w:t>
            </w:r>
            <w:r>
              <w:rPr>
                <w:rFonts w:ascii="Times New Roman" w:cs="Times New Roman" w:eastAsia="Times New Roman" w:hAnsi="Times New Roman"/>
                <w:sz w:val="16"/>
                <w:szCs w:val="16"/>
                <w:i w:val="1"/>
                <w:iCs w:val="1"/>
                <w:color w:val="auto"/>
              </w:rPr>
              <w:t>akkoordprocedure</w:t>
            </w:r>
            <w:r>
              <w:rPr>
                <w:rFonts w:ascii="Times New Roman" w:cs="Times New Roman" w:eastAsia="Times New Roman" w:hAnsi="Times New Roman"/>
                <w:sz w:val="16"/>
                <w:szCs w:val="16"/>
                <w:color w:val="auto"/>
              </w:rPr>
              <w:t>) pursuant to the Dutch Bankruptcy</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Code</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60"/>
          </w:cols>
          <w:pgMar w:left="320" w:top="582" w:right="319" w:bottom="1440" w:gutter="0" w:footer="0" w:header="0"/>
        </w:sectPr>
      </w:pPr>
      <w:r>
        <w:rPr>
          <w:sz w:val="20"/>
          <w:szCs w:val="20"/>
          <w:color w:val="auto"/>
        </w:rPr>
        <w:drawing>
          <wp:anchor simplePos="0" relativeHeight="251657728" behindDoc="1" locked="0" layoutInCell="0" allowOverlap="1">
            <wp:simplePos x="0" y="0"/>
            <wp:positionH relativeFrom="page">
              <wp:posOffset>3805555</wp:posOffset>
            </wp:positionH>
            <wp:positionV relativeFrom="page">
              <wp:posOffset>88900</wp:posOffset>
            </wp:positionV>
            <wp:extent cx="1028700" cy="1238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23825"/>
                    </a:xfrm>
                    <a:prstGeom prst="rect">
                      <a:avLst/>
                    </a:prstGeom>
                    <a:noFill/>
                  </pic:spPr>
                </pic:pic>
              </a:graphicData>
            </a:graphic>
          </wp:anchor>
        </w:drawing>
      </w:r>
    </w:p>
    <w:bookmarkStart w:id="265" w:name="page266"/>
    <w:bookmarkEnd w:id="265"/>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980" w:type="dxa"/>
            <w:vAlign w:val="bottom"/>
          </w:tcPr>
          <w:p>
            <w:pPr>
              <w:ind w:left="3680"/>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226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2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Insolvency Registers</w:t>
            </w:r>
            <w:r>
              <w:rPr>
                <w:rFonts w:ascii="Times New Roman" w:cs="Times New Roman" w:eastAsia="Times New Roman" w:hAnsi="Times New Roman"/>
                <w:sz w:val="16"/>
                <w:szCs w:val="16"/>
                <w:color w:val="auto"/>
              </w:rPr>
              <w:t>"</w:t>
            </w:r>
          </w:p>
        </w:tc>
        <w:tc>
          <w:tcPr>
            <w:tcW w:w="8980" w:type="dxa"/>
            <w:vAlign w:val="bottom"/>
            <w:shd w:val="clear" w:color="auto" w:fill="CCEEFF"/>
          </w:tcPr>
          <w:p>
            <w:pPr>
              <w:ind w:left="540"/>
              <w:spacing w:after="0" w:line="177" w:lineRule="exact"/>
              <w:rPr>
                <w:sz w:val="20"/>
                <w:szCs w:val="20"/>
                <w:color w:val="auto"/>
              </w:rPr>
            </w:pPr>
            <w:r>
              <w:rPr>
                <w:rFonts w:ascii="Times New Roman" w:cs="Times New Roman" w:eastAsia="Times New Roman" w:hAnsi="Times New Roman"/>
                <w:sz w:val="16"/>
                <w:szCs w:val="16"/>
                <w:color w:val="auto"/>
              </w:rPr>
              <w:t>the online central insolvency register (</w:t>
            </w:r>
            <w:r>
              <w:rPr>
                <w:rFonts w:ascii="Times New Roman" w:cs="Times New Roman" w:eastAsia="Times New Roman" w:hAnsi="Times New Roman"/>
                <w:sz w:val="16"/>
                <w:szCs w:val="16"/>
                <w:i w:val="1"/>
                <w:iCs w:val="1"/>
                <w:color w:val="auto"/>
              </w:rPr>
              <w:t>Centraal Insolventie Register</w:t>
            </w:r>
            <w:r>
              <w:rPr>
                <w:rFonts w:ascii="Times New Roman" w:cs="Times New Roman" w:eastAsia="Times New Roman" w:hAnsi="Times New Roman"/>
                <w:sz w:val="16"/>
                <w:szCs w:val="16"/>
                <w:color w:val="auto"/>
              </w:rPr>
              <w:t>), the online EU Insolvency Register (</w:t>
            </w:r>
            <w:r>
              <w:rPr>
                <w:rFonts w:ascii="Times New Roman" w:cs="Times New Roman" w:eastAsia="Times New Roman" w:hAnsi="Times New Roman"/>
                <w:sz w:val="16"/>
                <w:szCs w:val="16"/>
                <w:i w:val="1"/>
                <w:iCs w:val="1"/>
                <w:color w:val="auto"/>
              </w:rPr>
              <w:t>Centraal Insolventie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8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i w:val="1"/>
                <w:iCs w:val="1"/>
                <w:color w:val="auto"/>
              </w:rPr>
              <w:t>Register - EU Registraties</w:t>
            </w:r>
            <w:r>
              <w:rPr>
                <w:rFonts w:ascii="Times New Roman" w:cs="Times New Roman" w:eastAsia="Times New Roman" w:hAnsi="Times New Roman"/>
                <w:sz w:val="16"/>
                <w:szCs w:val="16"/>
                <w:color w:val="auto"/>
              </w:rPr>
              <w:t>) and the online Register of Decisions in a WHOA Procedure (</w:t>
            </w:r>
            <w:r>
              <w:rPr>
                <w:rFonts w:ascii="Times New Roman" w:cs="Times New Roman" w:eastAsia="Times New Roman" w:hAnsi="Times New Roman"/>
                <w:sz w:val="16"/>
                <w:szCs w:val="16"/>
                <w:i w:val="1"/>
                <w:iCs w:val="1"/>
                <w:color w:val="auto"/>
              </w:rPr>
              <w:t>Register uitspraken in een WHOA-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i w:val="1"/>
                <w:iCs w:val="1"/>
                <w:color w:val="auto"/>
              </w:rPr>
              <w:t>procedure</w:t>
            </w:r>
            <w:r>
              <w:rPr>
                <w:rFonts w:ascii="Times New Roman" w:cs="Times New Roman" w:eastAsia="Times New Roman" w:hAnsi="Times New Roman"/>
                <w:sz w:val="16"/>
                <w:szCs w:val="16"/>
                <w:color w:val="auto"/>
              </w:rPr>
              <w:t>) held by the Council for the Administration of Justice (</w:t>
            </w:r>
            <w:r>
              <w:rPr>
                <w:rFonts w:ascii="Times New Roman" w:cs="Times New Roman" w:eastAsia="Times New Roman" w:hAnsi="Times New Roman"/>
                <w:sz w:val="16"/>
                <w:szCs w:val="16"/>
                <w:i w:val="1"/>
                <w:iCs w:val="1"/>
                <w:color w:val="auto"/>
              </w:rPr>
              <w:t>Raad voor de Rechtspraak</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26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NautaDutilh</w:t>
            </w:r>
            <w:r>
              <w:rPr>
                <w:rFonts w:ascii="Times New Roman" w:cs="Times New Roman" w:eastAsia="Times New Roman" w:hAnsi="Times New Roman"/>
                <w:sz w:val="16"/>
                <w:szCs w:val="16"/>
                <w:color w:val="auto"/>
              </w:rPr>
              <w:t>"</w:t>
            </w:r>
          </w:p>
        </w:tc>
        <w:tc>
          <w:tcPr>
            <w:tcW w:w="8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NautaDutilh N.V.</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26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the Netherlands</w:t>
            </w:r>
            <w:r>
              <w:rPr>
                <w:rFonts w:ascii="Times New Roman" w:cs="Times New Roman" w:eastAsia="Times New Roman" w:hAnsi="Times New Roman"/>
                <w:sz w:val="16"/>
                <w:szCs w:val="16"/>
                <w:color w:val="auto"/>
              </w:rPr>
              <w:t>"</w:t>
            </w:r>
          </w:p>
        </w:tc>
        <w:tc>
          <w:tcPr>
            <w:tcW w:w="8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the European territory of the Kingdom of the Netherlands and "</w:t>
            </w:r>
            <w:r>
              <w:rPr>
                <w:rFonts w:ascii="Times New Roman" w:cs="Times New Roman" w:eastAsia="Times New Roman" w:hAnsi="Times New Roman"/>
                <w:sz w:val="16"/>
                <w:szCs w:val="16"/>
                <w:b w:val="1"/>
                <w:bCs w:val="1"/>
                <w:color w:val="auto"/>
              </w:rPr>
              <w:t>Dutch</w:t>
            </w:r>
            <w:r>
              <w:rPr>
                <w:rFonts w:ascii="Times New Roman" w:cs="Times New Roman" w:eastAsia="Times New Roman" w:hAnsi="Times New Roman"/>
                <w:sz w:val="16"/>
                <w:szCs w:val="16"/>
                <w:color w:val="auto"/>
              </w:rPr>
              <w:t>" is in or from the Netherlands</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26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Notation of Guarantee</w:t>
            </w:r>
            <w:r>
              <w:rPr>
                <w:rFonts w:ascii="Times New Roman" w:cs="Times New Roman" w:eastAsia="Times New Roman" w:hAnsi="Times New Roman"/>
                <w:sz w:val="16"/>
                <w:szCs w:val="16"/>
                <w:color w:val="auto"/>
              </w:rPr>
              <w:t>"</w:t>
            </w:r>
          </w:p>
        </w:tc>
        <w:tc>
          <w:tcPr>
            <w:tcW w:w="8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any notation of guarantee in the form of the Form of Notation of Guarantee</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26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226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Power of Attorney</w:t>
            </w:r>
            <w:r>
              <w:rPr>
                <w:rFonts w:ascii="Times New Roman" w:cs="Times New Roman" w:eastAsia="Times New Roman" w:hAnsi="Times New Roman"/>
                <w:sz w:val="16"/>
                <w:szCs w:val="16"/>
                <w:color w:val="auto"/>
              </w:rPr>
              <w:t>"</w:t>
            </w:r>
          </w:p>
        </w:tc>
        <w:tc>
          <w:tcPr>
            <w:tcW w:w="8980" w:type="dxa"/>
            <w:vAlign w:val="bottom"/>
            <w:shd w:val="clear" w:color="auto" w:fill="CCEEFF"/>
          </w:tcPr>
          <w:p>
            <w:pPr>
              <w:ind w:left="540"/>
              <w:spacing w:after="0" w:line="178" w:lineRule="exact"/>
              <w:rPr>
                <w:sz w:val="20"/>
                <w:szCs w:val="20"/>
                <w:color w:val="auto"/>
              </w:rPr>
            </w:pPr>
            <w:r>
              <w:rPr>
                <w:rFonts w:ascii="Times New Roman" w:cs="Times New Roman" w:eastAsia="Times New Roman" w:hAnsi="Times New Roman"/>
                <w:sz w:val="16"/>
                <w:szCs w:val="16"/>
                <w:color w:val="auto"/>
              </w:rPr>
              <w:t>any power of attorney granted or to be granted by the Dutch Company for the purposes of executing Agreements on behalf of the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8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Dutch Company and the performance of the Dutch Company’s obligations thereunder and under the Registered Securities, as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relevant</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26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Preferred Stock</w:t>
            </w:r>
            <w:r>
              <w:rPr>
                <w:rFonts w:ascii="Times New Roman" w:cs="Times New Roman" w:eastAsia="Times New Roman" w:hAnsi="Times New Roman"/>
                <w:sz w:val="16"/>
                <w:szCs w:val="16"/>
                <w:color w:val="auto"/>
              </w:rPr>
              <w:t>"</w:t>
            </w:r>
          </w:p>
        </w:tc>
        <w:tc>
          <w:tcPr>
            <w:tcW w:w="8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shares of preferred stock in Viatris Inc. with a par value of $0.01 per share</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26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Registered Securities</w:t>
            </w:r>
            <w:r>
              <w:rPr>
                <w:rFonts w:ascii="Times New Roman" w:cs="Times New Roman" w:eastAsia="Times New Roman" w:hAnsi="Times New Roman"/>
                <w:sz w:val="16"/>
                <w:szCs w:val="16"/>
                <w:color w:val="auto"/>
              </w:rPr>
              <w:t>"</w:t>
            </w:r>
          </w:p>
        </w:tc>
        <w:tc>
          <w:tcPr>
            <w:tcW w:w="8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the Debt Securities, Common Stock, Preferred Stock, Warrants, Rights and Units</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26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Registration Statement</w:t>
            </w:r>
            <w:r>
              <w:rPr>
                <w:rFonts w:ascii="Times New Roman" w:cs="Times New Roman" w:eastAsia="Times New Roman" w:hAnsi="Times New Roman"/>
                <w:sz w:val="16"/>
                <w:szCs w:val="16"/>
                <w:color w:val="auto"/>
              </w:rPr>
              <w:t>"</w:t>
            </w:r>
          </w:p>
        </w:tc>
        <w:tc>
          <w:tcPr>
            <w:tcW w:w="8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Viatris Inc.’s registration statement on Form S-3 filed or to be filed with the SEC in the form reviewed by us</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26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Relevant Moment</w:t>
            </w:r>
            <w:r>
              <w:rPr>
                <w:rFonts w:ascii="Times New Roman" w:cs="Times New Roman" w:eastAsia="Times New Roman" w:hAnsi="Times New Roman"/>
                <w:sz w:val="16"/>
                <w:szCs w:val="16"/>
                <w:color w:val="auto"/>
              </w:rPr>
              <w:t>"</w:t>
            </w:r>
          </w:p>
        </w:tc>
        <w:tc>
          <w:tcPr>
            <w:tcW w:w="8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each time when the Dutch Company as Guarantor enters into an Indenture and/or a Notation of Guarantee</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60"/>
          </w:cols>
          <w:pgMar w:left="320" w:top="582" w:right="319" w:bottom="1440" w:gutter="0" w:footer="0" w:header="0"/>
        </w:sectPr>
      </w:pPr>
      <w:r>
        <w:rPr>
          <w:sz w:val="20"/>
          <w:szCs w:val="20"/>
          <w:color w:val="auto"/>
        </w:rPr>
        <w:drawing>
          <wp:anchor simplePos="0" relativeHeight="251657728" behindDoc="1" locked="0" layoutInCell="0" allowOverlap="1">
            <wp:simplePos x="0" y="0"/>
            <wp:positionH relativeFrom="page">
              <wp:posOffset>3805555</wp:posOffset>
            </wp:positionH>
            <wp:positionV relativeFrom="page">
              <wp:posOffset>88900</wp:posOffset>
            </wp:positionV>
            <wp:extent cx="1028700" cy="1238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6">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23825"/>
                    </a:xfrm>
                    <a:prstGeom prst="rect">
                      <a:avLst/>
                    </a:prstGeom>
                    <a:noFill/>
                  </pic:spPr>
                </pic:pic>
              </a:graphicData>
            </a:graphic>
          </wp:anchor>
        </w:drawing>
      </w:r>
    </w:p>
    <w:bookmarkStart w:id="266" w:name="page267"/>
    <w:bookmarkEnd w:id="266"/>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400" w:type="dxa"/>
            <w:vAlign w:val="bottom"/>
          </w:tcPr>
          <w:p>
            <w:pPr>
              <w:ind w:left="4100"/>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840" w:type="dxa"/>
            <w:vAlign w:val="bottom"/>
          </w:tcPr>
          <w:p>
            <w:pPr>
              <w:spacing w:after="0"/>
              <w:rPr>
                <w:sz w:val="15"/>
                <w:szCs w:val="15"/>
                <w:color w:val="auto"/>
              </w:rPr>
            </w:pPr>
          </w:p>
        </w:tc>
        <w:tc>
          <w:tcPr>
            <w:tcW w:w="9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18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Rights</w:t>
            </w:r>
            <w:r>
              <w:rPr>
                <w:rFonts w:ascii="Times New Roman" w:cs="Times New Roman" w:eastAsia="Times New Roman" w:hAnsi="Times New Roman"/>
                <w:sz w:val="16"/>
                <w:szCs w:val="16"/>
                <w:color w:val="auto"/>
              </w:rPr>
              <w:t>"</w:t>
            </w:r>
          </w:p>
        </w:tc>
        <w:tc>
          <w:tcPr>
            <w:tcW w:w="9400" w:type="dxa"/>
            <w:vAlign w:val="bottom"/>
            <w:shd w:val="clear" w:color="auto" w:fill="CCEEFF"/>
          </w:tcPr>
          <w:p>
            <w:pPr>
              <w:ind w:left="960"/>
              <w:spacing w:after="0" w:line="178" w:lineRule="exact"/>
              <w:rPr>
                <w:sz w:val="20"/>
                <w:szCs w:val="20"/>
                <w:color w:val="auto"/>
              </w:rPr>
            </w:pPr>
            <w:r>
              <w:rPr>
                <w:rFonts w:ascii="Times New Roman" w:cs="Times New Roman" w:eastAsia="Times New Roman" w:hAnsi="Times New Roman"/>
                <w:sz w:val="16"/>
                <w:szCs w:val="16"/>
                <w:color w:val="auto"/>
              </w:rPr>
              <w:t>one or more series of rights issuable by Viatris Inc. and registered pursuant to the Registration Statement consisting of one more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4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rights to purchase Debt Securities, Common Stock or Preferred Stock</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840" w:type="dxa"/>
            <w:vAlign w:val="bottom"/>
          </w:tcPr>
          <w:p>
            <w:pPr>
              <w:spacing w:after="0"/>
              <w:rPr>
                <w:sz w:val="16"/>
                <w:szCs w:val="16"/>
                <w:color w:val="auto"/>
              </w:rPr>
            </w:pPr>
          </w:p>
        </w:tc>
        <w:tc>
          <w:tcPr>
            <w:tcW w:w="9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w:t>
            </w:r>
          </w:p>
        </w:tc>
        <w:tc>
          <w:tcPr>
            <w:tcW w:w="94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the United States Securities and Exchange Commission</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840" w:type="dxa"/>
            <w:vAlign w:val="bottom"/>
          </w:tcPr>
          <w:p>
            <w:pPr>
              <w:spacing w:after="0"/>
              <w:rPr>
                <w:sz w:val="16"/>
                <w:szCs w:val="16"/>
                <w:color w:val="auto"/>
              </w:rPr>
            </w:pPr>
          </w:p>
        </w:tc>
        <w:tc>
          <w:tcPr>
            <w:tcW w:w="9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18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Units</w:t>
            </w:r>
            <w:r>
              <w:rPr>
                <w:rFonts w:ascii="Times New Roman" w:cs="Times New Roman" w:eastAsia="Times New Roman" w:hAnsi="Times New Roman"/>
                <w:sz w:val="16"/>
                <w:szCs w:val="16"/>
                <w:color w:val="auto"/>
              </w:rPr>
              <w:t>"</w:t>
            </w:r>
          </w:p>
        </w:tc>
        <w:tc>
          <w:tcPr>
            <w:tcW w:w="9400" w:type="dxa"/>
            <w:vAlign w:val="bottom"/>
            <w:shd w:val="clear" w:color="auto" w:fill="CCEEFF"/>
          </w:tcPr>
          <w:p>
            <w:pPr>
              <w:ind w:left="960"/>
              <w:spacing w:after="0" w:line="178" w:lineRule="exact"/>
              <w:rPr>
                <w:sz w:val="20"/>
                <w:szCs w:val="20"/>
                <w:color w:val="auto"/>
              </w:rPr>
            </w:pPr>
            <w:r>
              <w:rPr>
                <w:rFonts w:ascii="Times New Roman" w:cs="Times New Roman" w:eastAsia="Times New Roman" w:hAnsi="Times New Roman"/>
                <w:sz w:val="16"/>
                <w:szCs w:val="16"/>
                <w:color w:val="auto"/>
              </w:rPr>
              <w:t>one or more series of units issuable by Viatris Inc. and registered pursuant to the Registration Statement consisting of two or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94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more constituent securities in the form of Debt Securities, Common Stock, Preferred Stock, Rights or Warrants or any</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4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combination of such securities as specified in the applicable prospectus supplement</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840" w:type="dxa"/>
            <w:vAlign w:val="bottom"/>
          </w:tcPr>
          <w:p>
            <w:pPr>
              <w:spacing w:after="0"/>
              <w:rPr>
                <w:sz w:val="16"/>
                <w:szCs w:val="16"/>
                <w:color w:val="auto"/>
              </w:rPr>
            </w:pPr>
          </w:p>
        </w:tc>
        <w:tc>
          <w:tcPr>
            <w:tcW w:w="9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Viatris Inc.</w:t>
            </w:r>
            <w:r>
              <w:rPr>
                <w:rFonts w:ascii="Times New Roman" w:cs="Times New Roman" w:eastAsia="Times New Roman" w:hAnsi="Times New Roman"/>
                <w:sz w:val="16"/>
                <w:szCs w:val="16"/>
                <w:color w:val="auto"/>
              </w:rPr>
              <w:t>"</w:t>
            </w:r>
          </w:p>
        </w:tc>
        <w:tc>
          <w:tcPr>
            <w:tcW w:w="94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Viatris Inc., a Delaware corporation with its address at 1000 Mylan Boulevard, Canonsburg, Pennsylvania 15317</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840" w:type="dxa"/>
            <w:vAlign w:val="bottom"/>
          </w:tcPr>
          <w:p>
            <w:pPr>
              <w:spacing w:after="0"/>
              <w:rPr>
                <w:sz w:val="16"/>
                <w:szCs w:val="16"/>
                <w:color w:val="auto"/>
              </w:rPr>
            </w:pPr>
          </w:p>
        </w:tc>
        <w:tc>
          <w:tcPr>
            <w:tcW w:w="9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18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Warrants</w:t>
            </w:r>
            <w:r>
              <w:rPr>
                <w:rFonts w:ascii="Times New Roman" w:cs="Times New Roman" w:eastAsia="Times New Roman" w:hAnsi="Times New Roman"/>
                <w:sz w:val="16"/>
                <w:szCs w:val="16"/>
                <w:color w:val="auto"/>
              </w:rPr>
              <w:t>"</w:t>
            </w:r>
          </w:p>
        </w:tc>
        <w:tc>
          <w:tcPr>
            <w:tcW w:w="9400" w:type="dxa"/>
            <w:vAlign w:val="bottom"/>
            <w:shd w:val="clear" w:color="auto" w:fill="CCEEFF"/>
          </w:tcPr>
          <w:p>
            <w:pPr>
              <w:ind w:left="960"/>
              <w:spacing w:after="0" w:line="178" w:lineRule="exact"/>
              <w:rPr>
                <w:sz w:val="20"/>
                <w:szCs w:val="20"/>
                <w:color w:val="auto"/>
              </w:rPr>
            </w:pPr>
            <w:r>
              <w:rPr>
                <w:rFonts w:ascii="Times New Roman" w:cs="Times New Roman" w:eastAsia="Times New Roman" w:hAnsi="Times New Roman"/>
                <w:sz w:val="16"/>
                <w:szCs w:val="16"/>
                <w:color w:val="auto"/>
              </w:rPr>
              <w:t>one or more series of warrants issuable by Viatris Inc. and registered pursuant to the Registration Statement for the purchase of</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4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Debt Securities, Common Stock or Preferred Stock as specified in the applicable prospectus supplement</w:t>
            </w: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60"/>
          </w:cols>
          <w:pgMar w:left="320" w:top="582" w:right="319" w:bottom="1440" w:gutter="0" w:footer="0" w:header="0"/>
        </w:sectPr>
      </w:pPr>
      <w:r>
        <w:rPr>
          <w:sz w:val="20"/>
          <w:szCs w:val="20"/>
          <w:color w:val="auto"/>
        </w:rPr>
        <w:drawing>
          <wp:anchor simplePos="0" relativeHeight="251657728" behindDoc="1" locked="0" layoutInCell="0" allowOverlap="1">
            <wp:simplePos x="0" y="0"/>
            <wp:positionH relativeFrom="page">
              <wp:posOffset>3805555</wp:posOffset>
            </wp:positionH>
            <wp:positionV relativeFrom="page">
              <wp:posOffset>88900</wp:posOffset>
            </wp:positionV>
            <wp:extent cx="1028700" cy="1238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23825"/>
                    </a:xfrm>
                    <a:prstGeom prst="rect">
                      <a:avLst/>
                    </a:prstGeom>
                    <a:noFill/>
                  </pic:spPr>
                </pic:pic>
              </a:graphicData>
            </a:graphic>
          </wp:anchor>
        </w:drawing>
      </w:r>
    </w:p>
    <w:bookmarkStart w:id="267" w:name="page268"/>
    <w:bookmarkEnd w:id="267"/>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11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8">
                      <a:extLst>
                        <a:ext uri="{28A0092B-C50C-407E-A947-70E740481C1C}"/>
                      </a:extLst>
                    </a:blip>
                    <a:srcRect/>
                    <a:stretch>
                      <a:fillRect/>
                    </a:stretch>
                  </pic:blipFill>
                  <pic:spPr bwMode="auto">
                    <a:xfrm>
                      <a:off x="0" y="0"/>
                      <a:ext cx="7145655" cy="31115"/>
                    </a:xfrm>
                    <a:prstGeom prst="rect">
                      <a:avLst/>
                    </a:prstGeom>
                    <a:noFill/>
                  </pic:spPr>
                </pic:pic>
              </a:graphicData>
            </a:graphic>
          </wp:anchor>
        </w:drawing>
        <w:t>Exhibit 5.3</w:t>
      </w:r>
    </w:p>
    <w:p>
      <w:pPr>
        <w:spacing w:after="0" w:line="208"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6"/>
          <w:szCs w:val="16"/>
          <w:color w:val="auto"/>
        </w:rPr>
        <w:t>Atlanta, GA</w:t>
      </w:r>
    </w:p>
    <w:p>
      <w:pPr>
        <w:spacing w:after="0" w:line="27"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6"/>
          <w:szCs w:val="16"/>
          <w:color w:val="auto"/>
        </w:rPr>
        <w:t>Charleston, SC</w:t>
      </w:r>
    </w:p>
    <w:p>
      <w:pPr>
        <w:spacing w:after="0" w:line="3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6"/>
          <w:szCs w:val="16"/>
          <w:color w:val="auto"/>
        </w:rPr>
        <w:t>Charlotte, NC</w:t>
      </w:r>
    </w:p>
    <w:p>
      <w:pPr>
        <w:spacing w:after="0" w:line="27"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6"/>
          <w:szCs w:val="16"/>
          <w:color w:val="auto"/>
        </w:rPr>
        <w:t>Columbia, SC</w:t>
      </w:r>
    </w:p>
    <w:p>
      <w:pPr>
        <w:spacing w:after="0" w:line="23"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6"/>
          <w:szCs w:val="16"/>
          <w:color w:val="auto"/>
        </w:rPr>
        <w:t>Greenville, SC</w:t>
      </w:r>
    </w:p>
    <w:p>
      <w:pPr>
        <w:spacing w:after="0" w:line="3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6"/>
          <w:szCs w:val="16"/>
          <w:color w:val="auto"/>
        </w:rPr>
        <w:t>Raleigh, NC</w:t>
      </w:r>
    </w:p>
    <w:p>
      <w:pPr>
        <w:spacing w:after="0" w:line="27"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6"/>
          <w:szCs w:val="16"/>
          <w:color w:val="auto"/>
        </w:rPr>
        <w:t>Spartanburg, SC</w:t>
      </w:r>
    </w:p>
    <w:p>
      <w:pPr>
        <w:spacing w:after="0" w:line="23"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6"/>
          <w:szCs w:val="16"/>
          <w:color w:val="auto"/>
        </w:rPr>
        <w:t>Washington, D.C.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8, 2025</w:t>
      </w:r>
    </w:p>
    <w:p>
      <w:pPr>
        <w:spacing w:after="0" w:line="20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Viatris Inc.</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Mylan Inc.</w:t>
      </w:r>
    </w:p>
    <w:p>
      <w:pPr>
        <w:spacing w:after="0" w:line="1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1000 Mylan Boulevard</w:t>
      </w:r>
    </w:p>
    <w:p>
      <w:pPr>
        <w:spacing w:after="0" w:line="1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Canonsburg, Pennsylvania 15317</w:t>
      </w:r>
    </w:p>
    <w:p>
      <w:pPr>
        <w:spacing w:after="0" w:line="26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6"/>
          <w:szCs w:val="16"/>
          <w:color w:val="auto"/>
        </w:rPr>
        <w:t>Re:</w:t>
      </w:r>
      <w:r>
        <w:rPr>
          <w:sz w:val="20"/>
          <w:szCs w:val="20"/>
          <w:color w:val="auto"/>
        </w:rPr>
        <w:tab/>
      </w:r>
      <w:r>
        <w:rPr>
          <w:rFonts w:ascii="Times New Roman" w:cs="Times New Roman" w:eastAsia="Times New Roman" w:hAnsi="Times New Roman"/>
          <w:sz w:val="16"/>
          <w:szCs w:val="16"/>
          <w:color w:val="auto"/>
        </w:rPr>
        <w:t>The Registration Statement (as defined below)</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21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We are Pennsylvania counsel to Mylan Inc., a Pennsylvania corporation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and have been asked to prepare and deliver this opinion letter in connection with the Company’s proposed guarantees (collectively, “</w:t>
      </w:r>
      <w:r>
        <w:rPr>
          <w:rFonts w:ascii="Times New Roman" w:cs="Times New Roman" w:eastAsia="Times New Roman" w:hAnsi="Times New Roman"/>
          <w:sz w:val="16"/>
          <w:szCs w:val="16"/>
          <w:b w:val="1"/>
          <w:bCs w:val="1"/>
          <w:i w:val="1"/>
          <w:iCs w:val="1"/>
          <w:color w:val="auto"/>
        </w:rPr>
        <w:t>Debt Securities Guarantees</w:t>
      </w:r>
      <w:r>
        <w:rPr>
          <w:rFonts w:ascii="Times New Roman" w:cs="Times New Roman" w:eastAsia="Times New Roman" w:hAnsi="Times New Roman"/>
          <w:sz w:val="16"/>
          <w:szCs w:val="16"/>
          <w:color w:val="auto"/>
        </w:rPr>
        <w:t>”) of debt securities (collectively, “</w:t>
      </w:r>
      <w:r>
        <w:rPr>
          <w:rFonts w:ascii="Times New Roman" w:cs="Times New Roman" w:eastAsia="Times New Roman" w:hAnsi="Times New Roman"/>
          <w:sz w:val="16"/>
          <w:szCs w:val="16"/>
          <w:b w:val="1"/>
          <w:bCs w:val="1"/>
          <w:i w:val="1"/>
          <w:iCs w:val="1"/>
          <w:color w:val="auto"/>
        </w:rPr>
        <w:t>Debt Securities</w:t>
      </w:r>
      <w:r>
        <w:rPr>
          <w:rFonts w:ascii="Times New Roman" w:cs="Times New Roman" w:eastAsia="Times New Roman" w:hAnsi="Times New Roman"/>
          <w:sz w:val="16"/>
          <w:szCs w:val="16"/>
          <w:color w:val="auto"/>
        </w:rPr>
        <w:t>”) to be issued from time to time by Viatris Inc., a Delaware corporation (“</w:t>
      </w:r>
      <w:r>
        <w:rPr>
          <w:rFonts w:ascii="Times New Roman" w:cs="Times New Roman" w:eastAsia="Times New Roman" w:hAnsi="Times New Roman"/>
          <w:sz w:val="16"/>
          <w:szCs w:val="16"/>
          <w:b w:val="1"/>
          <w:bCs w:val="1"/>
          <w:i w:val="1"/>
          <w:iCs w:val="1"/>
          <w:color w:val="auto"/>
        </w:rPr>
        <w:t>Issuer</w:t>
      </w:r>
      <w:r>
        <w:rPr>
          <w:rFonts w:ascii="Times New Roman" w:cs="Times New Roman" w:eastAsia="Times New Roman" w:hAnsi="Times New Roman"/>
          <w:sz w:val="16"/>
          <w:szCs w:val="16"/>
          <w:color w:val="auto"/>
        </w:rPr>
        <w:t>”), pursuant to a form of senior debt indenture (“</w:t>
      </w:r>
      <w:r>
        <w:rPr>
          <w:rFonts w:ascii="Times New Roman" w:cs="Times New Roman" w:eastAsia="Times New Roman" w:hAnsi="Times New Roman"/>
          <w:sz w:val="16"/>
          <w:szCs w:val="16"/>
          <w:b w:val="1"/>
          <w:bCs w:val="1"/>
          <w:i w:val="1"/>
          <w:iCs w:val="1"/>
          <w:color w:val="auto"/>
        </w:rPr>
        <w:t>Senior Debt Indenture</w:t>
      </w:r>
      <w:r>
        <w:rPr>
          <w:rFonts w:ascii="Times New Roman" w:cs="Times New Roman" w:eastAsia="Times New Roman" w:hAnsi="Times New Roman"/>
          <w:sz w:val="16"/>
          <w:szCs w:val="16"/>
          <w:color w:val="auto"/>
        </w:rPr>
        <w:t>”), a form of subordinated debt indenture (“</w:t>
      </w:r>
      <w:r>
        <w:rPr>
          <w:rFonts w:ascii="Times New Roman" w:cs="Times New Roman" w:eastAsia="Times New Roman" w:hAnsi="Times New Roman"/>
          <w:sz w:val="16"/>
          <w:szCs w:val="16"/>
          <w:b w:val="1"/>
          <w:bCs w:val="1"/>
          <w:i w:val="1"/>
          <w:iCs w:val="1"/>
          <w:color w:val="auto"/>
        </w:rPr>
        <w:t>Subordinated Debt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Indenture</w:t>
      </w:r>
      <w:r>
        <w:rPr>
          <w:rFonts w:ascii="Times New Roman" w:cs="Times New Roman" w:eastAsia="Times New Roman" w:hAnsi="Times New Roman"/>
          <w:sz w:val="16"/>
          <w:szCs w:val="16"/>
          <w:color w:val="auto"/>
        </w:rPr>
        <w:t>”), and a form of junior subordinated debt indenture (together with the Senior Debt Indenture and the Subordinated Debt Indenture, collectively, the “</w:t>
      </w:r>
      <w:r>
        <w:rPr>
          <w:rFonts w:ascii="Times New Roman" w:cs="Times New Roman" w:eastAsia="Times New Roman" w:hAnsi="Times New Roman"/>
          <w:sz w:val="16"/>
          <w:szCs w:val="16"/>
          <w:b w:val="1"/>
          <w:bCs w:val="1"/>
          <w:i w:val="1"/>
          <w:iCs w:val="1"/>
          <w:color w:val="auto"/>
        </w:rPr>
        <w:t>Indenture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that were filed with the United States Securities and Exchange Commission (“</w:t>
      </w:r>
      <w:r>
        <w:rPr>
          <w:rFonts w:ascii="Times New Roman" w:cs="Times New Roman" w:eastAsia="Times New Roman" w:hAnsi="Times New Roman"/>
          <w:sz w:val="16"/>
          <w:szCs w:val="16"/>
          <w:b w:val="1"/>
          <w:bCs w:val="1"/>
          <w:i w:val="1"/>
          <w:iCs w:val="1"/>
          <w:color w:val="auto"/>
        </w:rPr>
        <w:t>SEC</w:t>
      </w:r>
      <w:r>
        <w:rPr>
          <w:rFonts w:ascii="Times New Roman" w:cs="Times New Roman" w:eastAsia="Times New Roman" w:hAnsi="Times New Roman"/>
          <w:sz w:val="16"/>
          <w:szCs w:val="16"/>
          <w:color w:val="auto"/>
        </w:rPr>
        <w:t>”) as exhibits to the registration statement on Form S-3 (“</w:t>
      </w:r>
      <w:r>
        <w:rPr>
          <w:rFonts w:ascii="Times New Roman" w:cs="Times New Roman" w:eastAsia="Times New Roman" w:hAnsi="Times New Roman"/>
          <w:sz w:val="16"/>
          <w:szCs w:val="16"/>
          <w:b w:val="1"/>
          <w:bCs w:val="1"/>
          <w:i w:val="1"/>
          <w:iCs w:val="1"/>
          <w:color w:val="auto"/>
        </w:rPr>
        <w:t>Registration Statement</w:t>
      </w:r>
      <w:r>
        <w:rPr>
          <w:rFonts w:ascii="Times New Roman" w:cs="Times New Roman" w:eastAsia="Times New Roman" w:hAnsi="Times New Roman"/>
          <w:sz w:val="16"/>
          <w:szCs w:val="16"/>
          <w:color w:val="auto"/>
        </w:rPr>
        <w:t>”) filed by the Issuer and the Company on May 8, 2025. We have prepared this opinion letter in our narrow capacity as Pennsylvania counsel to the Company, and we have not represented the Company in connection with the negotiation, documentation or performance of the Indenture, the Registration Statement or any other matter relating thereto.</w:t>
      </w:r>
    </w:p>
    <w:p>
      <w:pPr>
        <w:spacing w:after="0" w:line="1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In connection with this opinion letter, we have examined originals, or copies certified or otherwise identified to our satisfaction, of (i) the Amended and Restated Articles of Incorporation, as Amended, of the Company, as certified by the Pennsylvania Secretary of State as of May 2, 2025 (“</w:t>
      </w:r>
      <w:r>
        <w:rPr>
          <w:rFonts w:ascii="Times New Roman" w:cs="Times New Roman" w:eastAsia="Times New Roman" w:hAnsi="Times New Roman"/>
          <w:sz w:val="16"/>
          <w:szCs w:val="16"/>
          <w:b w:val="1"/>
          <w:bCs w:val="1"/>
          <w:i w:val="1"/>
          <w:iCs w:val="1"/>
          <w:color w:val="auto"/>
        </w:rPr>
        <w:t>Articles</w:t>
      </w:r>
      <w:r>
        <w:rPr>
          <w:rFonts w:ascii="Times New Roman" w:cs="Times New Roman" w:eastAsia="Times New Roman" w:hAnsi="Times New Roman"/>
          <w:sz w:val="16"/>
          <w:szCs w:val="16"/>
          <w:color w:val="auto"/>
        </w:rPr>
        <w:t>”); (ii) the Third Amended and Restated Bylaws, as Amended, of the Company (“</w:t>
      </w:r>
      <w:r>
        <w:rPr>
          <w:rFonts w:ascii="Times New Roman" w:cs="Times New Roman" w:eastAsia="Times New Roman" w:hAnsi="Times New Roman"/>
          <w:sz w:val="16"/>
          <w:szCs w:val="16"/>
          <w:b w:val="1"/>
          <w:bCs w:val="1"/>
          <w:i w:val="1"/>
          <w:iCs w:val="1"/>
          <w:color w:val="auto"/>
        </w:rPr>
        <w:t>Bylaws</w:t>
      </w:r>
      <w:r>
        <w:rPr>
          <w:rFonts w:ascii="Times New Roman" w:cs="Times New Roman" w:eastAsia="Times New Roman" w:hAnsi="Times New Roman"/>
          <w:sz w:val="16"/>
          <w:szCs w:val="16"/>
          <w:color w:val="auto"/>
        </w:rPr>
        <w:t>” and collectively with the Articles, “</w:t>
      </w:r>
      <w:r>
        <w:rPr>
          <w:rFonts w:ascii="Times New Roman" w:cs="Times New Roman" w:eastAsia="Times New Roman" w:hAnsi="Times New Roman"/>
          <w:sz w:val="16"/>
          <w:szCs w:val="16"/>
          <w:b w:val="1"/>
          <w:bCs w:val="1"/>
          <w:i w:val="1"/>
          <w:iCs w:val="1"/>
          <w:color w:val="auto"/>
        </w:rPr>
        <w:t>Charter Documents</w:t>
      </w:r>
      <w:r>
        <w:rPr>
          <w:rFonts w:ascii="Times New Roman" w:cs="Times New Roman" w:eastAsia="Times New Roman" w:hAnsi="Times New Roman"/>
          <w:sz w:val="16"/>
          <w:szCs w:val="16"/>
          <w:color w:val="auto"/>
        </w:rPr>
        <w:t>”); (iii) the Registration Statement for the limited purposes of providing the opinions contained herein and confirming the statements set forth in the final paragraph of this opinion letter; (iv) the Indenture; (v) certain resolutions adopted by the Company’s Board of Directors (“</w:t>
      </w:r>
      <w:r>
        <w:rPr>
          <w:rFonts w:ascii="Times New Roman" w:cs="Times New Roman" w:eastAsia="Times New Roman" w:hAnsi="Times New Roman"/>
          <w:sz w:val="16"/>
          <w:szCs w:val="16"/>
          <w:b w:val="1"/>
          <w:bCs w:val="1"/>
          <w:i w:val="1"/>
          <w:iCs w:val="1"/>
          <w:color w:val="auto"/>
        </w:rPr>
        <w:t>Board Resolutions</w:t>
      </w:r>
      <w:r>
        <w:rPr>
          <w:rFonts w:ascii="Times New Roman" w:cs="Times New Roman" w:eastAsia="Times New Roman" w:hAnsi="Times New Roman"/>
          <w:sz w:val="16"/>
          <w:szCs w:val="16"/>
          <w:color w:val="auto"/>
        </w:rPr>
        <w:t>”); (vi) a certificate of subsistence (“</w:t>
      </w:r>
      <w:r>
        <w:rPr>
          <w:rFonts w:ascii="Times New Roman" w:cs="Times New Roman" w:eastAsia="Times New Roman" w:hAnsi="Times New Roman"/>
          <w:sz w:val="16"/>
          <w:szCs w:val="16"/>
          <w:b w:val="1"/>
          <w:bCs w:val="1"/>
          <w:i w:val="1"/>
          <w:iCs w:val="1"/>
          <w:color w:val="auto"/>
        </w:rPr>
        <w:t>Certificate of Subsistence</w:t>
      </w:r>
      <w:r>
        <w:rPr>
          <w:rFonts w:ascii="Times New Roman" w:cs="Times New Roman" w:eastAsia="Times New Roman" w:hAnsi="Times New Roman"/>
          <w:sz w:val="16"/>
          <w:szCs w:val="16"/>
          <w:color w:val="auto"/>
        </w:rPr>
        <w:t>”) with respect to the Company issued by the Pennsylvania Secretary of State as of May 2, 2025; and (vii) such other documents and records as we deemed appropriate for purposes of the opinions set forth herein.</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Parker Poe Adams &amp; Bernstein LLP  620 South Tryon Suite 800  Charlotte, NC  28202</w:t>
      </w:r>
    </w:p>
    <w:p>
      <w:pPr>
        <w:jc w:val="center"/>
        <w:spacing w:after="0"/>
        <w:tabs>
          <w:tab w:leader="none" w:pos="100" w:val="left"/>
          <w:tab w:leader="none" w:pos="140" w:val="left"/>
        </w:tabs>
        <w:rPr>
          <w:sz w:val="20"/>
          <w:szCs w:val="20"/>
          <w:color w:val="auto"/>
        </w:rPr>
      </w:pPr>
      <w:r>
        <w:rPr>
          <w:rFonts w:ascii="Times New Roman" w:cs="Times New Roman" w:eastAsia="Times New Roman" w:hAnsi="Times New Roman"/>
          <w:sz w:val="13"/>
          <w:szCs w:val="13"/>
          <w:color w:val="auto"/>
        </w:rPr>
        <w:t>t 704.372.9000</w:t>
        <w:tab/>
        <w:t>f 704.334.4706</w:t>
      </w:r>
      <w:r>
        <w:rPr>
          <w:sz w:val="20"/>
          <w:szCs w:val="20"/>
          <w:color w:val="auto"/>
        </w:rPr>
        <w:tab/>
      </w:r>
      <w:r>
        <w:rPr>
          <w:rFonts w:ascii="Times New Roman" w:cs="Times New Roman" w:eastAsia="Times New Roman" w:hAnsi="Times New Roman"/>
          <w:sz w:val="12"/>
          <w:szCs w:val="12"/>
          <w:color w:val="auto"/>
        </w:rPr>
        <w:t>www.parkerpoe.com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145655" cy="152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243" w:right="319" w:bottom="1440" w:gutter="0" w:footer="0" w:header="0"/>
        </w:sectPr>
      </w:pPr>
    </w:p>
    <w:bookmarkStart w:id="268" w:name="page269"/>
    <w:bookmarkEnd w:id="268"/>
    <w:p>
      <w:pPr>
        <w:ind w:left="3"/>
        <w:spacing w:after="0"/>
        <w:rPr>
          <w:sz w:val="20"/>
          <w:szCs w:val="20"/>
          <w:color w:val="auto"/>
        </w:rPr>
      </w:pPr>
      <w:r>
        <w:rPr>
          <w:rFonts w:ascii="Times New Roman" w:cs="Times New Roman" w:eastAsia="Times New Roman" w:hAnsi="Times New Roman"/>
          <w:sz w:val="16"/>
          <w:szCs w:val="16"/>
          <w:color w:val="auto"/>
        </w:rPr>
        <w:t>May 8, 2025</w:t>
      </w:r>
    </w:p>
    <w:p>
      <w:pPr>
        <w:spacing w:after="0" w:line="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Page 2</w:t>
      </w:r>
    </w:p>
    <w:p>
      <w:pPr>
        <w:spacing w:after="0" w:line="68" w:lineRule="exact"/>
        <w:rPr>
          <w:sz w:val="20"/>
          <w:szCs w:val="20"/>
          <w:color w:val="auto"/>
        </w:rPr>
      </w:pPr>
    </w:p>
    <w:p>
      <w:pPr>
        <w:jc w:val="both"/>
        <w:ind w:left="3"/>
        <w:spacing w:after="0" w:line="271" w:lineRule="auto"/>
        <w:rPr>
          <w:sz w:val="20"/>
          <w:szCs w:val="20"/>
          <w:color w:val="auto"/>
        </w:rPr>
      </w:pPr>
      <w:r>
        <w:rPr>
          <w:rFonts w:ascii="Times New Roman" w:cs="Times New Roman" w:eastAsia="Times New Roman" w:hAnsi="Times New Roman"/>
          <w:sz w:val="16"/>
          <w:szCs w:val="16"/>
          <w:color w:val="auto"/>
        </w:rPr>
        <w:t>We have assumed the genuineness of all signatures (and the authority of all signatories), the legal capacity of natural persons, the authenticity of the documents submitted to us as originals, the conformity to the original documents of all documents submitted to us as certified, facsimile or electronic copies, and the authenticity of the originals of all documents submitted to us as copies.</w:t>
      </w:r>
    </w:p>
    <w:p>
      <w:pPr>
        <w:spacing w:after="0" w:line="168" w:lineRule="exact"/>
        <w:rPr>
          <w:sz w:val="20"/>
          <w:szCs w:val="20"/>
          <w:color w:val="auto"/>
        </w:rPr>
      </w:pPr>
    </w:p>
    <w:p>
      <w:pPr>
        <w:ind w:left="3" w:right="440"/>
        <w:spacing w:after="0" w:line="271" w:lineRule="auto"/>
        <w:rPr>
          <w:sz w:val="20"/>
          <w:szCs w:val="20"/>
          <w:color w:val="auto"/>
        </w:rPr>
      </w:pPr>
      <w:r>
        <w:rPr>
          <w:rFonts w:ascii="Times New Roman" w:cs="Times New Roman" w:eastAsia="Times New Roman" w:hAnsi="Times New Roman"/>
          <w:sz w:val="16"/>
          <w:szCs w:val="16"/>
          <w:color w:val="auto"/>
        </w:rPr>
        <w:t>As to any facts that are material to the opinions hereinafter expressed that we did not independently establish or verify, we have relied without investigation upon a certificate of the Assistant Secretary of the Company, although we advise you that nothing has come to our attention that has caused us to believe that such reliance is unwarranted.</w:t>
      </w:r>
    </w:p>
    <w:p>
      <w:pPr>
        <w:spacing w:after="0" w:line="156" w:lineRule="exact"/>
        <w:rPr>
          <w:sz w:val="20"/>
          <w:szCs w:val="20"/>
          <w:color w:val="auto"/>
        </w:rPr>
      </w:pPr>
    </w:p>
    <w:p>
      <w:pPr>
        <w:ind w:left="3" w:right="20"/>
        <w:spacing w:after="0" w:line="262" w:lineRule="auto"/>
        <w:rPr>
          <w:sz w:val="20"/>
          <w:szCs w:val="20"/>
          <w:color w:val="auto"/>
        </w:rPr>
      </w:pPr>
      <w:r>
        <w:rPr>
          <w:rFonts w:ascii="Times New Roman" w:cs="Times New Roman" w:eastAsia="Times New Roman" w:hAnsi="Times New Roman"/>
          <w:sz w:val="16"/>
          <w:szCs w:val="16"/>
          <w:color w:val="auto"/>
        </w:rPr>
        <w:t>In rendering the opinions set forth herein, whenever a statement or opinion herein is qualified by “to our knowledge,” “known to us” or by words of similar import, it is intended to indicate that, during the course of our representation of the Company, no information has come to the attention of those lawyers in our firm who have rendered substantive legal services to the Company that gives us actual knowledge of the inaccuracy of such statement or opinion. Except as specifically set forth herein, we have not undertaken any independent investigation to determine the accuracy of facts material to any such statement or opinion, and no inference as to such statement or opinion should be drawn from the fact of our representation of the Company.</w:t>
      </w:r>
    </w:p>
    <w:p>
      <w:pPr>
        <w:spacing w:after="0" w:line="16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Based upon and subject to the foregoing, and to the limitations and qualifications described below, we are of the opinion that:</w:t>
      </w:r>
    </w:p>
    <w:p>
      <w:pPr>
        <w:spacing w:after="0" w:line="206" w:lineRule="exact"/>
        <w:rPr>
          <w:sz w:val="20"/>
          <w:szCs w:val="20"/>
          <w:color w:val="auto"/>
        </w:rPr>
      </w:pPr>
    </w:p>
    <w:p>
      <w:pPr>
        <w:ind w:left="603" w:hanging="603"/>
        <w:spacing w:after="0"/>
        <w:tabs>
          <w:tab w:leader="none" w:pos="603"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a corporation presently subsisting under the laws of the Commonwealth of Pennsylvania.</w:t>
      </w:r>
    </w:p>
    <w:p>
      <w:pPr>
        <w:spacing w:after="0" w:line="205" w:lineRule="exact"/>
        <w:rPr>
          <w:rFonts w:ascii="Times New Roman" w:cs="Times New Roman" w:eastAsia="Times New Roman" w:hAnsi="Times New Roman"/>
          <w:sz w:val="16"/>
          <w:szCs w:val="16"/>
          <w:color w:val="auto"/>
        </w:rPr>
      </w:pPr>
    </w:p>
    <w:p>
      <w:pPr>
        <w:ind w:left="3" w:right="340" w:hanging="3"/>
        <w:spacing w:after="0" w:line="288" w:lineRule="auto"/>
        <w:tabs>
          <w:tab w:leader="none" w:pos="611"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the requisite corporate power and authority to execute, deliver and perform the Indenture, including the Debt Securities Guarantees, and to consummate the transactions contemplated thereby.</w:t>
      </w:r>
    </w:p>
    <w:p>
      <w:pPr>
        <w:spacing w:after="0" w:line="143" w:lineRule="exact"/>
        <w:rPr>
          <w:rFonts w:ascii="Times New Roman" w:cs="Times New Roman" w:eastAsia="Times New Roman" w:hAnsi="Times New Roman"/>
          <w:sz w:val="16"/>
          <w:szCs w:val="16"/>
          <w:color w:val="auto"/>
        </w:rPr>
      </w:pPr>
    </w:p>
    <w:p>
      <w:pPr>
        <w:ind w:left="603" w:hanging="603"/>
        <w:spacing w:after="0"/>
        <w:tabs>
          <w:tab w:leader="none" w:pos="603"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and delivery of the Indenture, including the Debt Securities Guarantees, have been duly authorized by the Company.</w:t>
      </w:r>
    </w:p>
    <w:p>
      <w:pPr>
        <w:spacing w:after="0" w:line="217" w:lineRule="exact"/>
        <w:rPr>
          <w:rFonts w:ascii="Times New Roman" w:cs="Times New Roman" w:eastAsia="Times New Roman" w:hAnsi="Times New Roman"/>
          <w:sz w:val="16"/>
          <w:szCs w:val="16"/>
          <w:color w:val="auto"/>
        </w:rPr>
      </w:pPr>
    </w:p>
    <w:p>
      <w:pPr>
        <w:ind w:left="3" w:right="160" w:hanging="3"/>
        <w:spacing w:after="0" w:line="288" w:lineRule="auto"/>
        <w:tabs>
          <w:tab w:leader="none" w:pos="611"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delivery and performance by the Company of the Indenture, including the Debt Securities Guarantees, and the consummation by the Company of the transactions contemplated thereby, do not and will not result in a violation of the Charter Documents.</w:t>
      </w:r>
    </w:p>
    <w:p>
      <w:pPr>
        <w:spacing w:after="0" w:line="14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Our opinions expressed above are subject to the following additional limitations, exceptions, qualifications and assumptions:</w:t>
      </w:r>
    </w:p>
    <w:p>
      <w:pPr>
        <w:spacing w:after="0" w:line="206" w:lineRule="exact"/>
        <w:rPr>
          <w:sz w:val="20"/>
          <w:szCs w:val="20"/>
          <w:color w:val="auto"/>
        </w:rPr>
      </w:pPr>
    </w:p>
    <w:p>
      <w:pPr>
        <w:ind w:left="3" w:right="160" w:firstLine="582"/>
        <w:spacing w:after="0" w:line="288" w:lineRule="auto"/>
        <w:tabs>
          <w:tab w:leader="none" w:pos="1475"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opinions expressed above are limited to the laws of the Commonwealth of Pennsylvania, and we express no opinion with respect to the laws of any other state or jurisdiction.</w:t>
      </w:r>
    </w:p>
    <w:p>
      <w:pPr>
        <w:spacing w:after="0" w:line="155" w:lineRule="exact"/>
        <w:rPr>
          <w:rFonts w:ascii="Times New Roman" w:cs="Times New Roman" w:eastAsia="Times New Roman" w:hAnsi="Times New Roman"/>
          <w:sz w:val="16"/>
          <w:szCs w:val="16"/>
          <w:color w:val="auto"/>
        </w:rPr>
      </w:pPr>
    </w:p>
    <w:p>
      <w:pPr>
        <w:ind w:left="1463" w:hanging="878"/>
        <w:spacing w:after="0"/>
        <w:tabs>
          <w:tab w:leader="none" w:pos="1463"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the opinion set forth in paragraph 1 above as to the present subsistence of the Company, we have relied solely upon the Certificate of</w:t>
      </w:r>
    </w:p>
    <w:p>
      <w:pPr>
        <w:spacing w:after="0" w:line="26" w:lineRule="exact"/>
        <w:rPr>
          <w:rFonts w:ascii="Times New Roman" w:cs="Times New Roman" w:eastAsia="Times New Roman" w:hAnsi="Times New Roman"/>
          <w:sz w:val="16"/>
          <w:szCs w:val="16"/>
          <w:color w:val="auto"/>
        </w:rPr>
      </w:pPr>
    </w:p>
    <w:p>
      <w:pPr>
        <w:ind w:left="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Subsistence.</w:t>
      </w:r>
    </w:p>
    <w:p>
      <w:pPr>
        <w:spacing w:after="0" w:line="331" w:lineRule="exact"/>
        <w:rPr>
          <w:sz w:val="20"/>
          <w:szCs w:val="20"/>
          <w:color w:val="auto"/>
        </w:rPr>
      </w:pPr>
    </w:p>
    <w:p>
      <w:pPr>
        <w:jc w:val="center"/>
        <w:ind w:right="-62"/>
        <w:spacing w:after="0"/>
        <w:rPr>
          <w:sz w:val="20"/>
          <w:szCs w:val="20"/>
          <w:color w:val="auto"/>
        </w:rPr>
      </w:pPr>
      <w:r>
        <w:rPr>
          <w:rFonts w:ascii="Times New Roman" w:cs="Times New Roman" w:eastAsia="Times New Roman" w:hAnsi="Times New Roman"/>
          <w:sz w:val="13"/>
          <w:szCs w:val="13"/>
          <w:color w:val="auto"/>
        </w:rPr>
        <w:t>Parker Poe Adams &amp; Bernstein LLP  620 South Tryon Suite 800  Charlotte, NC  28202</w:t>
      </w:r>
    </w:p>
    <w:p>
      <w:pPr>
        <w:jc w:val="center"/>
        <w:ind w:right="-62"/>
        <w:spacing w:after="0"/>
        <w:tabs>
          <w:tab w:leader="none" w:pos="100" w:val="left"/>
          <w:tab w:leader="none" w:pos="140" w:val="left"/>
        </w:tabs>
        <w:rPr>
          <w:sz w:val="20"/>
          <w:szCs w:val="20"/>
          <w:color w:val="auto"/>
        </w:rPr>
      </w:pPr>
      <w:r>
        <w:rPr>
          <w:rFonts w:ascii="Times New Roman" w:cs="Times New Roman" w:eastAsia="Times New Roman" w:hAnsi="Times New Roman"/>
          <w:sz w:val="13"/>
          <w:szCs w:val="13"/>
          <w:color w:val="auto"/>
        </w:rPr>
        <w:t>t 704.372.9000</w:t>
        <w:tab/>
        <w:t>f 704.334.4706</w:t>
      </w:r>
      <w:r>
        <w:rPr>
          <w:sz w:val="20"/>
          <w:szCs w:val="20"/>
          <w:color w:val="auto"/>
        </w:rPr>
        <w:tab/>
      </w:r>
      <w:r>
        <w:rPr>
          <w:rFonts w:ascii="Times New Roman" w:cs="Times New Roman" w:eastAsia="Times New Roman" w:hAnsi="Times New Roman"/>
          <w:sz w:val="12"/>
          <w:szCs w:val="12"/>
          <w:color w:val="auto"/>
        </w:rPr>
        <w:t>www.parkerpoe.com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145655" cy="152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03"/>
          </w:cols>
          <w:pgMar w:left="317" w:top="123" w:right="37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6"/>
          <w:szCs w:val="16"/>
          <w:color w:val="auto"/>
        </w:rPr>
        <w:t>May 8,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3</w:t>
      </w:r>
    </w:p>
    <w:p>
      <w:pPr>
        <w:spacing w:after="0" w:line="166" w:lineRule="exact"/>
        <w:rPr>
          <w:sz w:val="20"/>
          <w:szCs w:val="20"/>
          <w:color w:val="auto"/>
        </w:rPr>
      </w:pPr>
    </w:p>
    <w:p>
      <w:pPr>
        <w:ind w:right="20" w:firstLine="582"/>
        <w:spacing w:after="0" w:line="288" w:lineRule="auto"/>
        <w:tabs>
          <w:tab w:leader="none" w:pos="1464"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assumed that the members of the Company’s Board of Directors have complied with applicable fiduciary duties in connection with the authorization and performance of the Indenture, including the Debt Securities Guarantees, and the consummation by the Company of the transactions contemplated thereby.</w:t>
      </w:r>
    </w:p>
    <w:p>
      <w:pPr>
        <w:spacing w:after="0" w:line="143" w:lineRule="exact"/>
        <w:rPr>
          <w:rFonts w:ascii="Times New Roman" w:cs="Times New Roman" w:eastAsia="Times New Roman" w:hAnsi="Times New Roman"/>
          <w:sz w:val="16"/>
          <w:szCs w:val="16"/>
          <w:color w:val="auto"/>
        </w:rPr>
      </w:pPr>
    </w:p>
    <w:p>
      <w:pPr>
        <w:ind w:firstLine="582"/>
        <w:spacing w:after="0" w:line="265" w:lineRule="auto"/>
        <w:tabs>
          <w:tab w:leader="none" w:pos="1473"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assumed that at the time of execution and delivery by the Company of the Indenture and since May 8, 2025, (i) the Charter Documents will not have been amended in any way and remain in full force and effect; (ii) the Board Resolutions will not have been amended in any way and remain in full force and effect, and constitute the only resolutions of the Board of Directors of the Company with respect to the Indenture and the transactions contemplated therein; and (iii) the Certificate of Subsistence remains accurate.</w:t>
      </w:r>
    </w:p>
    <w:p>
      <w:pPr>
        <w:spacing w:after="0" w:line="17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This opinion letter is effective only as of the date hereof. We do not assume responsibility for updating this opinion letter as of any date subsequent to its date, and we assume no responsibility for advising you of any changes with respect to any matters described in this opinion letter that may occur, or facts that may come to our attention, subsequent to the date hereof.</w:t>
      </w:r>
    </w:p>
    <w:p>
      <w:pPr>
        <w:spacing w:after="0" w:line="156"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6"/>
          <w:szCs w:val="16"/>
          <w:color w:val="auto"/>
        </w:rPr>
        <w:t>We hereby consent to the filing of this opinion letter as an exhibit to the Registration Statement and to the reference to our firm under the heading “Legal Matters” in the prospectus contained in the Registration Statement. In giving this consent, we do not hereby admit that we are in the category of persons whose consent is required under Section 7 of the Securities Act of 1933, as amended, or the rules and regulations of the SEC thereunder. This opinion letter is not to be quoted in whole or in part or otherwise referred to or used, nor is it to be filed with any governmental agency or any other person other than the SEC, without our express written consent.</w:t>
      </w:r>
    </w:p>
    <w:p>
      <w:pPr>
        <w:spacing w:after="0" w:line="162"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2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auto"/>
        </w:rPr>
        <w:t>/s/ Parker Poe Adams &amp; Bernstein LLP</w:t>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Parker Poe Adams &amp; Bernstein LLP  620 South Tryon Suite 800  Charlotte, NC  28202</w:t>
      </w:r>
    </w:p>
    <w:p>
      <w:pPr>
        <w:jc w:val="center"/>
        <w:ind w:right="-59"/>
        <w:spacing w:after="0"/>
        <w:tabs>
          <w:tab w:leader="none" w:pos="100" w:val="left"/>
          <w:tab w:leader="none" w:pos="140" w:val="left"/>
        </w:tabs>
        <w:rPr>
          <w:sz w:val="20"/>
          <w:szCs w:val="20"/>
          <w:color w:val="auto"/>
        </w:rPr>
      </w:pPr>
      <w:r>
        <w:rPr>
          <w:rFonts w:ascii="Times New Roman" w:cs="Times New Roman" w:eastAsia="Times New Roman" w:hAnsi="Times New Roman"/>
          <w:sz w:val="13"/>
          <w:szCs w:val="13"/>
          <w:color w:val="auto"/>
        </w:rPr>
        <w:t>t 704.372.9000</w:t>
        <w:tab/>
        <w:t>f 704.334.4706</w:t>
      </w:r>
      <w:r>
        <w:rPr>
          <w:sz w:val="20"/>
          <w:szCs w:val="20"/>
          <w:color w:val="auto"/>
        </w:rPr>
        <w:tab/>
      </w:r>
      <w:r>
        <w:rPr>
          <w:rFonts w:ascii="Times New Roman" w:cs="Times New Roman" w:eastAsia="Times New Roman" w:hAnsi="Times New Roman"/>
          <w:sz w:val="12"/>
          <w:szCs w:val="12"/>
          <w:color w:val="auto"/>
        </w:rPr>
        <w:t>www.parkerpoe.com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40640</wp:posOffset>
            </wp:positionV>
            <wp:extent cx="7145655" cy="152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11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2">
                      <a:extLst>
                        <a:ext uri="{28A0092B-C50C-407E-A947-70E740481C1C}"/>
                      </a:extLst>
                    </a:blip>
                    <a:srcRect/>
                    <a:stretch>
                      <a:fillRect/>
                    </a:stretch>
                  </pic:blipFill>
                  <pic:spPr bwMode="auto">
                    <a:xfrm>
                      <a:off x="0" y="0"/>
                      <a:ext cx="7145655" cy="31115"/>
                    </a:xfrm>
                    <a:prstGeom prst="rect">
                      <a:avLst/>
                    </a:prstGeom>
                    <a:noFill/>
                  </pic:spPr>
                </pic:pic>
              </a:graphicData>
            </a:graphic>
          </wp:anchor>
        </w:drawing>
        <w:t>Exhibit 23.1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08"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6"/>
          <w:szCs w:val="16"/>
          <w:color w:val="auto"/>
        </w:rPr>
        <w:t>We consent to the incorporation by reference in this Registration Statement on Form S-3 of our reports dated February 27, 2025, relating to the financial statements of Viatris Inc. and subsidiaries (the “Company”) and the effectiveness of the Company’s internal control over financial reporting, appearing in the Annual Report on Form 10-K of the Company for the year ended December 31, 2024. We also consent to the reference to us under the heading “Experts” in such Registration Statement.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Pittsburgh,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300990</wp:posOffset>
            </wp:positionV>
            <wp:extent cx="7145655" cy="152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255" w:right="319"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11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4">
                      <a:extLst>
                        <a:ext uri="{28A0092B-C50C-407E-A947-70E740481C1C}"/>
                      </a:extLst>
                    </a:blip>
                    <a:srcRect/>
                    <a:stretch>
                      <a:fillRect/>
                    </a:stretch>
                  </pic:blipFill>
                  <pic:spPr bwMode="auto">
                    <a:xfrm>
                      <a:off x="0" y="0"/>
                      <a:ext cx="7145655" cy="31115"/>
                    </a:xfrm>
                    <a:prstGeom prst="rect">
                      <a:avLst/>
                    </a:prstGeom>
                    <a:noFill/>
                  </pic:spPr>
                </pic:pic>
              </a:graphicData>
            </a:graphic>
          </wp:anchor>
        </w:drawing>
        <w:t>Exhibit 25.1</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UNITED STATES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AND EXCHANGE COMMISSION</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 T-1</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STATEMENT OF ELIGIBILITY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UNDER THE TRUST INDENTURE ACT OF 1939 OF A</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CORPORATION DESIGNATED TO ACT AS TRUSTEE</w:t>
      </w:r>
    </w:p>
    <w:p>
      <w:pPr>
        <w:spacing w:after="0" w:line="19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color w:val="auto"/>
        </w:rPr>
        <w:t>CHECK IF AN APPLICATION TO DETERMINE</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ELIGIBILITY OF A TRUSTEE PURSUANT TO</w:t>
      </w:r>
    </w:p>
    <w:p>
      <w:pPr>
        <w:spacing w:after="0" w:line="11" w:lineRule="exact"/>
        <w:rPr>
          <w:sz w:val="20"/>
          <w:szCs w:val="20"/>
          <w:color w:val="auto"/>
        </w:rPr>
      </w:pPr>
    </w:p>
    <w:p>
      <w:pPr>
        <w:ind w:left="4620"/>
        <w:spacing w:after="0"/>
        <w:tabs>
          <w:tab w:leader="none" w:pos="6380" w:val="left"/>
        </w:tabs>
        <w:rPr>
          <w:sz w:val="20"/>
          <w:szCs w:val="20"/>
          <w:color w:val="auto"/>
        </w:rPr>
      </w:pPr>
      <w:r>
        <w:rPr>
          <w:rFonts w:ascii="Times New Roman" w:cs="Times New Roman" w:eastAsia="Times New Roman" w:hAnsi="Times New Roman"/>
          <w:sz w:val="16"/>
          <w:szCs w:val="16"/>
          <w:color w:val="auto"/>
        </w:rPr>
        <w:t>SECTION 305(b)(2)</w:t>
      </w:r>
      <w:r>
        <w:rPr>
          <w:sz w:val="20"/>
          <w:szCs w:val="20"/>
          <w:color w:val="auto"/>
        </w:rPr>
        <w:tab/>
      </w:r>
      <w:r>
        <w:rPr>
          <w:rFonts w:ascii="Times New Roman" w:cs="Times New Roman" w:eastAsia="Times New Roman" w:hAnsi="Times New Roman"/>
          <w:sz w:val="16"/>
          <w:szCs w:val="16"/>
          <w:color w:val="auto"/>
        </w:rPr>
        <w:t>|__|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177800</wp:posOffset>
            </wp:positionV>
            <wp:extent cx="1423035"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5">
                      <a:extLst>
                        <a:ext uri="{28A0092B-C50C-407E-A947-70E740481C1C}"/>
                      </a:extLst>
                    </a:blip>
                    <a:srcRect/>
                    <a:stretch>
                      <a:fillRect/>
                    </a:stretch>
                  </pic:blipFill>
                  <pic:spPr bwMode="auto">
                    <a:xfrm>
                      <a:off x="0" y="0"/>
                      <a:ext cx="1423035" cy="762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3300" w:type="dxa"/>
            <w:vAlign w:val="bottom"/>
          </w:tcPr>
          <w:p>
            <w:pPr>
              <w:spacing w:after="0"/>
              <w:rPr>
                <w:sz w:val="16"/>
                <w:szCs w:val="16"/>
                <w:color w:val="auto"/>
              </w:rPr>
            </w:pPr>
          </w:p>
        </w:tc>
        <w:tc>
          <w:tcPr>
            <w:tcW w:w="7960" w:type="dxa"/>
            <w:vAlign w:val="bottom"/>
            <w:gridSpan w:val="4"/>
          </w:tcPr>
          <w:p>
            <w:pPr>
              <w:jc w:val="center"/>
              <w:ind w:right="3239"/>
              <w:spacing w:after="0"/>
              <w:rPr>
                <w:sz w:val="20"/>
                <w:szCs w:val="20"/>
                <w:color w:val="auto"/>
              </w:rPr>
            </w:pPr>
            <w:r>
              <w:rPr>
                <w:rFonts w:ascii="Times New Roman" w:cs="Times New Roman" w:eastAsia="Times New Roman" w:hAnsi="Times New Roman"/>
                <w:sz w:val="16"/>
                <w:szCs w:val="16"/>
                <w:color w:val="auto"/>
              </w:rPr>
              <w:t>THE BANK OF NEW YORK MELLON</w:t>
            </w:r>
          </w:p>
        </w:tc>
      </w:tr>
      <w:tr>
        <w:trPr>
          <w:trHeight w:val="211"/>
        </w:trPr>
        <w:tc>
          <w:tcPr>
            <w:tcW w:w="3300" w:type="dxa"/>
            <w:vAlign w:val="bottom"/>
          </w:tcPr>
          <w:p>
            <w:pPr>
              <w:spacing w:after="0"/>
              <w:rPr>
                <w:sz w:val="18"/>
                <w:szCs w:val="18"/>
                <w:color w:val="auto"/>
              </w:rPr>
            </w:pPr>
          </w:p>
        </w:tc>
        <w:tc>
          <w:tcPr>
            <w:tcW w:w="7960" w:type="dxa"/>
            <w:vAlign w:val="bottom"/>
            <w:gridSpan w:val="4"/>
          </w:tcPr>
          <w:p>
            <w:pPr>
              <w:jc w:val="center"/>
              <w:ind w:right="3219"/>
              <w:spacing w:after="0"/>
              <w:rPr>
                <w:sz w:val="20"/>
                <w:szCs w:val="20"/>
                <w:color w:val="auto"/>
              </w:rPr>
            </w:pPr>
            <w:r>
              <w:rPr>
                <w:rFonts w:ascii="Times New Roman" w:cs="Times New Roman" w:eastAsia="Times New Roman" w:hAnsi="Times New Roman"/>
                <w:sz w:val="16"/>
                <w:szCs w:val="16"/>
                <w:color w:val="auto"/>
              </w:rPr>
              <w:t>(Exact name of trustee as specified in its charter)</w:t>
            </w:r>
          </w:p>
        </w:tc>
      </w:tr>
      <w:tr>
        <w:trPr>
          <w:trHeight w:val="200"/>
        </w:trPr>
        <w:tc>
          <w:tcPr>
            <w:tcW w:w="3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r>
      <w:tr>
        <w:trPr>
          <w:trHeight w:val="178"/>
        </w:trPr>
        <w:tc>
          <w:tcPr>
            <w:tcW w:w="330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New York</w:t>
            </w:r>
          </w:p>
        </w:tc>
        <w:tc>
          <w:tcPr>
            <w:tcW w:w="1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13-5160382</w:t>
            </w:r>
          </w:p>
        </w:tc>
      </w:tr>
      <w:tr>
        <w:trPr>
          <w:trHeight w:val="195"/>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(Jurisdiction of incorporation</w:t>
            </w:r>
          </w:p>
        </w:tc>
        <w:tc>
          <w:tcPr>
            <w:tcW w:w="1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1"/>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if not a U.S. national bank)</w:t>
            </w:r>
          </w:p>
        </w:tc>
        <w:tc>
          <w:tcPr>
            <w:tcW w:w="1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00"/>
        </w:trPr>
        <w:tc>
          <w:tcPr>
            <w:tcW w:w="3300" w:type="dxa"/>
            <w:vAlign w:val="bottom"/>
            <w:tcBorders>
              <w:left w:val="single" w:sz="8" w:color="auto"/>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178"/>
        </w:trPr>
        <w:tc>
          <w:tcPr>
            <w:tcW w:w="330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240 Greenwich Street, New York, N.Y.</w:t>
            </w:r>
          </w:p>
        </w:tc>
        <w:tc>
          <w:tcPr>
            <w:tcW w:w="1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10286</w:t>
            </w:r>
          </w:p>
        </w:tc>
      </w:tr>
      <w:tr>
        <w:trPr>
          <w:trHeight w:val="211"/>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(Zip code)</w:t>
            </w:r>
          </w:p>
        </w:tc>
      </w:tr>
      <w:tr>
        <w:trPr>
          <w:trHeight w:val="200"/>
        </w:trPr>
        <w:tc>
          <w:tcPr>
            <w:tcW w:w="3300" w:type="dxa"/>
            <w:vAlign w:val="bottom"/>
            <w:tcBorders>
              <w:left w:val="single" w:sz="8" w:color="auto"/>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280"/>
        </w:trPr>
        <w:tc>
          <w:tcPr>
            <w:tcW w:w="3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520" w:type="dxa"/>
            <w:vAlign w:val="bottom"/>
            <w:gridSpan w:val="2"/>
          </w:tcPr>
          <w:p>
            <w:pPr>
              <w:spacing w:after="0"/>
              <w:rPr>
                <w:sz w:val="24"/>
                <w:szCs w:val="24"/>
                <w:color w:val="auto"/>
              </w:rPr>
            </w:pPr>
          </w:p>
        </w:tc>
      </w:tr>
      <w:tr>
        <w:trPr>
          <w:trHeight w:val="438"/>
        </w:trPr>
        <w:tc>
          <w:tcPr>
            <w:tcW w:w="3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760" w:type="dxa"/>
            <w:vAlign w:val="bottom"/>
            <w:gridSpan w:val="3"/>
          </w:tcPr>
          <w:p>
            <w:pPr>
              <w:jc w:val="center"/>
              <w:ind w:right="4419"/>
              <w:spacing w:after="0"/>
              <w:rPr>
                <w:sz w:val="20"/>
                <w:szCs w:val="20"/>
                <w:color w:val="auto"/>
              </w:rPr>
            </w:pPr>
            <w:r>
              <w:rPr>
                <w:rFonts w:ascii="Times New Roman" w:cs="Times New Roman" w:eastAsia="Times New Roman" w:hAnsi="Times New Roman"/>
                <w:sz w:val="16"/>
                <w:szCs w:val="16"/>
                <w:color w:val="auto"/>
                <w:w w:val="99"/>
              </w:rPr>
              <w:t>VIATRIS INC.</w:t>
            </w:r>
          </w:p>
        </w:tc>
      </w:tr>
      <w:tr>
        <w:trPr>
          <w:trHeight w:val="211"/>
        </w:trPr>
        <w:tc>
          <w:tcPr>
            <w:tcW w:w="3300" w:type="dxa"/>
            <w:vAlign w:val="bottom"/>
          </w:tcPr>
          <w:p>
            <w:pPr>
              <w:spacing w:after="0"/>
              <w:rPr>
                <w:sz w:val="18"/>
                <w:szCs w:val="18"/>
                <w:color w:val="auto"/>
              </w:rPr>
            </w:pPr>
          </w:p>
        </w:tc>
        <w:tc>
          <w:tcPr>
            <w:tcW w:w="7960" w:type="dxa"/>
            <w:vAlign w:val="bottom"/>
            <w:gridSpan w:val="4"/>
          </w:tcPr>
          <w:p>
            <w:pPr>
              <w:jc w:val="center"/>
              <w:ind w:right="3239"/>
              <w:spacing w:after="0"/>
              <w:rPr>
                <w:sz w:val="20"/>
                <w:szCs w:val="20"/>
                <w:color w:val="auto"/>
              </w:rPr>
            </w:pPr>
            <w:r>
              <w:rPr>
                <w:rFonts w:ascii="Times New Roman" w:cs="Times New Roman" w:eastAsia="Times New Roman" w:hAnsi="Times New Roman"/>
                <w:sz w:val="16"/>
                <w:szCs w:val="16"/>
                <w:color w:val="auto"/>
              </w:rPr>
              <w:t>(Exact name of obligor as specified in its charter)</w:t>
            </w:r>
          </w:p>
        </w:tc>
      </w:tr>
      <w:tr>
        <w:trPr>
          <w:trHeight w:val="200"/>
        </w:trPr>
        <w:tc>
          <w:tcPr>
            <w:tcW w:w="3300" w:type="dxa"/>
            <w:vAlign w:val="bottom"/>
            <w:tcBorders>
              <w:bottom w:val="single" w:sz="8" w:color="auto"/>
            </w:tcBorders>
          </w:tcPr>
          <w:p>
            <w:pPr>
              <w:spacing w:after="0"/>
              <w:rPr>
                <w:sz w:val="17"/>
                <w:szCs w:val="17"/>
                <w:color w:val="auto"/>
              </w:rPr>
            </w:pPr>
          </w:p>
        </w:tc>
        <w:tc>
          <w:tcPr>
            <w:tcW w:w="7960" w:type="dxa"/>
            <w:vAlign w:val="bottom"/>
            <w:tcBorders>
              <w:bottom w:val="single" w:sz="8" w:color="auto"/>
            </w:tcBorders>
            <w:gridSpan w:val="4"/>
          </w:tcPr>
          <w:p>
            <w:pPr>
              <w:spacing w:after="0"/>
              <w:rPr>
                <w:sz w:val="17"/>
                <w:szCs w:val="17"/>
                <w:color w:val="auto"/>
              </w:rPr>
            </w:pPr>
          </w:p>
        </w:tc>
      </w:tr>
      <w:tr>
        <w:trPr>
          <w:trHeight w:val="178"/>
        </w:trPr>
        <w:tc>
          <w:tcPr>
            <w:tcW w:w="330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Delaware</w:t>
            </w:r>
          </w:p>
        </w:tc>
        <w:tc>
          <w:tcPr>
            <w:tcW w:w="4580" w:type="dxa"/>
            <w:vAlign w:val="bottom"/>
            <w:tcBorders>
              <w:right w:val="single" w:sz="8" w:color="auto"/>
            </w:tcBorders>
            <w:gridSpan w:val="3"/>
          </w:tcPr>
          <w:p>
            <w:pPr>
              <w:spacing w:after="0"/>
              <w:rPr>
                <w:sz w:val="15"/>
                <w:szCs w:val="15"/>
                <w:color w:val="auto"/>
              </w:rPr>
            </w:pPr>
          </w:p>
        </w:tc>
        <w:tc>
          <w:tcPr>
            <w:tcW w:w="3380" w:type="dxa"/>
            <w:vAlign w:val="bottom"/>
            <w:tcBorders>
              <w:right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83-4364296</w:t>
            </w:r>
          </w:p>
        </w:tc>
      </w:tr>
      <w:tr>
        <w:trPr>
          <w:trHeight w:val="195"/>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1"/>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00"/>
        </w:trPr>
        <w:tc>
          <w:tcPr>
            <w:tcW w:w="3300" w:type="dxa"/>
            <w:vAlign w:val="bottom"/>
            <w:tcBorders>
              <w:left w:val="single" w:sz="8" w:color="auto"/>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178"/>
        </w:trPr>
        <w:tc>
          <w:tcPr>
            <w:tcW w:w="330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1000 Mylan Boulevard</w:t>
            </w:r>
          </w:p>
        </w:tc>
        <w:tc>
          <w:tcPr>
            <w:tcW w:w="1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rPr>
                <w:sz w:val="15"/>
                <w:szCs w:val="15"/>
                <w:color w:val="auto"/>
              </w:rPr>
            </w:pPr>
          </w:p>
        </w:tc>
      </w:tr>
      <w:tr>
        <w:trPr>
          <w:trHeight w:val="195"/>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Canonsburg, Pennsylvania</w:t>
            </w:r>
          </w:p>
        </w:tc>
        <w:tc>
          <w:tcPr>
            <w:tcW w:w="4580" w:type="dxa"/>
            <w:vAlign w:val="bottom"/>
            <w:tcBorders>
              <w:right w:val="single" w:sz="8" w:color="auto"/>
            </w:tcBorders>
            <w:gridSpan w:val="3"/>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15317</w:t>
            </w:r>
          </w:p>
        </w:tc>
      </w:tr>
      <w:tr>
        <w:trPr>
          <w:trHeight w:val="211"/>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(Zip code)</w:t>
            </w:r>
          </w:p>
        </w:tc>
      </w:tr>
      <w:tr>
        <w:trPr>
          <w:trHeight w:val="200"/>
        </w:trPr>
        <w:tc>
          <w:tcPr>
            <w:tcW w:w="3300" w:type="dxa"/>
            <w:vAlign w:val="bottom"/>
            <w:tcBorders>
              <w:left w:val="single" w:sz="8" w:color="auto"/>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370"/>
        </w:trPr>
        <w:tc>
          <w:tcPr>
            <w:tcW w:w="3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55" w:right="319" w:bottom="1440" w:gutter="0" w:footer="0" w:header="0"/>
        </w:sectPr>
      </w:pPr>
    </w:p>
    <w:bookmarkStart w:id="272" w:name="page273"/>
    <w:bookmarkEnd w:id="27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3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760" w:type="dxa"/>
            <w:vAlign w:val="bottom"/>
            <w:gridSpan w:val="3"/>
          </w:tcPr>
          <w:p>
            <w:pPr>
              <w:jc w:val="center"/>
              <w:ind w:right="4439"/>
              <w:spacing w:after="0"/>
              <w:rPr>
                <w:sz w:val="20"/>
                <w:szCs w:val="20"/>
                <w:color w:val="auto"/>
              </w:rPr>
            </w:pPr>
            <w:r>
              <w:rPr>
                <w:rFonts w:ascii="Times New Roman" w:cs="Times New Roman" w:eastAsia="Times New Roman" w:hAnsi="Times New Roman"/>
                <w:sz w:val="16"/>
                <w:szCs w:val="16"/>
                <w:color w:val="auto"/>
              </w:rPr>
              <w:t>Mylan Inc.</w:t>
            </w:r>
          </w:p>
        </w:tc>
      </w:tr>
      <w:tr>
        <w:trPr>
          <w:trHeight w:val="211"/>
        </w:trPr>
        <w:tc>
          <w:tcPr>
            <w:tcW w:w="3280" w:type="dxa"/>
            <w:vAlign w:val="bottom"/>
          </w:tcPr>
          <w:p>
            <w:pPr>
              <w:spacing w:after="0"/>
              <w:rPr>
                <w:sz w:val="18"/>
                <w:szCs w:val="18"/>
                <w:color w:val="auto"/>
              </w:rPr>
            </w:pPr>
          </w:p>
        </w:tc>
        <w:tc>
          <w:tcPr>
            <w:tcW w:w="7980" w:type="dxa"/>
            <w:vAlign w:val="bottom"/>
            <w:gridSpan w:val="4"/>
          </w:tcPr>
          <w:p>
            <w:pPr>
              <w:jc w:val="center"/>
              <w:ind w:right="32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200"/>
        </w:trPr>
        <w:tc>
          <w:tcPr>
            <w:tcW w:w="3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r>
      <w:tr>
        <w:trPr>
          <w:trHeight w:val="178"/>
        </w:trPr>
        <w:tc>
          <w:tcPr>
            <w:tcW w:w="328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Pennsylvania</w:t>
            </w:r>
          </w:p>
        </w:tc>
        <w:tc>
          <w:tcPr>
            <w:tcW w:w="1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25-1211621</w:t>
            </w:r>
          </w:p>
        </w:tc>
      </w:tr>
      <w:tr>
        <w:trPr>
          <w:trHeight w:val="195"/>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1"/>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00"/>
        </w:trPr>
        <w:tc>
          <w:tcPr>
            <w:tcW w:w="3280" w:type="dxa"/>
            <w:vAlign w:val="bottom"/>
            <w:tcBorders>
              <w:left w:val="single" w:sz="8" w:color="auto"/>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178"/>
        </w:trPr>
        <w:tc>
          <w:tcPr>
            <w:tcW w:w="328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1000 Mylan Boulevard</w:t>
            </w:r>
          </w:p>
        </w:tc>
        <w:tc>
          <w:tcPr>
            <w:tcW w:w="1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rPr>
                <w:sz w:val="15"/>
                <w:szCs w:val="15"/>
                <w:color w:val="auto"/>
              </w:rPr>
            </w:pPr>
          </w:p>
        </w:tc>
      </w:tr>
      <w:tr>
        <w:trPr>
          <w:trHeight w:val="195"/>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Canonsburg, Pennsylvania</w:t>
            </w:r>
          </w:p>
        </w:tc>
        <w:tc>
          <w:tcPr>
            <w:tcW w:w="1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15317</w:t>
            </w:r>
          </w:p>
        </w:tc>
      </w:tr>
      <w:tr>
        <w:trPr>
          <w:trHeight w:val="211"/>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(Zip code)</w:t>
            </w:r>
          </w:p>
        </w:tc>
      </w:tr>
      <w:tr>
        <w:trPr>
          <w:trHeight w:val="200"/>
        </w:trPr>
        <w:tc>
          <w:tcPr>
            <w:tcW w:w="3280" w:type="dxa"/>
            <w:vAlign w:val="bottom"/>
            <w:tcBorders>
              <w:left w:val="single" w:sz="8" w:color="auto"/>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373"/>
        </w:trPr>
        <w:tc>
          <w:tcPr>
            <w:tcW w:w="3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760" w:type="dxa"/>
            <w:vAlign w:val="bottom"/>
            <w:gridSpan w:val="3"/>
          </w:tcPr>
          <w:p>
            <w:pPr>
              <w:jc w:val="center"/>
              <w:ind w:right="4419"/>
              <w:spacing w:after="0"/>
              <w:rPr>
                <w:sz w:val="20"/>
                <w:szCs w:val="20"/>
                <w:color w:val="auto"/>
              </w:rPr>
            </w:pPr>
            <w:r>
              <w:rPr>
                <w:rFonts w:ascii="Times New Roman" w:cs="Times New Roman" w:eastAsia="Times New Roman" w:hAnsi="Times New Roman"/>
                <w:sz w:val="16"/>
                <w:szCs w:val="16"/>
                <w:color w:val="auto"/>
                <w:w w:val="99"/>
              </w:rPr>
              <w:t>Mylan II B.V.</w:t>
            </w:r>
          </w:p>
        </w:tc>
      </w:tr>
      <w:tr>
        <w:trPr>
          <w:trHeight w:val="211"/>
        </w:trPr>
        <w:tc>
          <w:tcPr>
            <w:tcW w:w="3280" w:type="dxa"/>
            <w:vAlign w:val="bottom"/>
          </w:tcPr>
          <w:p>
            <w:pPr>
              <w:spacing w:after="0"/>
              <w:rPr>
                <w:sz w:val="18"/>
                <w:szCs w:val="18"/>
                <w:color w:val="auto"/>
              </w:rPr>
            </w:pPr>
          </w:p>
        </w:tc>
        <w:tc>
          <w:tcPr>
            <w:tcW w:w="7980" w:type="dxa"/>
            <w:vAlign w:val="bottom"/>
            <w:gridSpan w:val="4"/>
          </w:tcPr>
          <w:p>
            <w:pPr>
              <w:jc w:val="center"/>
              <w:ind w:right="32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200"/>
        </w:trPr>
        <w:tc>
          <w:tcPr>
            <w:tcW w:w="3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r>
      <w:tr>
        <w:trPr>
          <w:trHeight w:val="178"/>
        </w:trPr>
        <w:tc>
          <w:tcPr>
            <w:tcW w:w="328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The Netherlands</w:t>
            </w:r>
          </w:p>
        </w:tc>
        <w:tc>
          <w:tcPr>
            <w:tcW w:w="1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None</w:t>
            </w:r>
          </w:p>
        </w:tc>
      </w:tr>
      <w:tr>
        <w:trPr>
          <w:trHeight w:val="195"/>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1"/>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00"/>
        </w:trPr>
        <w:tc>
          <w:tcPr>
            <w:tcW w:w="3280" w:type="dxa"/>
            <w:vAlign w:val="bottom"/>
            <w:tcBorders>
              <w:left w:val="single" w:sz="8" w:color="auto"/>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178"/>
        </w:trPr>
        <w:tc>
          <w:tcPr>
            <w:tcW w:w="328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Krijgsman 20</w:t>
            </w:r>
          </w:p>
        </w:tc>
        <w:tc>
          <w:tcPr>
            <w:tcW w:w="1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rPr>
                <w:sz w:val="15"/>
                <w:szCs w:val="15"/>
                <w:color w:val="auto"/>
              </w:rPr>
            </w:pPr>
          </w:p>
        </w:tc>
      </w:tr>
      <w:tr>
        <w:trPr>
          <w:trHeight w:val="195"/>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1186 DM Amstelveen</w:t>
            </w:r>
          </w:p>
        </w:tc>
        <w:tc>
          <w:tcPr>
            <w:tcW w:w="1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16"/>
                <w:szCs w:val="16"/>
                <w:color w:val="auto"/>
              </w:rPr>
            </w:pPr>
          </w:p>
        </w:tc>
      </w:tr>
      <w:tr>
        <w:trPr>
          <w:trHeight w:val="195"/>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Amsterdam</w:t>
            </w:r>
          </w:p>
        </w:tc>
        <w:tc>
          <w:tcPr>
            <w:tcW w:w="1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16"/>
                <w:szCs w:val="16"/>
                <w:color w:val="auto"/>
              </w:rPr>
            </w:pPr>
          </w:p>
        </w:tc>
      </w:tr>
      <w:tr>
        <w:trPr>
          <w:trHeight w:val="195"/>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Netherlands</w:t>
            </w:r>
          </w:p>
        </w:tc>
        <w:tc>
          <w:tcPr>
            <w:tcW w:w="1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16"/>
                <w:szCs w:val="16"/>
                <w:color w:val="auto"/>
              </w:rPr>
            </w:pPr>
          </w:p>
        </w:tc>
      </w:tr>
      <w:tr>
        <w:trPr>
          <w:trHeight w:val="211"/>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(Zip code)</w:t>
            </w:r>
          </w:p>
        </w:tc>
      </w:tr>
      <w:tr>
        <w:trPr>
          <w:trHeight w:val="200"/>
        </w:trPr>
        <w:tc>
          <w:tcPr>
            <w:tcW w:w="3280" w:type="dxa"/>
            <w:vAlign w:val="bottom"/>
            <w:tcBorders>
              <w:left w:val="single" w:sz="8" w:color="auto"/>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373"/>
        </w:trPr>
        <w:tc>
          <w:tcPr>
            <w:tcW w:w="3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760" w:type="dxa"/>
            <w:vAlign w:val="bottom"/>
            <w:gridSpan w:val="3"/>
          </w:tcPr>
          <w:p>
            <w:pPr>
              <w:jc w:val="center"/>
              <w:ind w:right="4419"/>
              <w:spacing w:after="0"/>
              <w:rPr>
                <w:sz w:val="20"/>
                <w:szCs w:val="20"/>
                <w:color w:val="auto"/>
              </w:rPr>
            </w:pPr>
            <w:r>
              <w:rPr>
                <w:rFonts w:ascii="Times New Roman" w:cs="Times New Roman" w:eastAsia="Times New Roman" w:hAnsi="Times New Roman"/>
                <w:sz w:val="16"/>
                <w:szCs w:val="16"/>
                <w:color w:val="auto"/>
              </w:rPr>
              <w:t>Utah Acquisition Sub Inc.</w:t>
            </w:r>
          </w:p>
        </w:tc>
      </w:tr>
      <w:tr>
        <w:trPr>
          <w:trHeight w:val="211"/>
        </w:trPr>
        <w:tc>
          <w:tcPr>
            <w:tcW w:w="3280" w:type="dxa"/>
            <w:vAlign w:val="bottom"/>
          </w:tcPr>
          <w:p>
            <w:pPr>
              <w:spacing w:after="0"/>
              <w:rPr>
                <w:sz w:val="18"/>
                <w:szCs w:val="18"/>
                <w:color w:val="auto"/>
              </w:rPr>
            </w:pPr>
          </w:p>
        </w:tc>
        <w:tc>
          <w:tcPr>
            <w:tcW w:w="7980" w:type="dxa"/>
            <w:vAlign w:val="bottom"/>
            <w:gridSpan w:val="4"/>
          </w:tcPr>
          <w:p>
            <w:pPr>
              <w:jc w:val="center"/>
              <w:ind w:right="32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200"/>
        </w:trPr>
        <w:tc>
          <w:tcPr>
            <w:tcW w:w="3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gridSpan w:val="2"/>
          </w:tcPr>
          <w:p>
            <w:pPr>
              <w:spacing w:after="0"/>
              <w:rPr>
                <w:sz w:val="17"/>
                <w:szCs w:val="17"/>
                <w:color w:val="auto"/>
              </w:rPr>
            </w:pPr>
          </w:p>
        </w:tc>
      </w:tr>
      <w:tr>
        <w:trPr>
          <w:trHeight w:val="178"/>
        </w:trPr>
        <w:tc>
          <w:tcPr>
            <w:tcW w:w="328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Delaware</w:t>
            </w:r>
          </w:p>
        </w:tc>
        <w:tc>
          <w:tcPr>
            <w:tcW w:w="1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84-4554869</w:t>
            </w:r>
          </w:p>
        </w:tc>
      </w:tr>
      <w:tr>
        <w:trPr>
          <w:trHeight w:val="195"/>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1"/>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00"/>
        </w:trPr>
        <w:tc>
          <w:tcPr>
            <w:tcW w:w="3280" w:type="dxa"/>
            <w:vAlign w:val="bottom"/>
            <w:tcBorders>
              <w:left w:val="single" w:sz="8" w:color="auto"/>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178"/>
        </w:trPr>
        <w:tc>
          <w:tcPr>
            <w:tcW w:w="328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1000 Mylan Boulevard</w:t>
            </w:r>
          </w:p>
        </w:tc>
        <w:tc>
          <w:tcPr>
            <w:tcW w:w="1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rPr>
                <w:sz w:val="15"/>
                <w:szCs w:val="15"/>
                <w:color w:val="auto"/>
              </w:rPr>
            </w:pPr>
          </w:p>
        </w:tc>
      </w:tr>
      <w:tr>
        <w:trPr>
          <w:trHeight w:val="195"/>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Canonsburg, Pennsylvania</w:t>
            </w:r>
          </w:p>
        </w:tc>
        <w:tc>
          <w:tcPr>
            <w:tcW w:w="1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15317</w:t>
            </w:r>
          </w:p>
        </w:tc>
      </w:tr>
      <w:tr>
        <w:trPr>
          <w:trHeight w:val="211"/>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(Zip code)</w:t>
            </w:r>
          </w:p>
        </w:tc>
      </w:tr>
      <w:tr>
        <w:trPr>
          <w:trHeight w:val="200"/>
        </w:trPr>
        <w:tc>
          <w:tcPr>
            <w:tcW w:w="3280" w:type="dxa"/>
            <w:vAlign w:val="bottom"/>
            <w:tcBorders>
              <w:left w:val="single" w:sz="8" w:color="auto"/>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280"/>
        </w:trPr>
        <w:tc>
          <w:tcPr>
            <w:tcW w:w="3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520" w:type="dxa"/>
            <w:vAlign w:val="bottom"/>
            <w:gridSpan w:val="2"/>
          </w:tcPr>
          <w:p>
            <w:pPr>
              <w:spacing w:after="0"/>
              <w:rPr>
                <w:sz w:val="24"/>
                <w:szCs w:val="24"/>
                <w:color w:val="auto"/>
              </w:rPr>
            </w:pPr>
          </w:p>
        </w:tc>
      </w:tr>
      <w:tr>
        <w:trPr>
          <w:trHeight w:val="438"/>
        </w:trPr>
        <w:tc>
          <w:tcPr>
            <w:tcW w:w="3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760" w:type="dxa"/>
            <w:vAlign w:val="bottom"/>
            <w:gridSpan w:val="3"/>
          </w:tcPr>
          <w:p>
            <w:pPr>
              <w:jc w:val="center"/>
              <w:ind w:right="4419"/>
              <w:spacing w:after="0"/>
              <w:rPr>
                <w:sz w:val="20"/>
                <w:szCs w:val="20"/>
                <w:color w:val="auto"/>
              </w:rPr>
            </w:pPr>
            <w:r>
              <w:rPr>
                <w:rFonts w:ascii="Times New Roman" w:cs="Times New Roman" w:eastAsia="Times New Roman" w:hAnsi="Times New Roman"/>
                <w:sz w:val="16"/>
                <w:szCs w:val="16"/>
                <w:color w:val="auto"/>
              </w:rPr>
              <w:t>Senior Debt Securities</w:t>
            </w:r>
          </w:p>
        </w:tc>
      </w:tr>
      <w:tr>
        <w:trPr>
          <w:trHeight w:val="195"/>
        </w:trPr>
        <w:tc>
          <w:tcPr>
            <w:tcW w:w="3280" w:type="dxa"/>
            <w:vAlign w:val="bottom"/>
          </w:tcPr>
          <w:p>
            <w:pPr>
              <w:spacing w:after="0"/>
              <w:rPr>
                <w:sz w:val="16"/>
                <w:szCs w:val="16"/>
                <w:color w:val="auto"/>
              </w:rPr>
            </w:pPr>
          </w:p>
        </w:tc>
        <w:tc>
          <w:tcPr>
            <w:tcW w:w="7980" w:type="dxa"/>
            <w:vAlign w:val="bottom"/>
            <w:gridSpan w:val="4"/>
          </w:tcPr>
          <w:p>
            <w:pPr>
              <w:jc w:val="center"/>
              <w:ind w:right="3219"/>
              <w:spacing w:after="0"/>
              <w:rPr>
                <w:sz w:val="20"/>
                <w:szCs w:val="20"/>
                <w:color w:val="auto"/>
              </w:rPr>
            </w:pPr>
            <w:r>
              <w:rPr>
                <w:rFonts w:ascii="Times New Roman" w:cs="Times New Roman" w:eastAsia="Times New Roman" w:hAnsi="Times New Roman"/>
                <w:sz w:val="16"/>
                <w:szCs w:val="16"/>
                <w:color w:val="auto"/>
              </w:rPr>
              <w:t>and Guarantees of Senior Debt Securities</w:t>
            </w:r>
          </w:p>
        </w:tc>
      </w:tr>
      <w:tr>
        <w:trPr>
          <w:trHeight w:val="211"/>
        </w:trPr>
        <w:tc>
          <w:tcPr>
            <w:tcW w:w="3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760" w:type="dxa"/>
            <w:vAlign w:val="bottom"/>
            <w:gridSpan w:val="3"/>
          </w:tcPr>
          <w:p>
            <w:pPr>
              <w:jc w:val="center"/>
              <w:ind w:right="4439"/>
              <w:spacing w:after="0"/>
              <w:rPr>
                <w:sz w:val="20"/>
                <w:szCs w:val="20"/>
                <w:color w:val="auto"/>
              </w:rPr>
            </w:pPr>
            <w:r>
              <w:rPr>
                <w:rFonts w:ascii="Times New Roman" w:cs="Times New Roman" w:eastAsia="Times New Roman" w:hAnsi="Times New Roman"/>
                <w:sz w:val="16"/>
                <w:szCs w:val="16"/>
                <w:color w:val="auto"/>
              </w:rPr>
              <w:t>(Title of the indenture securities)</w:t>
            </w:r>
          </w:p>
        </w:tc>
      </w:tr>
      <w:tr>
        <w:trPr>
          <w:trHeight w:val="514"/>
        </w:trPr>
        <w:tc>
          <w:tcPr>
            <w:tcW w:w="3280" w:type="dxa"/>
            <w:vAlign w:val="bottom"/>
          </w:tcPr>
          <w:p>
            <w:pPr>
              <w:spacing w:after="0"/>
              <w:rPr>
                <w:sz w:val="24"/>
                <w:szCs w:val="24"/>
                <w:color w:val="auto"/>
              </w:rPr>
            </w:pPr>
          </w:p>
        </w:tc>
        <w:tc>
          <w:tcPr>
            <w:tcW w:w="3460" w:type="dxa"/>
            <w:vAlign w:val="bottom"/>
            <w:gridSpan w:val="2"/>
          </w:tcPr>
          <w:p>
            <w:pPr>
              <w:jc w:val="center"/>
              <w:ind w:left="1162"/>
              <w:spacing w:after="0"/>
              <w:rPr>
                <w:sz w:val="20"/>
                <w:szCs w:val="20"/>
                <w:color w:val="auto"/>
              </w:rPr>
            </w:pPr>
            <w:r>
              <w:rPr>
                <w:rFonts w:ascii="Times New Roman" w:cs="Times New Roman" w:eastAsia="Times New Roman" w:hAnsi="Times New Roman"/>
                <w:sz w:val="13"/>
                <w:szCs w:val="13"/>
                <w:color w:val="auto"/>
              </w:rPr>
              <w:t>- 2 -</w:t>
            </w:r>
          </w:p>
        </w:tc>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9"/>
        </w:trPr>
        <w:tc>
          <w:tcPr>
            <w:tcW w:w="3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3" w:right="319" w:bottom="1440" w:gutter="0" w:footer="0" w:header="0"/>
        </w:sectPr>
      </w:pPr>
    </w:p>
    <w:bookmarkStart w:id="273" w:name="page274"/>
    <w:bookmarkEnd w:id="273"/>
    <w:p>
      <w:pPr>
        <w:ind w:left="583" w:hanging="583"/>
        <w:spacing w:after="0"/>
        <w:tabs>
          <w:tab w:leader="none" w:pos="583" w:val="left"/>
        </w:tabs>
        <w:numPr>
          <w:ilvl w:val="0"/>
          <w:numId w:val="2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General information. Furnish the following information as to the Trustee:</w:t>
      </w:r>
    </w:p>
    <w:p>
      <w:pPr>
        <w:spacing w:after="0" w:line="205" w:lineRule="exact"/>
        <w:rPr>
          <w:rFonts w:ascii="Times New Roman" w:cs="Times New Roman" w:eastAsia="Times New Roman" w:hAnsi="Times New Roman"/>
          <w:sz w:val="16"/>
          <w:szCs w:val="16"/>
          <w:b w:val="1"/>
          <w:bCs w:val="1"/>
          <w:color w:val="auto"/>
        </w:rPr>
      </w:pPr>
    </w:p>
    <w:p>
      <w:pPr>
        <w:ind w:left="1163" w:hanging="578"/>
        <w:spacing w:after="0"/>
        <w:tabs>
          <w:tab w:leader="none" w:pos="1163" w:val="left"/>
        </w:tabs>
        <w:numPr>
          <w:ilvl w:val="1"/>
          <w:numId w:val="2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Name and address of each examining or supervising authority to which it is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45655" cy="152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3" w:type="dxa"/>
        <w:tblCellMar>
          <w:top w:w="0" w:type="dxa"/>
          <w:left w:w="0" w:type="dxa"/>
          <w:bottom w:w="0" w:type="dxa"/>
          <w:right w:w="0" w:type="dxa"/>
        </w:tblCellMar>
      </w:tblPr>
      <w:tr>
        <w:trPr>
          <w:trHeight w:val="211"/>
        </w:trPr>
        <w:tc>
          <w:tcPr>
            <w:tcW w:w="4320" w:type="dxa"/>
            <w:vAlign w:val="bottom"/>
          </w:tcPr>
          <w:p>
            <w:pPr>
              <w:ind w:left="2620"/>
              <w:spacing w:after="0"/>
              <w:rPr>
                <w:sz w:val="20"/>
                <w:szCs w:val="20"/>
                <w:color w:val="auto"/>
              </w:rPr>
            </w:pPr>
            <w:r>
              <w:rPr>
                <w:rFonts w:ascii="Times New Roman" w:cs="Times New Roman" w:eastAsia="Times New Roman" w:hAnsi="Times New Roman"/>
                <w:sz w:val="16"/>
                <w:szCs w:val="16"/>
                <w:color w:val="auto"/>
              </w:rPr>
              <w:t>Name</w:t>
            </w:r>
          </w:p>
        </w:tc>
        <w:tc>
          <w:tcPr>
            <w:tcW w:w="6940" w:type="dxa"/>
            <w:vAlign w:val="bottom"/>
          </w:tcPr>
          <w:p>
            <w:pPr>
              <w:ind w:left="3860"/>
              <w:spacing w:after="0"/>
              <w:rPr>
                <w:sz w:val="20"/>
                <w:szCs w:val="20"/>
                <w:color w:val="auto"/>
              </w:rPr>
            </w:pPr>
            <w:r>
              <w:rPr>
                <w:rFonts w:ascii="Times New Roman" w:cs="Times New Roman" w:eastAsia="Times New Roman" w:hAnsi="Times New Roman"/>
                <w:sz w:val="16"/>
                <w:szCs w:val="16"/>
                <w:color w:val="auto"/>
              </w:rPr>
              <w:t>Address</w:t>
            </w:r>
          </w:p>
        </w:tc>
      </w:tr>
      <w:tr>
        <w:trPr>
          <w:trHeight w:val="200"/>
        </w:trPr>
        <w:tc>
          <w:tcPr>
            <w:tcW w:w="4320" w:type="dxa"/>
            <w:vAlign w:val="bottom"/>
            <w:tcBorders>
              <w:bottom w:val="single" w:sz="8" w:color="auto"/>
            </w:tcBorders>
          </w:tcPr>
          <w:p>
            <w:pPr>
              <w:spacing w:after="0"/>
              <w:rPr>
                <w:sz w:val="17"/>
                <w:szCs w:val="17"/>
                <w:color w:val="auto"/>
              </w:rPr>
            </w:pPr>
          </w:p>
        </w:tc>
        <w:tc>
          <w:tcPr>
            <w:tcW w:w="6940" w:type="dxa"/>
            <w:vAlign w:val="bottom"/>
            <w:tcBorders>
              <w:bottom w:val="single" w:sz="8" w:color="auto"/>
            </w:tcBorders>
          </w:tcPr>
          <w:p>
            <w:pPr>
              <w:spacing w:after="0"/>
              <w:rPr>
                <w:sz w:val="17"/>
                <w:szCs w:val="17"/>
                <w:color w:val="auto"/>
              </w:rPr>
            </w:pPr>
          </w:p>
        </w:tc>
      </w:tr>
      <w:tr>
        <w:trPr>
          <w:trHeight w:val="37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Superintendent of the Department of</w:t>
            </w:r>
          </w:p>
        </w:tc>
        <w:tc>
          <w:tcPr>
            <w:tcW w:w="69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One State Street, New York, N.Y.</w:t>
            </w:r>
          </w:p>
        </w:tc>
      </w:tr>
      <w:tr>
        <w:trPr>
          <w:trHeight w:val="211"/>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Financial Services of the State of New York</w:t>
            </w:r>
          </w:p>
        </w:tc>
        <w:tc>
          <w:tcPr>
            <w:tcW w:w="69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10004-1417, and Albany, N.Y. 12223</w:t>
            </w:r>
          </w:p>
        </w:tc>
      </w:tr>
      <w:tr>
        <w:trPr>
          <w:trHeight w:val="390"/>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Federal Reserve Bank of New York</w:t>
            </w:r>
          </w:p>
        </w:tc>
        <w:tc>
          <w:tcPr>
            <w:tcW w:w="69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33 Liberty Street, New York, N.Y. 10045</w:t>
            </w:r>
          </w:p>
        </w:tc>
      </w:tr>
      <w:tr>
        <w:trPr>
          <w:trHeight w:val="374"/>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Federal Deposit Insurance Corporation</w:t>
            </w:r>
          </w:p>
        </w:tc>
        <w:tc>
          <w:tcPr>
            <w:tcW w:w="69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550 17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Street, NW</w:t>
            </w:r>
          </w:p>
        </w:tc>
      </w:tr>
      <w:tr>
        <w:trPr>
          <w:trHeight w:val="211"/>
        </w:trPr>
        <w:tc>
          <w:tcPr>
            <w:tcW w:w="4320" w:type="dxa"/>
            <w:vAlign w:val="bottom"/>
          </w:tcPr>
          <w:p>
            <w:pPr>
              <w:spacing w:after="0"/>
              <w:rPr>
                <w:sz w:val="18"/>
                <w:szCs w:val="18"/>
                <w:color w:val="auto"/>
              </w:rPr>
            </w:pPr>
          </w:p>
        </w:tc>
        <w:tc>
          <w:tcPr>
            <w:tcW w:w="69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Washington, D.C. 20429</w:t>
            </w:r>
          </w:p>
        </w:tc>
      </w:tr>
      <w:tr>
        <w:trPr>
          <w:trHeight w:val="374"/>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The Clearing House Association L.L.C.</w:t>
            </w:r>
          </w:p>
        </w:tc>
        <w:tc>
          <w:tcPr>
            <w:tcW w:w="69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100 Broad Street</w:t>
            </w:r>
          </w:p>
        </w:tc>
      </w:tr>
      <w:tr>
        <w:trPr>
          <w:trHeight w:val="211"/>
        </w:trPr>
        <w:tc>
          <w:tcPr>
            <w:tcW w:w="4320" w:type="dxa"/>
            <w:vAlign w:val="bottom"/>
          </w:tcPr>
          <w:p>
            <w:pPr>
              <w:spacing w:after="0"/>
              <w:rPr>
                <w:sz w:val="18"/>
                <w:szCs w:val="18"/>
                <w:color w:val="auto"/>
              </w:rPr>
            </w:pPr>
          </w:p>
        </w:tc>
        <w:tc>
          <w:tcPr>
            <w:tcW w:w="69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New York, N.Y. 10004</w:t>
            </w:r>
          </w:p>
        </w:tc>
      </w:tr>
    </w:tbl>
    <w:p>
      <w:pPr>
        <w:spacing w:after="0" w:line="177" w:lineRule="exact"/>
        <w:rPr>
          <w:sz w:val="20"/>
          <w:szCs w:val="20"/>
          <w:color w:val="auto"/>
        </w:rPr>
      </w:pPr>
    </w:p>
    <w:p>
      <w:pPr>
        <w:ind w:left="1163" w:hanging="578"/>
        <w:spacing w:after="0"/>
        <w:tabs>
          <w:tab w:leader="none" w:pos="1163" w:val="left"/>
        </w:tabs>
        <w:numPr>
          <w:ilvl w:val="0"/>
          <w:numId w:val="26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Whether it is authorized to exercise corporate trust powers.</w:t>
      </w:r>
    </w:p>
    <w:p>
      <w:pPr>
        <w:spacing w:after="0" w:line="208"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Yes.</w:t>
      </w:r>
    </w:p>
    <w:p>
      <w:pPr>
        <w:spacing w:after="0" w:line="204" w:lineRule="exact"/>
        <w:rPr>
          <w:sz w:val="20"/>
          <w:szCs w:val="20"/>
          <w:color w:val="auto"/>
        </w:rPr>
      </w:pPr>
    </w:p>
    <w:p>
      <w:pPr>
        <w:ind w:left="583" w:hanging="583"/>
        <w:spacing w:after="0"/>
        <w:tabs>
          <w:tab w:leader="none" w:pos="583" w:val="left"/>
        </w:tabs>
        <w:numPr>
          <w:ilvl w:val="0"/>
          <w:numId w:val="2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Affiliations with Obligor.</w:t>
      </w:r>
    </w:p>
    <w:p>
      <w:pPr>
        <w:spacing w:after="0" w:line="205" w:lineRule="exact"/>
        <w:rPr>
          <w:rFonts w:ascii="Times New Roman" w:cs="Times New Roman" w:eastAsia="Times New Roman" w:hAnsi="Times New Roman"/>
          <w:sz w:val="16"/>
          <w:szCs w:val="16"/>
          <w:b w:val="1"/>
          <w:bCs w:val="1"/>
          <w:color w:val="auto"/>
        </w:rPr>
      </w:pPr>
    </w:p>
    <w:p>
      <w:pPr>
        <w:ind w:left="583" w:right="5760"/>
        <w:spacing w:after="0" w:line="50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If the obligor is an affiliate of the trustee, describe each such affiliation. </w:t>
      </w:r>
      <w:r>
        <w:rPr>
          <w:rFonts w:ascii="Times New Roman" w:cs="Times New Roman" w:eastAsia="Times New Roman" w:hAnsi="Times New Roman"/>
          <w:sz w:val="16"/>
          <w:szCs w:val="16"/>
          <w:color w:val="auto"/>
        </w:rPr>
        <w:t>None.</w:t>
      </w:r>
    </w:p>
    <w:p>
      <w:pPr>
        <w:spacing w:after="0" w:line="1" w:lineRule="exact"/>
        <w:rPr>
          <w:sz w:val="20"/>
          <w:szCs w:val="20"/>
          <w:color w:val="auto"/>
        </w:rPr>
      </w:pPr>
    </w:p>
    <w:p>
      <w:pPr>
        <w:ind w:left="583" w:hanging="583"/>
        <w:spacing w:after="0"/>
        <w:tabs>
          <w:tab w:leader="none" w:pos="583" w:val="left"/>
        </w:tabs>
        <w:numPr>
          <w:ilvl w:val="0"/>
          <w:numId w:val="2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List of Exhibits.</w:t>
      </w:r>
    </w:p>
    <w:p>
      <w:pPr>
        <w:spacing w:after="0" w:line="171" w:lineRule="exact"/>
        <w:rPr>
          <w:rFonts w:ascii="Times New Roman" w:cs="Times New Roman" w:eastAsia="Times New Roman" w:hAnsi="Times New Roman"/>
          <w:sz w:val="16"/>
          <w:szCs w:val="16"/>
          <w:b w:val="1"/>
          <w:bCs w:val="1"/>
          <w:color w:val="auto"/>
        </w:rPr>
      </w:pPr>
    </w:p>
    <w:p>
      <w:pPr>
        <w:ind w:left="583" w:right="20"/>
        <w:spacing w:after="0" w:line="221" w:lineRule="exact"/>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Exhibits identified in parentheses below, on file with the Commission, are incorporated herein by reference as an exhibit hereto, pursuant to Rule 7a</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29 under the Trust Indenture Act of 1939 (the "Act").</w:t>
      </w:r>
    </w:p>
    <w:p>
      <w:pPr>
        <w:spacing w:after="0" w:line="180" w:lineRule="exact"/>
        <w:rPr>
          <w:rFonts w:ascii="Times New Roman" w:cs="Times New Roman" w:eastAsia="Times New Roman" w:hAnsi="Times New Roman"/>
          <w:sz w:val="16"/>
          <w:szCs w:val="16"/>
          <w:b w:val="1"/>
          <w:bCs w:val="1"/>
          <w:color w:val="auto"/>
        </w:rPr>
      </w:pPr>
    </w:p>
    <w:p>
      <w:pPr>
        <w:ind w:left="1163" w:right="180" w:hanging="578"/>
        <w:spacing w:after="0" w:line="262" w:lineRule="auto"/>
        <w:tabs>
          <w:tab w:leader="none" w:pos="1163" w:val="left"/>
        </w:tabs>
        <w:numPr>
          <w:ilvl w:val="1"/>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w:t>
      </w:r>
    </w:p>
    <w:p>
      <w:pPr>
        <w:spacing w:after="0" w:line="319" w:lineRule="exact"/>
        <w:rPr>
          <w:rFonts w:ascii="Times New Roman" w:cs="Times New Roman" w:eastAsia="Times New Roman" w:hAnsi="Times New Roman"/>
          <w:sz w:val="16"/>
          <w:szCs w:val="16"/>
          <w:color w:val="auto"/>
        </w:rPr>
      </w:pPr>
    </w:p>
    <w:p>
      <w:pPr>
        <w:ind w:left="5603" w:hanging="84"/>
        <w:spacing w:after="0"/>
        <w:tabs>
          <w:tab w:leader="none" w:pos="5603" w:val="left"/>
        </w:tabs>
        <w:numPr>
          <w:ilvl w:val="2"/>
          <w:numId w:val="2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74" w:name="page275"/>
    <w:bookmarkEnd w:id="274"/>
    <w:p>
      <w:pPr>
        <w:ind w:left="578" w:hanging="578"/>
        <w:spacing w:after="0"/>
        <w:tabs>
          <w:tab w:leader="none" w:pos="578" w:val="left"/>
        </w:tabs>
        <w:numPr>
          <w:ilvl w:val="0"/>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existing By-laws of the Trustee (Exhibit 4 to Form T-1 filed with Registration Statement No. 333-261533).</w:t>
      </w:r>
    </w:p>
    <w:p>
      <w:pPr>
        <w:spacing w:after="0" w:line="206" w:lineRule="exact"/>
        <w:rPr>
          <w:sz w:val="20"/>
          <w:szCs w:val="20"/>
          <w:color w:val="auto"/>
        </w:rPr>
      </w:pPr>
    </w:p>
    <w:p>
      <w:pPr>
        <w:ind w:left="578" w:hanging="578"/>
        <w:spacing w:after="0"/>
        <w:tabs>
          <w:tab w:leader="none" w:pos="578" w:val="left"/>
        </w:tabs>
        <w:numPr>
          <w:ilvl w:val="0"/>
          <w:numId w:val="2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consent of the Trustee required by Section 321(b) of the Act (Exhibit 6 to Form T-1 filed with Registration Statement No. 333-229519).</w:t>
      </w:r>
    </w:p>
    <w:p>
      <w:pPr>
        <w:spacing w:after="0" w:line="205" w:lineRule="exact"/>
        <w:rPr>
          <w:rFonts w:ascii="Times New Roman" w:cs="Times New Roman" w:eastAsia="Times New Roman" w:hAnsi="Times New Roman"/>
          <w:sz w:val="16"/>
          <w:szCs w:val="16"/>
          <w:color w:val="auto"/>
        </w:rPr>
      </w:pPr>
    </w:p>
    <w:p>
      <w:pPr>
        <w:ind w:left="578" w:hanging="578"/>
        <w:spacing w:after="0"/>
        <w:tabs>
          <w:tab w:leader="none" w:pos="578" w:val="left"/>
        </w:tabs>
        <w:numPr>
          <w:ilvl w:val="0"/>
          <w:numId w:val="2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latest report of condition of the Trustee published pursuant to law or to the requirements of its supervising or examining authority.</w:t>
      </w:r>
    </w:p>
    <w:p>
      <w:pPr>
        <w:spacing w:after="0" w:line="360" w:lineRule="exact"/>
        <w:rPr>
          <w:rFonts w:ascii="Times New Roman" w:cs="Times New Roman" w:eastAsia="Times New Roman" w:hAnsi="Times New Roman"/>
          <w:sz w:val="16"/>
          <w:szCs w:val="16"/>
          <w:color w:val="auto"/>
        </w:rPr>
      </w:pPr>
    </w:p>
    <w:p>
      <w:pPr>
        <w:ind w:left="5018" w:hanging="84"/>
        <w:spacing w:after="0"/>
        <w:tabs>
          <w:tab w:leader="none" w:pos="5018" w:val="left"/>
        </w:tabs>
        <w:numPr>
          <w:ilvl w:val="1"/>
          <w:numId w:val="2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33655</wp:posOffset>
            </wp:positionV>
            <wp:extent cx="7145655" cy="152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9958"/>
          </w:cols>
          <w:pgMar w:left="902" w:top="123" w:right="1039" w:bottom="1440" w:gutter="0" w:footer="0" w:header="0"/>
        </w:sectPr>
      </w:pPr>
    </w:p>
    <w:bookmarkStart w:id="275" w:name="page276"/>
    <w:bookmarkEnd w:id="275"/>
    <w:p>
      <w:pPr>
        <w:jc w:val="center"/>
        <w:spacing w:after="0"/>
        <w:rPr>
          <w:sz w:val="20"/>
          <w:szCs w:val="20"/>
          <w:color w:val="auto"/>
        </w:rPr>
      </w:pPr>
      <w:r>
        <w:rPr>
          <w:rFonts w:ascii="Times New Roman" w:cs="Times New Roman" w:eastAsia="Times New Roman" w:hAnsi="Times New Roman"/>
          <w:sz w:val="16"/>
          <w:szCs w:val="16"/>
          <w:color w:val="auto"/>
        </w:rPr>
        <w:t>SIGNATURE</w:t>
      </w:r>
    </w:p>
    <w:p>
      <w:pPr>
        <w:spacing w:after="0" w:line="206" w:lineRule="exact"/>
        <w:rPr>
          <w:sz w:val="20"/>
          <w:szCs w:val="20"/>
          <w:color w:val="auto"/>
        </w:rPr>
      </w:pPr>
    </w:p>
    <w:p>
      <w:pPr>
        <w:jc w:val="both"/>
        <w:ind w:firstLine="585"/>
        <w:spacing w:after="0" w:line="271" w:lineRule="auto"/>
        <w:rPr>
          <w:sz w:val="20"/>
          <w:szCs w:val="20"/>
          <w:color w:val="auto"/>
        </w:rPr>
      </w:pPr>
      <w:r>
        <w:rPr>
          <w:rFonts w:ascii="Times New Roman" w:cs="Times New Roman" w:eastAsia="Times New Roman" w:hAnsi="Times New Roman"/>
          <w:sz w:val="16"/>
          <w:szCs w:val="16"/>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Pittsburgh, and State of Pennsylvania, on the 2nd day of May, 2025.</w:t>
      </w:r>
    </w:p>
    <w:p>
      <w:pPr>
        <w:spacing w:after="0" w:line="1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THE BANK OF NEW YORK MELLON</w:t>
      </w:r>
    </w:p>
    <w:p>
      <w:pPr>
        <w:spacing w:after="0" w:line="206"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6"/>
          <w:szCs w:val="16"/>
          <w:color w:val="auto"/>
        </w:rPr>
        <w:t>By:</w:t>
        <w:tab/>
        <w:t>/s/ Nathaniel Henkle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25400</wp:posOffset>
            </wp:positionV>
            <wp:extent cx="3279140" cy="152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9">
                      <a:extLst>
                        <a:ext uri="{28A0092B-C50C-407E-A947-70E740481C1C}"/>
                      </a:extLst>
                    </a:blip>
                    <a:srcRect/>
                    <a:stretch>
                      <a:fillRect/>
                    </a:stretch>
                  </pic:blipFill>
                  <pic:spPr bwMode="auto">
                    <a:xfrm>
                      <a:off x="0" y="0"/>
                      <a:ext cx="3279140" cy="15240"/>
                    </a:xfrm>
                    <a:prstGeom prst="rect">
                      <a:avLst/>
                    </a:prstGeom>
                    <a:noFill/>
                  </pic:spPr>
                </pic:pic>
              </a:graphicData>
            </a:graphic>
          </wp:anchor>
        </w:drawing>
      </w:r>
    </w:p>
    <w:p>
      <w:pPr>
        <w:spacing w:after="0" w:line="27" w:lineRule="exact"/>
        <w:rPr>
          <w:sz w:val="20"/>
          <w:szCs w:val="20"/>
          <w:color w:val="auto"/>
        </w:rPr>
      </w:pPr>
    </w:p>
    <w:p>
      <w:pPr>
        <w:ind w:left="6080"/>
        <w:spacing w:after="0"/>
        <w:tabs>
          <w:tab w:leader="none" w:pos="6740" w:val="left"/>
        </w:tabs>
        <w:rPr>
          <w:sz w:val="20"/>
          <w:szCs w:val="20"/>
          <w:color w:val="auto"/>
        </w:rPr>
      </w:pPr>
      <w:r>
        <w:rPr>
          <w:rFonts w:ascii="Times New Roman" w:cs="Times New Roman" w:eastAsia="Times New Roman" w:hAnsi="Times New Roman"/>
          <w:sz w:val="16"/>
          <w:szCs w:val="16"/>
          <w:color w:val="auto"/>
        </w:rPr>
        <w:t>Name:</w:t>
        <w:tab/>
        <w:t>Nathaniel Henkle</w:t>
      </w:r>
    </w:p>
    <w:p>
      <w:pPr>
        <w:spacing w:after="0" w:line="27" w:lineRule="exact"/>
        <w:rPr>
          <w:sz w:val="20"/>
          <w:szCs w:val="20"/>
          <w:color w:val="auto"/>
        </w:rPr>
      </w:pPr>
    </w:p>
    <w:p>
      <w:pPr>
        <w:ind w:left="6080"/>
        <w:spacing w:after="0"/>
        <w:tabs>
          <w:tab w:leader="none" w:pos="674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Agent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6" w:name="page277"/>
    <w:bookmarkEnd w:id="276"/>
    <w:p>
      <w:pPr>
        <w:ind w:left="10620"/>
        <w:spacing w:after="0"/>
        <w:rPr>
          <w:sz w:val="20"/>
          <w:szCs w:val="20"/>
          <w:color w:val="auto"/>
        </w:rPr>
      </w:pPr>
      <w:r>
        <w:rPr>
          <w:rFonts w:ascii="Times New Roman" w:cs="Times New Roman" w:eastAsia="Times New Roman" w:hAnsi="Times New Roman"/>
          <w:sz w:val="16"/>
          <w:szCs w:val="16"/>
          <w:b w:val="1"/>
          <w:bCs w:val="1"/>
          <w:color w:val="auto"/>
        </w:rPr>
        <w:t>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145655"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Report of Condition 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BANK OF NEW YORK MELLON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of 240 Greenwich Street, New York, N.Y. 10286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And Foreign and Domestic Subsidiaries,</w:t>
      </w:r>
    </w:p>
    <w:p>
      <w:pPr>
        <w:spacing w:after="0" w:line="1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a member of the Federal Reserve System, at the close of business December 31, 2024, published in accordance with a call made by the Federal Reserve Bank of this District pursuant to the provisions of the Federal Reserve Act.</w:t>
      </w:r>
    </w:p>
    <w:p>
      <w:pPr>
        <w:spacing w:after="0" w:line="156" w:lineRule="exact"/>
        <w:rPr>
          <w:sz w:val="20"/>
          <w:szCs w:val="20"/>
          <w:color w:val="auto"/>
        </w:rPr>
      </w:pPr>
    </w:p>
    <w:p>
      <w:pPr>
        <w:spacing w:after="0"/>
        <w:tabs>
          <w:tab w:leader="none" w:pos="9360" w:val="left"/>
        </w:tabs>
        <w:rPr>
          <w:sz w:val="20"/>
          <w:szCs w:val="20"/>
          <w:color w:val="auto"/>
        </w:rPr>
      </w:pPr>
      <w:r>
        <w:rPr>
          <w:rFonts w:ascii="Times New Roman" w:cs="Times New Roman" w:eastAsia="Times New Roman" w:hAnsi="Times New Roman"/>
          <w:sz w:val="16"/>
          <w:szCs w:val="16"/>
          <w:b w:val="1"/>
          <w:bCs w:val="1"/>
          <w:color w:val="auto"/>
        </w:rPr>
        <w:t>ASSETS</w:t>
      </w:r>
      <w:r>
        <w:rPr>
          <w:sz w:val="20"/>
          <w:szCs w:val="20"/>
          <w:color w:val="auto"/>
        </w:rPr>
        <w:tab/>
      </w:r>
      <w:r>
        <w:rPr>
          <w:rFonts w:ascii="Times New Roman" w:cs="Times New Roman" w:eastAsia="Times New Roman" w:hAnsi="Times New Roman"/>
          <w:sz w:val="16"/>
          <w:szCs w:val="16"/>
          <w:color w:val="auto"/>
        </w:rPr>
        <w:t>Dollar amounts in thousands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balances due from depository institutions:</w:t>
      </w:r>
    </w:p>
    <w:p>
      <w:pPr>
        <w:spacing w:after="0" w:line="27" w:lineRule="exact"/>
        <w:rPr>
          <w:sz w:val="20"/>
          <w:szCs w:val="20"/>
          <w:color w:val="auto"/>
        </w:rPr>
      </w:pPr>
    </w:p>
    <w:p>
      <w:pPr>
        <w:ind w:left="140"/>
        <w:spacing w:after="0"/>
        <w:tabs>
          <w:tab w:leader="dot" w:pos="10580" w:val="left"/>
        </w:tabs>
        <w:rPr>
          <w:sz w:val="20"/>
          <w:szCs w:val="20"/>
          <w:color w:val="auto"/>
        </w:rPr>
      </w:pPr>
      <w:r>
        <w:rPr>
          <w:rFonts w:ascii="Times New Roman" w:cs="Times New Roman" w:eastAsia="Times New Roman" w:hAnsi="Times New Roman"/>
          <w:sz w:val="16"/>
          <w:szCs w:val="16"/>
          <w:color w:val="auto"/>
        </w:rPr>
        <w:t>Noninterest-bearing balances and currency and coin</w:t>
      </w:r>
      <w:r>
        <w:rPr>
          <w:sz w:val="20"/>
          <w:szCs w:val="20"/>
          <w:color w:val="auto"/>
        </w:rPr>
        <w:tab/>
      </w:r>
      <w:r>
        <w:rPr>
          <w:rFonts w:ascii="Times New Roman" w:cs="Times New Roman" w:eastAsia="Times New Roman" w:hAnsi="Times New Roman"/>
          <w:sz w:val="16"/>
          <w:szCs w:val="16"/>
          <w:color w:val="auto"/>
        </w:rPr>
        <w:t>3,316,000</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Interest-bearing balances</w:t>
      </w:r>
      <w:r>
        <w:rPr>
          <w:sz w:val="20"/>
          <w:szCs w:val="20"/>
          <w:color w:val="auto"/>
        </w:rPr>
        <w:tab/>
      </w:r>
      <w:r>
        <w:rPr>
          <w:rFonts w:ascii="Times New Roman" w:cs="Times New Roman" w:eastAsia="Times New Roman" w:hAnsi="Times New Roman"/>
          <w:sz w:val="16"/>
          <w:szCs w:val="16"/>
          <w:color w:val="auto"/>
        </w:rPr>
        <w:t>96,711,000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Held-to-maturity securities</w:t>
      </w:r>
      <w:r>
        <w:rPr>
          <w:sz w:val="20"/>
          <w:szCs w:val="20"/>
          <w:color w:val="auto"/>
        </w:rPr>
        <w:tab/>
      </w:r>
      <w:r>
        <w:rPr>
          <w:rFonts w:ascii="Times New Roman" w:cs="Times New Roman" w:eastAsia="Times New Roman" w:hAnsi="Times New Roman"/>
          <w:sz w:val="16"/>
          <w:szCs w:val="16"/>
          <w:color w:val="auto"/>
        </w:rPr>
        <w:t>48,596,000</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Available-for-sale debt securities</w:t>
      </w:r>
      <w:r>
        <w:rPr>
          <w:sz w:val="20"/>
          <w:szCs w:val="20"/>
          <w:color w:val="auto"/>
        </w:rPr>
        <w:tab/>
      </w:r>
      <w:r>
        <w:rPr>
          <w:rFonts w:ascii="Times New Roman" w:cs="Times New Roman" w:eastAsia="Times New Roman" w:hAnsi="Times New Roman"/>
          <w:sz w:val="16"/>
          <w:szCs w:val="16"/>
          <w:color w:val="auto"/>
        </w:rPr>
        <w:t>87,787,000</w:t>
      </w:r>
    </w:p>
    <w:p>
      <w:pPr>
        <w:spacing w:after="0" w:line="11" w:lineRule="exact"/>
        <w:rPr>
          <w:sz w:val="20"/>
          <w:szCs w:val="20"/>
          <w:color w:val="auto"/>
        </w:rPr>
      </w:pPr>
    </w:p>
    <w:p>
      <w:pPr>
        <w:ind w:left="140"/>
        <w:spacing w:after="0"/>
        <w:tabs>
          <w:tab w:leader="dot" w:pos="11140" w:val="left"/>
        </w:tabs>
        <w:rPr>
          <w:sz w:val="20"/>
          <w:szCs w:val="20"/>
          <w:color w:val="auto"/>
        </w:rPr>
      </w:pPr>
      <w:r>
        <w:rPr>
          <w:rFonts w:ascii="Times New Roman" w:cs="Times New Roman" w:eastAsia="Times New Roman" w:hAnsi="Times New Roman"/>
          <w:sz w:val="16"/>
          <w:szCs w:val="16"/>
          <w:color w:val="auto"/>
        </w:rPr>
        <w:t>Equity securities with readily determinable fair values not held for trading</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Federal funds sold and securities purchased under agreements to resell:</w:t>
      </w:r>
    </w:p>
    <w:p>
      <w:pPr>
        <w:spacing w:after="0" w:line="11" w:lineRule="exact"/>
        <w:rPr>
          <w:sz w:val="20"/>
          <w:szCs w:val="20"/>
          <w:color w:val="auto"/>
        </w:rPr>
      </w:pPr>
    </w:p>
    <w:p>
      <w:pPr>
        <w:ind w:left="140"/>
        <w:spacing w:after="0"/>
        <w:tabs>
          <w:tab w:leader="dot" w:pos="11140" w:val="left"/>
        </w:tabs>
        <w:rPr>
          <w:sz w:val="20"/>
          <w:szCs w:val="20"/>
          <w:color w:val="auto"/>
        </w:rPr>
      </w:pPr>
      <w:r>
        <w:rPr>
          <w:rFonts w:ascii="Times New Roman" w:cs="Times New Roman" w:eastAsia="Times New Roman" w:hAnsi="Times New Roman"/>
          <w:sz w:val="16"/>
          <w:szCs w:val="16"/>
          <w:color w:val="auto"/>
        </w:rPr>
        <w:t>Federal funds sold in domestic offices</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Securities purchased under agreements to resell</w:t>
      </w:r>
      <w:r>
        <w:rPr>
          <w:sz w:val="20"/>
          <w:szCs w:val="20"/>
          <w:color w:val="auto"/>
        </w:rPr>
        <w:tab/>
      </w:r>
      <w:r>
        <w:rPr>
          <w:rFonts w:ascii="Times New Roman" w:cs="Times New Roman" w:eastAsia="Times New Roman" w:hAnsi="Times New Roman"/>
          <w:sz w:val="16"/>
          <w:szCs w:val="16"/>
          <w:color w:val="auto"/>
        </w:rPr>
        <w:t>24,014,000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Loans and lease financing receivables:</w:t>
      </w:r>
    </w:p>
    <w:p>
      <w:pPr>
        <w:spacing w:after="0" w:line="11" w:lineRule="exact"/>
        <w:rPr>
          <w:sz w:val="20"/>
          <w:szCs w:val="20"/>
          <w:color w:val="auto"/>
        </w:rPr>
      </w:pPr>
    </w:p>
    <w:p>
      <w:pPr>
        <w:ind w:left="140"/>
        <w:spacing w:after="0"/>
        <w:tabs>
          <w:tab w:leader="dot" w:pos="11140" w:val="left"/>
        </w:tabs>
        <w:rPr>
          <w:sz w:val="20"/>
          <w:szCs w:val="20"/>
          <w:color w:val="auto"/>
        </w:rPr>
      </w:pPr>
      <w:r>
        <w:rPr>
          <w:rFonts w:ascii="Times New Roman" w:cs="Times New Roman" w:eastAsia="Times New Roman" w:hAnsi="Times New Roman"/>
          <w:sz w:val="16"/>
          <w:szCs w:val="16"/>
          <w:color w:val="auto"/>
        </w:rPr>
        <w:t>Loans and leases held for sale</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Loans and leases held for investment</w:t>
      </w:r>
      <w:r>
        <w:rPr>
          <w:sz w:val="20"/>
          <w:szCs w:val="20"/>
          <w:color w:val="auto"/>
        </w:rPr>
        <w:tab/>
      </w:r>
      <w:r>
        <w:rPr>
          <w:rFonts w:ascii="Times New Roman" w:cs="Times New Roman" w:eastAsia="Times New Roman" w:hAnsi="Times New Roman"/>
          <w:sz w:val="16"/>
          <w:szCs w:val="16"/>
          <w:color w:val="auto"/>
        </w:rPr>
        <w:t>37,084,000</w:t>
      </w:r>
    </w:p>
    <w:p>
      <w:pPr>
        <w:spacing w:after="0" w:line="11" w:lineRule="exact"/>
        <w:rPr>
          <w:sz w:val="20"/>
          <w:szCs w:val="20"/>
          <w:color w:val="auto"/>
        </w:rPr>
      </w:pPr>
    </w:p>
    <w:p>
      <w:pPr>
        <w:ind w:left="140"/>
        <w:spacing w:after="0"/>
        <w:tabs>
          <w:tab w:leader="dot" w:pos="10700" w:val="left"/>
        </w:tabs>
        <w:rPr>
          <w:sz w:val="20"/>
          <w:szCs w:val="20"/>
          <w:color w:val="auto"/>
        </w:rPr>
      </w:pPr>
      <w:r>
        <w:rPr>
          <w:rFonts w:ascii="Times New Roman" w:cs="Times New Roman" w:eastAsia="Times New Roman" w:hAnsi="Times New Roman"/>
          <w:sz w:val="16"/>
          <w:szCs w:val="16"/>
          <w:color w:val="auto"/>
        </w:rPr>
        <w:t>LESS: Allowance for credit losses on loans and leases</w:t>
      </w:r>
      <w:r>
        <w:rPr>
          <w:sz w:val="20"/>
          <w:szCs w:val="20"/>
          <w:color w:val="auto"/>
        </w:rPr>
        <w:tab/>
      </w:r>
      <w:r>
        <w:rPr>
          <w:rFonts w:ascii="Times New Roman" w:cs="Times New Roman" w:eastAsia="Times New Roman" w:hAnsi="Times New Roman"/>
          <w:sz w:val="16"/>
          <w:szCs w:val="16"/>
          <w:color w:val="auto"/>
        </w:rPr>
        <w:t>272,000</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Loans and leases held for investment, net of allowance</w:t>
      </w:r>
      <w:r>
        <w:rPr>
          <w:sz w:val="20"/>
          <w:szCs w:val="20"/>
          <w:color w:val="auto"/>
        </w:rPr>
        <w:tab/>
      </w:r>
      <w:r>
        <w:rPr>
          <w:rFonts w:ascii="Times New Roman" w:cs="Times New Roman" w:eastAsia="Times New Roman" w:hAnsi="Times New Roman"/>
          <w:sz w:val="16"/>
          <w:szCs w:val="16"/>
          <w:color w:val="auto"/>
        </w:rPr>
        <w:t>36,812,000</w:t>
      </w:r>
    </w:p>
    <w:p>
      <w:pPr>
        <w:spacing w:after="0" w:line="11"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16"/>
          <w:szCs w:val="16"/>
          <w:color w:val="auto"/>
        </w:rPr>
        <w:t>Trading assets</w:t>
      </w:r>
      <w:r>
        <w:rPr>
          <w:sz w:val="20"/>
          <w:szCs w:val="20"/>
          <w:color w:val="auto"/>
        </w:rPr>
        <w:tab/>
      </w:r>
      <w:r>
        <w:rPr>
          <w:rFonts w:ascii="Times New Roman" w:cs="Times New Roman" w:eastAsia="Times New Roman" w:hAnsi="Times New Roman"/>
          <w:sz w:val="16"/>
          <w:szCs w:val="16"/>
          <w:color w:val="auto"/>
        </w:rPr>
        <w:t>7,593,000</w:t>
      </w:r>
    </w:p>
    <w:p>
      <w:pPr>
        <w:spacing w:after="0" w:line="11"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16"/>
          <w:szCs w:val="16"/>
          <w:color w:val="auto"/>
        </w:rPr>
        <w:t>Premises and fixed assets (including right-of-use assets)</w:t>
      </w:r>
      <w:r>
        <w:rPr>
          <w:sz w:val="20"/>
          <w:szCs w:val="20"/>
          <w:color w:val="auto"/>
        </w:rPr>
        <w:tab/>
      </w:r>
      <w:r>
        <w:rPr>
          <w:rFonts w:ascii="Times New Roman" w:cs="Times New Roman" w:eastAsia="Times New Roman" w:hAnsi="Times New Roman"/>
          <w:sz w:val="16"/>
          <w:szCs w:val="16"/>
          <w:color w:val="auto"/>
        </w:rPr>
        <w:t>2,912,000</w:t>
      </w:r>
    </w:p>
    <w:p>
      <w:pPr>
        <w:spacing w:after="0" w:line="11" w:lineRule="exact"/>
        <w:rPr>
          <w:sz w:val="20"/>
          <w:szCs w:val="20"/>
          <w:color w:val="auto"/>
        </w:rPr>
      </w:pPr>
    </w:p>
    <w:p>
      <w:pPr>
        <w:spacing w:after="0"/>
        <w:tabs>
          <w:tab w:leader="dot" w:pos="11140" w:val="left"/>
        </w:tabs>
        <w:rPr>
          <w:sz w:val="20"/>
          <w:szCs w:val="20"/>
          <w:color w:val="auto"/>
        </w:rPr>
      </w:pPr>
      <w:r>
        <w:rPr>
          <w:rFonts w:ascii="Times New Roman" w:cs="Times New Roman" w:eastAsia="Times New Roman" w:hAnsi="Times New Roman"/>
          <w:sz w:val="16"/>
          <w:szCs w:val="16"/>
          <w:color w:val="auto"/>
        </w:rPr>
        <w:t>Other real estate owned</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16"/>
          <w:szCs w:val="16"/>
          <w:color w:val="auto"/>
        </w:rPr>
        <w:t>Investments in unconsolidated subsidiaries and associated companies</w:t>
      </w:r>
      <w:r>
        <w:rPr>
          <w:sz w:val="20"/>
          <w:szCs w:val="20"/>
          <w:color w:val="auto"/>
        </w:rPr>
        <w:tab/>
      </w:r>
      <w:r>
        <w:rPr>
          <w:rFonts w:ascii="Times New Roman" w:cs="Times New Roman" w:eastAsia="Times New Roman" w:hAnsi="Times New Roman"/>
          <w:sz w:val="16"/>
          <w:szCs w:val="16"/>
          <w:color w:val="auto"/>
        </w:rPr>
        <w:t>2,021,000</w:t>
      </w:r>
    </w:p>
    <w:p>
      <w:pPr>
        <w:spacing w:after="0" w:line="11" w:lineRule="exact"/>
        <w:rPr>
          <w:sz w:val="20"/>
          <w:szCs w:val="20"/>
          <w:color w:val="auto"/>
        </w:rPr>
      </w:pPr>
    </w:p>
    <w:p>
      <w:pPr>
        <w:spacing w:after="0"/>
        <w:tabs>
          <w:tab w:leader="dot" w:pos="11140" w:val="left"/>
        </w:tabs>
        <w:rPr>
          <w:sz w:val="20"/>
          <w:szCs w:val="20"/>
          <w:color w:val="auto"/>
        </w:rPr>
      </w:pPr>
      <w:r>
        <w:rPr>
          <w:rFonts w:ascii="Times New Roman" w:cs="Times New Roman" w:eastAsia="Times New Roman" w:hAnsi="Times New Roman"/>
          <w:sz w:val="16"/>
          <w:szCs w:val="16"/>
          <w:color w:val="auto"/>
        </w:rPr>
        <w:t>Direct and indirect investments in real estate ventures</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16"/>
          <w:szCs w:val="16"/>
          <w:color w:val="auto"/>
        </w:rPr>
        <w:t>Intangible assets</w:t>
      </w:r>
      <w:r>
        <w:rPr>
          <w:sz w:val="20"/>
          <w:szCs w:val="20"/>
          <w:color w:val="auto"/>
        </w:rPr>
        <w:tab/>
      </w:r>
      <w:r>
        <w:rPr>
          <w:rFonts w:ascii="Times New Roman" w:cs="Times New Roman" w:eastAsia="Times New Roman" w:hAnsi="Times New Roman"/>
          <w:sz w:val="16"/>
          <w:szCs w:val="16"/>
          <w:color w:val="auto"/>
        </w:rPr>
        <w:t>7,329,000</w:t>
      </w:r>
    </w:p>
    <w:p>
      <w:pPr>
        <w:spacing w:after="0" w:line="11" w:lineRule="exact"/>
        <w:rPr>
          <w:sz w:val="20"/>
          <w:szCs w:val="20"/>
          <w:color w:val="auto"/>
        </w:rPr>
      </w:pPr>
    </w:p>
    <w:p>
      <w:pPr>
        <w:spacing w:after="0"/>
        <w:tabs>
          <w:tab w:leader="dot" w:pos="10500" w:val="left"/>
        </w:tabs>
        <w:rPr>
          <w:sz w:val="20"/>
          <w:szCs w:val="20"/>
          <w:color w:val="auto"/>
        </w:rPr>
      </w:pPr>
      <w:r>
        <w:rPr>
          <w:rFonts w:ascii="Times New Roman" w:cs="Times New Roman" w:eastAsia="Times New Roman" w:hAnsi="Times New Roman"/>
          <w:sz w:val="16"/>
          <w:szCs w:val="16"/>
          <w:color w:val="auto"/>
        </w:rPr>
        <w:t>Other assets</w:t>
      </w:r>
      <w:r>
        <w:rPr>
          <w:sz w:val="20"/>
          <w:szCs w:val="20"/>
          <w:color w:val="auto"/>
        </w:rPr>
        <w:tab/>
      </w:r>
      <w:r>
        <w:rPr>
          <w:rFonts w:ascii="Times New Roman" w:cs="Times New Roman" w:eastAsia="Times New Roman" w:hAnsi="Times New Roman"/>
          <w:sz w:val="16"/>
          <w:szCs w:val="16"/>
          <w:color w:val="auto"/>
        </w:rPr>
        <w:t>18,864,000</w:t>
      </w:r>
    </w:p>
    <w:p>
      <w:pPr>
        <w:spacing w:after="0" w:line="23" w:lineRule="exact"/>
        <w:rPr>
          <w:sz w:val="20"/>
          <w:szCs w:val="20"/>
          <w:color w:val="auto"/>
        </w:rPr>
      </w:pPr>
    </w:p>
    <w:p>
      <w:pPr>
        <w:spacing w:after="0"/>
        <w:tabs>
          <w:tab w:leader="dot" w:pos="10420" w:val="left"/>
        </w:tabs>
        <w:rPr>
          <w:sz w:val="20"/>
          <w:szCs w:val="20"/>
          <w:color w:val="auto"/>
        </w:rPr>
      </w:pPr>
      <w:r>
        <w:rPr>
          <w:rFonts w:ascii="Times New Roman" w:cs="Times New Roman" w:eastAsia="Times New Roman" w:hAnsi="Times New Roman"/>
          <w:sz w:val="16"/>
          <w:szCs w:val="16"/>
          <w:color w:val="auto"/>
        </w:rPr>
        <w:t>Total assets</w:t>
      </w:r>
      <w:r>
        <w:rPr>
          <w:sz w:val="20"/>
          <w:szCs w:val="20"/>
          <w:color w:val="auto"/>
        </w:rPr>
        <w:tab/>
      </w:r>
      <w:r>
        <w:rPr>
          <w:rFonts w:ascii="Times New Roman" w:cs="Times New Roman" w:eastAsia="Times New Roman" w:hAnsi="Times New Roman"/>
          <w:sz w:val="16"/>
          <w:szCs w:val="16"/>
          <w:color w:val="auto"/>
        </w:rPr>
        <w:t>335,955,000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6432550</wp:posOffset>
            </wp:positionH>
            <wp:positionV relativeFrom="paragraph">
              <wp:posOffset>30480</wp:posOffset>
            </wp:positionV>
            <wp:extent cx="711200"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2">
                      <a:extLst>
                        <a:ext uri="{28A0092B-C50C-407E-A947-70E740481C1C}"/>
                      </a:extLst>
                    </a:blip>
                    <a:srcRect/>
                    <a:stretch>
                      <a:fillRect/>
                    </a:stretch>
                  </pic:blipFill>
                  <pic:spPr bwMode="auto">
                    <a:xfrm>
                      <a:off x="0" y="0"/>
                      <a:ext cx="711200" cy="7620"/>
                    </a:xfrm>
                    <a:prstGeom prst="rect">
                      <a:avLst/>
                    </a:prstGeom>
                    <a:noFill/>
                  </pic:spPr>
                </pic:pic>
              </a:graphicData>
            </a:graphic>
          </wp:anchor>
        </w:drawing>
        <w:drawing>
          <wp:anchor simplePos="0" relativeHeight="251657728" behindDoc="1" locked="0" layoutInCell="0" allowOverlap="1">
            <wp:simplePos x="0" y="0"/>
            <wp:positionH relativeFrom="column">
              <wp:posOffset>6432550</wp:posOffset>
            </wp:positionH>
            <wp:positionV relativeFrom="paragraph">
              <wp:posOffset>53975</wp:posOffset>
            </wp:positionV>
            <wp:extent cx="711200"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3">
                      <a:extLst>
                        <a:ext uri="{28A0092B-C50C-407E-A947-70E740481C1C}"/>
                      </a:extLst>
                    </a:blip>
                    <a:srcRect/>
                    <a:stretch>
                      <a:fillRect/>
                    </a:stretch>
                  </pic:blipFill>
                  <pic:spPr bwMode="auto">
                    <a:xfrm>
                      <a:off x="0" y="0"/>
                      <a:ext cx="711200" cy="7620"/>
                    </a:xfrm>
                    <a:prstGeom prst="rect">
                      <a:avLst/>
                    </a:prstGeom>
                    <a:noFill/>
                  </pic:spPr>
                </pic:pic>
              </a:graphicData>
            </a:graphic>
          </wp:anchor>
        </w:drawing>
        <w:drawing>
          <wp:anchor simplePos="0" relativeHeight="251657728" behindDoc="1" locked="0" layoutInCell="0" allowOverlap="1">
            <wp:simplePos x="0" y="0"/>
            <wp:positionH relativeFrom="column">
              <wp:posOffset>6432550</wp:posOffset>
            </wp:positionH>
            <wp:positionV relativeFrom="paragraph">
              <wp:posOffset>-115570</wp:posOffset>
            </wp:positionV>
            <wp:extent cx="711200" cy="152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4">
                      <a:extLst>
                        <a:ext uri="{28A0092B-C50C-407E-A947-70E740481C1C}"/>
                      </a:extLst>
                    </a:blip>
                    <a:srcRect/>
                    <a:stretch>
                      <a:fillRect/>
                    </a:stretch>
                  </pic:blipFill>
                  <pic:spPr bwMode="auto">
                    <a:xfrm>
                      <a:off x="0" y="0"/>
                      <a:ext cx="711200" cy="15240"/>
                    </a:xfrm>
                    <a:prstGeom prst="rect">
                      <a:avLst/>
                    </a:prstGeom>
                    <a:noFill/>
                  </pic:spPr>
                </pic:pic>
              </a:graphicData>
            </a:graphic>
          </wp:anchor>
        </w:drawing>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Deposits:</w:t>
      </w:r>
    </w:p>
    <w:p>
      <w:pPr>
        <w:spacing w:after="0" w:line="11" w:lineRule="exact"/>
        <w:rPr>
          <w:sz w:val="20"/>
          <w:szCs w:val="20"/>
          <w:color w:val="auto"/>
        </w:rPr>
      </w:pPr>
    </w:p>
    <w:p>
      <w:pPr>
        <w:ind w:left="140"/>
        <w:spacing w:after="0"/>
        <w:tabs>
          <w:tab w:leader="dot" w:pos="10420" w:val="left"/>
        </w:tabs>
        <w:rPr>
          <w:sz w:val="20"/>
          <w:szCs w:val="20"/>
          <w:color w:val="auto"/>
        </w:rPr>
      </w:pPr>
      <w:r>
        <w:rPr>
          <w:rFonts w:ascii="Times New Roman" w:cs="Times New Roman" w:eastAsia="Times New Roman" w:hAnsi="Times New Roman"/>
          <w:sz w:val="16"/>
          <w:szCs w:val="16"/>
          <w:color w:val="auto"/>
        </w:rPr>
        <w:t>In domestic offices</w:t>
      </w:r>
      <w:r>
        <w:rPr>
          <w:sz w:val="20"/>
          <w:szCs w:val="20"/>
          <w:color w:val="auto"/>
        </w:rPr>
        <w:tab/>
      </w:r>
      <w:r>
        <w:rPr>
          <w:rFonts w:ascii="Times New Roman" w:cs="Times New Roman" w:eastAsia="Times New Roman" w:hAnsi="Times New Roman"/>
          <w:sz w:val="16"/>
          <w:szCs w:val="16"/>
          <w:color w:val="auto"/>
        </w:rPr>
        <w:t>194,168,000</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Noninterest-bearing</w:t>
      </w:r>
      <w:r>
        <w:rPr>
          <w:sz w:val="20"/>
          <w:szCs w:val="20"/>
          <w:color w:val="auto"/>
        </w:rPr>
        <w:tab/>
      </w:r>
      <w:r>
        <w:rPr>
          <w:rFonts w:ascii="Times New Roman" w:cs="Times New Roman" w:eastAsia="Times New Roman" w:hAnsi="Times New Roman"/>
          <w:sz w:val="16"/>
          <w:szCs w:val="16"/>
          <w:color w:val="auto"/>
        </w:rPr>
        <w:t>61,444,000</w:t>
      </w:r>
    </w:p>
    <w:p>
      <w:pPr>
        <w:spacing w:after="0" w:line="11" w:lineRule="exact"/>
        <w:rPr>
          <w:sz w:val="20"/>
          <w:szCs w:val="20"/>
          <w:color w:val="auto"/>
        </w:rPr>
      </w:pPr>
    </w:p>
    <w:p>
      <w:pPr>
        <w:ind w:left="140"/>
        <w:spacing w:after="0"/>
        <w:tabs>
          <w:tab w:leader="dot" w:pos="10420" w:val="left"/>
        </w:tabs>
        <w:rPr>
          <w:sz w:val="20"/>
          <w:szCs w:val="20"/>
          <w:color w:val="auto"/>
        </w:rPr>
      </w:pPr>
      <w:r>
        <w:rPr>
          <w:rFonts w:ascii="Times New Roman" w:cs="Times New Roman" w:eastAsia="Times New Roman" w:hAnsi="Times New Roman"/>
          <w:sz w:val="16"/>
          <w:szCs w:val="16"/>
          <w:color w:val="auto"/>
        </w:rPr>
        <w:t>Interest-bearing</w:t>
      </w:r>
      <w:r>
        <w:rPr>
          <w:sz w:val="20"/>
          <w:szCs w:val="20"/>
          <w:color w:val="auto"/>
        </w:rPr>
        <w:tab/>
      </w:r>
      <w:r>
        <w:rPr>
          <w:rFonts w:ascii="Times New Roman" w:cs="Times New Roman" w:eastAsia="Times New Roman" w:hAnsi="Times New Roman"/>
          <w:sz w:val="16"/>
          <w:szCs w:val="16"/>
          <w:color w:val="auto"/>
        </w:rPr>
        <w:t>132,724,000</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In foreign offices, Edge and Agreement subsidiaries, and IBFs</w:t>
      </w:r>
      <w:r>
        <w:rPr>
          <w:sz w:val="20"/>
          <w:szCs w:val="20"/>
          <w:color w:val="auto"/>
        </w:rPr>
        <w:tab/>
      </w:r>
      <w:r>
        <w:rPr>
          <w:rFonts w:ascii="Times New Roman" w:cs="Times New Roman" w:eastAsia="Times New Roman" w:hAnsi="Times New Roman"/>
          <w:sz w:val="16"/>
          <w:szCs w:val="16"/>
          <w:color w:val="auto"/>
        </w:rPr>
        <w:t>97,210,000</w:t>
      </w:r>
    </w:p>
    <w:p>
      <w:pPr>
        <w:spacing w:after="0" w:line="11" w:lineRule="exact"/>
        <w:rPr>
          <w:sz w:val="20"/>
          <w:szCs w:val="20"/>
          <w:color w:val="auto"/>
        </w:rPr>
      </w:pPr>
    </w:p>
    <w:p>
      <w:pPr>
        <w:ind w:left="140"/>
        <w:spacing w:after="0"/>
        <w:tabs>
          <w:tab w:leader="dot" w:pos="10580" w:val="left"/>
        </w:tabs>
        <w:rPr>
          <w:sz w:val="20"/>
          <w:szCs w:val="20"/>
          <w:color w:val="auto"/>
        </w:rPr>
      </w:pPr>
      <w:r>
        <w:rPr>
          <w:rFonts w:ascii="Times New Roman" w:cs="Times New Roman" w:eastAsia="Times New Roman" w:hAnsi="Times New Roman"/>
          <w:sz w:val="16"/>
          <w:szCs w:val="16"/>
          <w:color w:val="auto"/>
        </w:rPr>
        <w:t>Noninterest-bearing</w:t>
      </w:r>
      <w:r>
        <w:rPr>
          <w:sz w:val="20"/>
          <w:szCs w:val="20"/>
          <w:color w:val="auto"/>
        </w:rPr>
        <w:tab/>
      </w:r>
      <w:r>
        <w:rPr>
          <w:rFonts w:ascii="Times New Roman" w:cs="Times New Roman" w:eastAsia="Times New Roman" w:hAnsi="Times New Roman"/>
          <w:sz w:val="16"/>
          <w:szCs w:val="16"/>
          <w:color w:val="auto"/>
        </w:rPr>
        <w:t>3,557,000</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Interest-bearing</w:t>
      </w:r>
      <w:r>
        <w:rPr>
          <w:sz w:val="20"/>
          <w:szCs w:val="20"/>
          <w:color w:val="auto"/>
        </w:rPr>
        <w:tab/>
      </w:r>
      <w:r>
        <w:rPr>
          <w:rFonts w:ascii="Times New Roman" w:cs="Times New Roman" w:eastAsia="Times New Roman" w:hAnsi="Times New Roman"/>
          <w:sz w:val="16"/>
          <w:szCs w:val="16"/>
          <w:color w:val="auto"/>
        </w:rPr>
        <w:t>93,653,000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Federal funds purchased and securities sold under agreements to repurchase:</w:t>
      </w:r>
    </w:p>
    <w:p>
      <w:pPr>
        <w:spacing w:after="0" w:line="11" w:lineRule="exact"/>
        <w:rPr>
          <w:sz w:val="20"/>
          <w:szCs w:val="20"/>
          <w:color w:val="auto"/>
        </w:rPr>
      </w:pPr>
    </w:p>
    <w:p>
      <w:pPr>
        <w:ind w:left="140"/>
        <w:spacing w:after="0"/>
        <w:tabs>
          <w:tab w:leader="dot" w:pos="11140" w:val="left"/>
        </w:tabs>
        <w:rPr>
          <w:sz w:val="20"/>
          <w:szCs w:val="20"/>
          <w:color w:val="auto"/>
        </w:rPr>
      </w:pPr>
      <w:r>
        <w:rPr>
          <w:rFonts w:ascii="Times New Roman" w:cs="Times New Roman" w:eastAsia="Times New Roman" w:hAnsi="Times New Roman"/>
          <w:sz w:val="16"/>
          <w:szCs w:val="16"/>
          <w:color w:val="auto"/>
        </w:rPr>
        <w:t>Federal funds purchased in domestic offices</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ind w:left="140"/>
        <w:spacing w:after="0"/>
        <w:tabs>
          <w:tab w:leader="dot" w:pos="10580" w:val="left"/>
        </w:tabs>
        <w:rPr>
          <w:sz w:val="20"/>
          <w:szCs w:val="20"/>
          <w:color w:val="auto"/>
        </w:rPr>
      </w:pPr>
      <w:r>
        <w:rPr>
          <w:rFonts w:ascii="Times New Roman" w:cs="Times New Roman" w:eastAsia="Times New Roman" w:hAnsi="Times New Roman"/>
          <w:sz w:val="16"/>
          <w:szCs w:val="16"/>
          <w:color w:val="auto"/>
        </w:rPr>
        <w:t>Securities sold under agreements to repurchase</w:t>
      </w:r>
      <w:r>
        <w:rPr>
          <w:sz w:val="20"/>
          <w:szCs w:val="20"/>
          <w:color w:val="auto"/>
        </w:rPr>
        <w:tab/>
      </w:r>
      <w:r>
        <w:rPr>
          <w:rFonts w:ascii="Times New Roman" w:cs="Times New Roman" w:eastAsia="Times New Roman" w:hAnsi="Times New Roman"/>
          <w:sz w:val="16"/>
          <w:szCs w:val="16"/>
          <w:color w:val="auto"/>
        </w:rPr>
        <w:t>2,499,000</w:t>
      </w:r>
    </w:p>
    <w:p>
      <w:pPr>
        <w:spacing w:after="0" w:line="11"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16"/>
          <w:szCs w:val="16"/>
          <w:color w:val="auto"/>
        </w:rPr>
        <w:t>Trading liabilities</w:t>
      </w:r>
      <w:r>
        <w:rPr>
          <w:sz w:val="20"/>
          <w:szCs w:val="20"/>
          <w:color w:val="auto"/>
        </w:rPr>
        <w:tab/>
      </w:r>
      <w:r>
        <w:rPr>
          <w:rFonts w:ascii="Times New Roman" w:cs="Times New Roman" w:eastAsia="Times New Roman" w:hAnsi="Times New Roman"/>
          <w:sz w:val="16"/>
          <w:szCs w:val="16"/>
          <w:color w:val="auto"/>
        </w:rPr>
        <w:t>2,911,000</w:t>
      </w:r>
    </w:p>
    <w:p>
      <w:pPr>
        <w:spacing w:after="0" w:line="11" w:lineRule="exact"/>
        <w:rPr>
          <w:sz w:val="20"/>
          <w:szCs w:val="20"/>
          <w:color w:val="auto"/>
        </w:rPr>
      </w:pPr>
    </w:p>
    <w:p>
      <w:pPr>
        <w:spacing w:after="0"/>
        <w:tabs>
          <w:tab w:leader="none" w:pos="10580" w:val="left"/>
        </w:tabs>
        <w:rPr>
          <w:sz w:val="20"/>
          <w:szCs w:val="20"/>
          <w:color w:val="auto"/>
        </w:rPr>
      </w:pPr>
      <w:r>
        <w:rPr>
          <w:rFonts w:ascii="Times New Roman" w:cs="Times New Roman" w:eastAsia="Times New Roman" w:hAnsi="Times New Roman"/>
          <w:sz w:val="16"/>
          <w:szCs w:val="16"/>
          <w:color w:val="auto"/>
        </w:rPr>
        <w:t>Other borrowed money:</w:t>
      </w:r>
      <w:r>
        <w:rPr>
          <w:sz w:val="20"/>
          <w:szCs w:val="20"/>
          <w:color w:val="auto"/>
        </w:rPr>
        <w:tab/>
      </w:r>
      <w:r>
        <w:rPr>
          <w:rFonts w:ascii="Times New Roman" w:cs="Times New Roman" w:eastAsia="Times New Roman" w:hAnsi="Times New Roman"/>
          <w:sz w:val="16"/>
          <w:szCs w:val="16"/>
          <w:color w:val="auto"/>
        </w:rPr>
        <w:t>3,031,000</w:t>
      </w:r>
    </w:p>
    <w:p>
      <w:pPr>
        <w:spacing w:after="0" w:line="11" w:lineRule="exact"/>
        <w:rPr>
          <w:sz w:val="20"/>
          <w:szCs w:val="20"/>
          <w:color w:val="auto"/>
        </w:rPr>
      </w:pPr>
    </w:p>
    <w:p>
      <w:pPr>
        <w:ind w:left="140"/>
        <w:spacing w:after="0"/>
        <w:tabs>
          <w:tab w:leader="none" w:pos="2300" w:val="left"/>
        </w:tabs>
        <w:rPr>
          <w:sz w:val="20"/>
          <w:szCs w:val="20"/>
          <w:color w:val="auto"/>
        </w:rPr>
      </w:pPr>
      <w:r>
        <w:rPr>
          <w:rFonts w:ascii="Times New Roman" w:cs="Times New Roman" w:eastAsia="Times New Roman" w:hAnsi="Times New Roman"/>
          <w:sz w:val="16"/>
          <w:szCs w:val="16"/>
          <w:color w:val="auto"/>
        </w:rPr>
        <w:t>(includes mortgage indebtedness)</w:t>
        <w:tab/>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1" w:lineRule="exact"/>
        <w:rPr>
          <w:sz w:val="20"/>
          <w:szCs w:val="20"/>
          <w:color w:val="auto"/>
        </w:rPr>
      </w:pPr>
    </w:p>
    <w:p>
      <w:pPr>
        <w:spacing w:after="0"/>
        <w:tabs>
          <w:tab w:leader="dot" w:pos="11140" w:val="left"/>
        </w:tabs>
        <w:rPr>
          <w:sz w:val="20"/>
          <w:szCs w:val="20"/>
          <w:color w:val="auto"/>
        </w:rPr>
      </w:pPr>
      <w:r>
        <w:rPr>
          <w:rFonts w:ascii="Times New Roman" w:cs="Times New Roman" w:eastAsia="Times New Roman" w:hAnsi="Times New Roman"/>
          <w:sz w:val="16"/>
          <w:szCs w:val="16"/>
          <w:color w:val="auto"/>
        </w:rPr>
        <w:t>Subordinated notes and debentures</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16"/>
          <w:szCs w:val="16"/>
          <w:color w:val="auto"/>
        </w:rPr>
        <w:t>Other liabilities</w:t>
      </w:r>
      <w:r>
        <w:rPr>
          <w:sz w:val="20"/>
          <w:szCs w:val="20"/>
          <w:color w:val="auto"/>
        </w:rPr>
        <w:tab/>
      </w:r>
      <w:r>
        <w:rPr>
          <w:rFonts w:ascii="Times New Roman" w:cs="Times New Roman" w:eastAsia="Times New Roman" w:hAnsi="Times New Roman"/>
          <w:sz w:val="16"/>
          <w:szCs w:val="16"/>
          <w:color w:val="auto"/>
        </w:rPr>
        <w:t>8,176,000</w:t>
      </w:r>
    </w:p>
    <w:p>
      <w:pPr>
        <w:spacing w:after="0" w:line="11" w:lineRule="exact"/>
        <w:rPr>
          <w:sz w:val="20"/>
          <w:szCs w:val="20"/>
          <w:color w:val="auto"/>
        </w:rPr>
      </w:pPr>
    </w:p>
    <w:p>
      <w:pPr>
        <w:spacing w:after="0"/>
        <w:tabs>
          <w:tab w:leader="dot" w:pos="10420" w:val="left"/>
        </w:tabs>
        <w:rPr>
          <w:sz w:val="20"/>
          <w:szCs w:val="20"/>
          <w:color w:val="auto"/>
        </w:rPr>
      </w:pPr>
      <w:r>
        <w:rPr>
          <w:rFonts w:ascii="Times New Roman" w:cs="Times New Roman" w:eastAsia="Times New Roman" w:hAnsi="Times New Roman"/>
          <w:sz w:val="16"/>
          <w:szCs w:val="16"/>
          <w:color w:val="auto"/>
        </w:rPr>
        <w:t>Total liabilities</w:t>
      </w:r>
      <w:r>
        <w:rPr>
          <w:sz w:val="20"/>
          <w:szCs w:val="20"/>
          <w:color w:val="auto"/>
        </w:rPr>
        <w:tab/>
      </w:r>
      <w:r>
        <w:rPr>
          <w:rFonts w:ascii="Times New Roman" w:cs="Times New Roman" w:eastAsia="Times New Roman" w:hAnsi="Times New Roman"/>
          <w:sz w:val="16"/>
          <w:szCs w:val="16"/>
          <w:color w:val="auto"/>
        </w:rPr>
        <w:t>307,995,000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6432550</wp:posOffset>
            </wp:positionH>
            <wp:positionV relativeFrom="paragraph">
              <wp:posOffset>22860</wp:posOffset>
            </wp:positionV>
            <wp:extent cx="71120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6">
                      <a:extLst>
                        <a:ext uri="{28A0092B-C50C-407E-A947-70E740481C1C}"/>
                      </a:extLst>
                    </a:blip>
                    <a:srcRect/>
                    <a:stretch>
                      <a:fillRect/>
                    </a:stretch>
                  </pic:blipFill>
                  <pic:spPr bwMode="auto">
                    <a:xfrm>
                      <a:off x="0" y="0"/>
                      <a:ext cx="711200" cy="7620"/>
                    </a:xfrm>
                    <a:prstGeom prst="rect">
                      <a:avLst/>
                    </a:prstGeom>
                    <a:noFill/>
                  </pic:spPr>
                </pic:pic>
              </a:graphicData>
            </a:graphic>
          </wp:anchor>
        </w:drawing>
        <w:drawing>
          <wp:anchor simplePos="0" relativeHeight="251657728" behindDoc="1" locked="0" layoutInCell="0" allowOverlap="1">
            <wp:simplePos x="0" y="0"/>
            <wp:positionH relativeFrom="column">
              <wp:posOffset>6432550</wp:posOffset>
            </wp:positionH>
            <wp:positionV relativeFrom="paragraph">
              <wp:posOffset>45720</wp:posOffset>
            </wp:positionV>
            <wp:extent cx="71120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7">
                      <a:extLst>
                        <a:ext uri="{28A0092B-C50C-407E-A947-70E740481C1C}"/>
                      </a:extLst>
                    </a:blip>
                    <a:srcRect/>
                    <a:stretch>
                      <a:fillRect/>
                    </a:stretch>
                  </pic:blipFill>
                  <pic:spPr bwMode="auto">
                    <a:xfrm>
                      <a:off x="0" y="0"/>
                      <a:ext cx="711200" cy="7620"/>
                    </a:xfrm>
                    <a:prstGeom prst="rect">
                      <a:avLst/>
                    </a:prstGeom>
                    <a:noFill/>
                  </pic:spPr>
                </pic:pic>
              </a:graphicData>
            </a:graphic>
          </wp:anchor>
        </w:drawing>
        <w:drawing>
          <wp:anchor simplePos="0" relativeHeight="251657728" behindDoc="1" locked="0" layoutInCell="0" allowOverlap="1">
            <wp:simplePos x="0" y="0"/>
            <wp:positionH relativeFrom="column">
              <wp:posOffset>6432550</wp:posOffset>
            </wp:positionH>
            <wp:positionV relativeFrom="paragraph">
              <wp:posOffset>-115570</wp:posOffset>
            </wp:positionV>
            <wp:extent cx="711200" cy="152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8">
                      <a:extLst>
                        <a:ext uri="{28A0092B-C50C-407E-A947-70E740481C1C}"/>
                      </a:extLst>
                    </a:blip>
                    <a:srcRect/>
                    <a:stretch>
                      <a:fillRect/>
                    </a:stretch>
                  </pic:blipFill>
                  <pic:spPr bwMode="auto">
                    <a:xfrm>
                      <a:off x="0" y="0"/>
                      <a:ext cx="711200" cy="1524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CAPITAL</w:t>
      </w:r>
    </w:p>
    <w:p>
      <w:pPr>
        <w:spacing w:after="0" w:line="29" w:lineRule="exact"/>
        <w:rPr>
          <w:sz w:val="20"/>
          <w:szCs w:val="20"/>
          <w:color w:val="auto"/>
        </w:rPr>
      </w:pPr>
    </w:p>
    <w:p>
      <w:pPr>
        <w:spacing w:after="0"/>
        <w:tabs>
          <w:tab w:leader="dot" w:pos="11140" w:val="left"/>
        </w:tabs>
        <w:rPr>
          <w:sz w:val="20"/>
          <w:szCs w:val="20"/>
          <w:color w:val="auto"/>
        </w:rPr>
      </w:pPr>
      <w:r>
        <w:rPr>
          <w:rFonts w:ascii="Times New Roman" w:cs="Times New Roman" w:eastAsia="Times New Roman" w:hAnsi="Times New Roman"/>
          <w:sz w:val="16"/>
          <w:szCs w:val="16"/>
          <w:color w:val="auto"/>
        </w:rPr>
        <w:t>Perpetual preferred stock and related surplus</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16"/>
          <w:szCs w:val="16"/>
          <w:color w:val="auto"/>
        </w:rPr>
        <w:t>Common stock</w:t>
      </w:r>
      <w:r>
        <w:rPr>
          <w:sz w:val="20"/>
          <w:szCs w:val="20"/>
          <w:color w:val="auto"/>
        </w:rPr>
        <w:tab/>
      </w:r>
      <w:r>
        <w:rPr>
          <w:rFonts w:ascii="Times New Roman" w:cs="Times New Roman" w:eastAsia="Times New Roman" w:hAnsi="Times New Roman"/>
          <w:sz w:val="16"/>
          <w:szCs w:val="16"/>
          <w:color w:val="auto"/>
        </w:rPr>
        <w:t>1,135,000</w:t>
      </w:r>
    </w:p>
    <w:p>
      <w:pPr>
        <w:spacing w:after="0" w:line="11" w:lineRule="exact"/>
        <w:rPr>
          <w:sz w:val="20"/>
          <w:szCs w:val="20"/>
          <w:color w:val="auto"/>
        </w:rPr>
      </w:pPr>
    </w:p>
    <w:p>
      <w:pPr>
        <w:spacing w:after="0"/>
        <w:tabs>
          <w:tab w:leader="dot" w:pos="10500" w:val="left"/>
        </w:tabs>
        <w:rPr>
          <w:sz w:val="20"/>
          <w:szCs w:val="20"/>
          <w:color w:val="auto"/>
        </w:rPr>
      </w:pPr>
      <w:r>
        <w:rPr>
          <w:rFonts w:ascii="Times New Roman" w:cs="Times New Roman" w:eastAsia="Times New Roman" w:hAnsi="Times New Roman"/>
          <w:sz w:val="16"/>
          <w:szCs w:val="16"/>
          <w:color w:val="auto"/>
        </w:rPr>
        <w:t>Surplus (exclude all surplus related to preferred stock)</w:t>
      </w:r>
      <w:r>
        <w:rPr>
          <w:sz w:val="20"/>
          <w:szCs w:val="20"/>
          <w:color w:val="auto"/>
        </w:rPr>
        <w:tab/>
      </w:r>
      <w:r>
        <w:rPr>
          <w:rFonts w:ascii="Times New Roman" w:cs="Times New Roman" w:eastAsia="Times New Roman" w:hAnsi="Times New Roman"/>
          <w:sz w:val="16"/>
          <w:szCs w:val="16"/>
          <w:color w:val="auto"/>
        </w:rPr>
        <w:t>12,511,000</w:t>
      </w:r>
    </w:p>
    <w:p>
      <w:pPr>
        <w:spacing w:after="0" w:line="11" w:lineRule="exact"/>
        <w:rPr>
          <w:sz w:val="20"/>
          <w:szCs w:val="20"/>
          <w:color w:val="auto"/>
        </w:rPr>
      </w:pPr>
    </w:p>
    <w:p>
      <w:pPr>
        <w:spacing w:after="0"/>
        <w:tabs>
          <w:tab w:leader="dot" w:pos="10500" w:val="left"/>
        </w:tabs>
        <w:rPr>
          <w:sz w:val="20"/>
          <w:szCs w:val="20"/>
          <w:color w:val="auto"/>
        </w:rPr>
      </w:pPr>
      <w:r>
        <w:rPr>
          <w:rFonts w:ascii="Times New Roman" w:cs="Times New Roman" w:eastAsia="Times New Roman" w:hAnsi="Times New Roman"/>
          <w:sz w:val="16"/>
          <w:szCs w:val="16"/>
          <w:color w:val="auto"/>
        </w:rPr>
        <w:t>Retained earnings</w:t>
      </w:r>
      <w:r>
        <w:rPr>
          <w:sz w:val="20"/>
          <w:szCs w:val="20"/>
          <w:color w:val="auto"/>
        </w:rPr>
        <w:tab/>
      </w:r>
      <w:r>
        <w:rPr>
          <w:rFonts w:ascii="Times New Roman" w:cs="Times New Roman" w:eastAsia="Times New Roman" w:hAnsi="Times New Roman"/>
          <w:sz w:val="16"/>
          <w:szCs w:val="16"/>
          <w:color w:val="auto"/>
        </w:rPr>
        <w:t>17,415,000</w:t>
      </w:r>
    </w:p>
    <w:p>
      <w:pPr>
        <w:spacing w:after="0" w:line="11" w:lineRule="exact"/>
        <w:rPr>
          <w:sz w:val="20"/>
          <w:szCs w:val="20"/>
          <w:color w:val="auto"/>
        </w:rPr>
      </w:pPr>
    </w:p>
    <w:p>
      <w:pPr>
        <w:spacing w:after="0"/>
        <w:tabs>
          <w:tab w:leader="dot" w:pos="10520" w:val="left"/>
        </w:tabs>
        <w:rPr>
          <w:sz w:val="20"/>
          <w:szCs w:val="20"/>
          <w:color w:val="auto"/>
        </w:rPr>
      </w:pPr>
      <w:r>
        <w:rPr>
          <w:rFonts w:ascii="Times New Roman" w:cs="Times New Roman" w:eastAsia="Times New Roman" w:hAnsi="Times New Roman"/>
          <w:sz w:val="16"/>
          <w:szCs w:val="16"/>
          <w:color w:val="auto"/>
        </w:rPr>
        <w:t>Accumulated other comprehensive income</w:t>
      </w:r>
      <w:r>
        <w:rPr>
          <w:sz w:val="20"/>
          <w:szCs w:val="20"/>
          <w:color w:val="auto"/>
        </w:rPr>
        <w:tab/>
      </w:r>
      <w:r>
        <w:rPr>
          <w:rFonts w:ascii="Times New Roman" w:cs="Times New Roman" w:eastAsia="Times New Roman" w:hAnsi="Times New Roman"/>
          <w:sz w:val="16"/>
          <w:szCs w:val="16"/>
          <w:color w:val="auto"/>
        </w:rPr>
        <w:t>-3,101,000</w:t>
      </w:r>
    </w:p>
    <w:p>
      <w:pPr>
        <w:spacing w:after="0" w:line="11" w:lineRule="exact"/>
        <w:rPr>
          <w:sz w:val="20"/>
          <w:szCs w:val="20"/>
          <w:color w:val="auto"/>
        </w:rPr>
      </w:pPr>
    </w:p>
    <w:p>
      <w:pPr>
        <w:spacing w:after="0"/>
        <w:tabs>
          <w:tab w:leader="dot" w:pos="11140" w:val="left"/>
        </w:tabs>
        <w:rPr>
          <w:sz w:val="20"/>
          <w:szCs w:val="20"/>
          <w:color w:val="auto"/>
        </w:rPr>
      </w:pPr>
      <w:r>
        <w:rPr>
          <w:rFonts w:ascii="Times New Roman" w:cs="Times New Roman" w:eastAsia="Times New Roman" w:hAnsi="Times New Roman"/>
          <w:sz w:val="16"/>
          <w:szCs w:val="16"/>
          <w:color w:val="auto"/>
        </w:rPr>
        <w:t>Other equity capital components</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spacing w:after="0"/>
        <w:tabs>
          <w:tab w:leader="dot" w:pos="10500" w:val="left"/>
        </w:tabs>
        <w:rPr>
          <w:sz w:val="20"/>
          <w:szCs w:val="20"/>
          <w:color w:val="auto"/>
        </w:rPr>
      </w:pPr>
      <w:r>
        <w:rPr>
          <w:rFonts w:ascii="Times New Roman" w:cs="Times New Roman" w:eastAsia="Times New Roman" w:hAnsi="Times New Roman"/>
          <w:sz w:val="16"/>
          <w:szCs w:val="16"/>
          <w:color w:val="auto"/>
        </w:rPr>
        <w:t>Total bank equity capital</w:t>
      </w:r>
      <w:r>
        <w:rPr>
          <w:sz w:val="20"/>
          <w:szCs w:val="20"/>
          <w:color w:val="auto"/>
        </w:rPr>
        <w:tab/>
      </w:r>
      <w:r>
        <w:rPr>
          <w:rFonts w:ascii="Times New Roman" w:cs="Times New Roman" w:eastAsia="Times New Roman" w:hAnsi="Times New Roman"/>
          <w:sz w:val="16"/>
          <w:szCs w:val="16"/>
          <w:color w:val="auto"/>
        </w:rPr>
        <w:t>27,960,000</w:t>
      </w:r>
    </w:p>
    <w:p>
      <w:pPr>
        <w:spacing w:after="0" w:line="11" w:lineRule="exact"/>
        <w:rPr>
          <w:sz w:val="20"/>
          <w:szCs w:val="20"/>
          <w:color w:val="auto"/>
        </w:rPr>
      </w:pPr>
    </w:p>
    <w:p>
      <w:pPr>
        <w:spacing w:after="0"/>
        <w:tabs>
          <w:tab w:leader="dot" w:pos="11140" w:val="left"/>
        </w:tabs>
        <w:rPr>
          <w:sz w:val="20"/>
          <w:szCs w:val="20"/>
          <w:color w:val="auto"/>
        </w:rPr>
      </w:pPr>
      <w:r>
        <w:rPr>
          <w:rFonts w:ascii="Times New Roman" w:cs="Times New Roman" w:eastAsia="Times New Roman" w:hAnsi="Times New Roman"/>
          <w:sz w:val="16"/>
          <w:szCs w:val="16"/>
          <w:color w:val="auto"/>
        </w:rPr>
        <w:t>Noncontrolling (minority) interests in consolidated subsidiaries</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spacing w:after="0"/>
        <w:tabs>
          <w:tab w:leader="dot" w:pos="10500" w:val="left"/>
        </w:tabs>
        <w:rPr>
          <w:sz w:val="20"/>
          <w:szCs w:val="20"/>
          <w:color w:val="auto"/>
        </w:rPr>
      </w:pPr>
      <w:r>
        <w:rPr>
          <w:rFonts w:ascii="Times New Roman" w:cs="Times New Roman" w:eastAsia="Times New Roman" w:hAnsi="Times New Roman"/>
          <w:sz w:val="16"/>
          <w:szCs w:val="16"/>
          <w:color w:val="auto"/>
        </w:rPr>
        <w:t>Total equity capital</w:t>
      </w:r>
      <w:r>
        <w:rPr>
          <w:sz w:val="20"/>
          <w:szCs w:val="20"/>
          <w:color w:val="auto"/>
        </w:rPr>
        <w:tab/>
      </w:r>
      <w:r>
        <w:rPr>
          <w:rFonts w:ascii="Times New Roman" w:cs="Times New Roman" w:eastAsia="Times New Roman" w:hAnsi="Times New Roman"/>
          <w:sz w:val="16"/>
          <w:szCs w:val="16"/>
          <w:color w:val="auto"/>
        </w:rPr>
        <w:t>27,960,000</w:t>
      </w:r>
    </w:p>
    <w:p>
      <w:pPr>
        <w:spacing w:after="0" w:line="11" w:lineRule="exact"/>
        <w:rPr>
          <w:sz w:val="20"/>
          <w:szCs w:val="20"/>
          <w:color w:val="auto"/>
        </w:rPr>
      </w:pPr>
    </w:p>
    <w:p>
      <w:pPr>
        <w:spacing w:after="0"/>
        <w:tabs>
          <w:tab w:leader="dot" w:pos="10420" w:val="left"/>
        </w:tabs>
        <w:rPr>
          <w:sz w:val="20"/>
          <w:szCs w:val="20"/>
          <w:color w:val="auto"/>
        </w:rPr>
      </w:pPr>
      <w:r>
        <w:rPr>
          <w:rFonts w:ascii="Times New Roman" w:cs="Times New Roman" w:eastAsia="Times New Roman" w:hAnsi="Times New Roman"/>
          <w:sz w:val="16"/>
          <w:szCs w:val="16"/>
          <w:color w:val="auto"/>
        </w:rPr>
        <w:t>Total liabilities and equity capital</w:t>
      </w:r>
      <w:r>
        <w:rPr>
          <w:sz w:val="20"/>
          <w:szCs w:val="20"/>
          <w:color w:val="auto"/>
        </w:rPr>
        <w:tab/>
      </w:r>
      <w:r>
        <w:rPr>
          <w:rFonts w:ascii="Times New Roman" w:cs="Times New Roman" w:eastAsia="Times New Roman" w:hAnsi="Times New Roman"/>
          <w:sz w:val="16"/>
          <w:szCs w:val="16"/>
          <w:color w:val="auto"/>
        </w:rPr>
        <w:t>335,955,000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6432550</wp:posOffset>
            </wp:positionH>
            <wp:positionV relativeFrom="paragraph">
              <wp:posOffset>22860</wp:posOffset>
            </wp:positionV>
            <wp:extent cx="711200"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9">
                      <a:extLst>
                        <a:ext uri="{28A0092B-C50C-407E-A947-70E740481C1C}"/>
                      </a:extLst>
                    </a:blip>
                    <a:srcRect/>
                    <a:stretch>
                      <a:fillRect/>
                    </a:stretch>
                  </pic:blipFill>
                  <pic:spPr bwMode="auto">
                    <a:xfrm>
                      <a:off x="0" y="0"/>
                      <a:ext cx="711200" cy="7620"/>
                    </a:xfrm>
                    <a:prstGeom prst="rect">
                      <a:avLst/>
                    </a:prstGeom>
                    <a:noFill/>
                  </pic:spPr>
                </pic:pic>
              </a:graphicData>
            </a:graphic>
          </wp:anchor>
        </w:drawing>
        <w:drawing>
          <wp:anchor simplePos="0" relativeHeight="251657728" behindDoc="1" locked="0" layoutInCell="0" allowOverlap="1">
            <wp:simplePos x="0" y="0"/>
            <wp:positionH relativeFrom="column">
              <wp:posOffset>6432550</wp:posOffset>
            </wp:positionH>
            <wp:positionV relativeFrom="paragraph">
              <wp:posOffset>45720</wp:posOffset>
            </wp:positionV>
            <wp:extent cx="711200"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0">
                      <a:extLst>
                        <a:ext uri="{28A0092B-C50C-407E-A947-70E740481C1C}"/>
                      </a:extLst>
                    </a:blip>
                    <a:srcRect/>
                    <a:stretch>
                      <a:fillRect/>
                    </a:stretch>
                  </pic:blipFill>
                  <pic:spPr bwMode="auto">
                    <a:xfrm>
                      <a:off x="0" y="0"/>
                      <a:ext cx="711200" cy="7620"/>
                    </a:xfrm>
                    <a:prstGeom prst="rect">
                      <a:avLst/>
                    </a:prstGeom>
                    <a:noFill/>
                  </pic:spPr>
                </pic:pic>
              </a:graphicData>
            </a:graphic>
          </wp:anchor>
        </w:drawing>
        <w:drawing>
          <wp:anchor simplePos="0" relativeHeight="251657728" behindDoc="1" locked="0" layoutInCell="0" allowOverlap="1">
            <wp:simplePos x="0" y="0"/>
            <wp:positionH relativeFrom="column">
              <wp:posOffset>6432550</wp:posOffset>
            </wp:positionH>
            <wp:positionV relativeFrom="paragraph">
              <wp:posOffset>-115570</wp:posOffset>
            </wp:positionV>
            <wp:extent cx="711200" cy="152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1">
                      <a:extLst>
                        <a:ext uri="{28A0092B-C50C-407E-A947-70E740481C1C}"/>
                      </a:extLst>
                    </a:blip>
                    <a:srcRect/>
                    <a:stretch>
                      <a:fillRect/>
                    </a:stretch>
                  </pic:blipFill>
                  <pic:spPr bwMode="auto">
                    <a:xfrm>
                      <a:off x="0" y="0"/>
                      <a:ext cx="711200" cy="15240"/>
                    </a:xfrm>
                    <a:prstGeom prst="rect">
                      <a:avLst/>
                    </a:prstGeom>
                    <a:noFill/>
                  </pic:spPr>
                </pic:pic>
              </a:graphicData>
            </a:graphic>
          </wp:anchor>
        </w:drawing>
      </w:r>
    </w:p>
    <w:p>
      <w:pPr>
        <w:spacing w:after="0" w:line="3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78" w:name="page279"/>
    <w:bookmarkEnd w:id="278"/>
    <w:p>
      <w:pPr>
        <w:ind w:right="20" w:firstLine="585"/>
        <w:spacing w:after="0" w:line="288" w:lineRule="auto"/>
        <w:rPr>
          <w:sz w:val="20"/>
          <w:szCs w:val="20"/>
          <w:color w:val="auto"/>
        </w:rPr>
      </w:pPr>
      <w:r>
        <w:rPr>
          <w:rFonts w:ascii="Times New Roman" w:cs="Times New Roman" w:eastAsia="Times New Roman" w:hAnsi="Times New Roman"/>
          <w:sz w:val="16"/>
          <w:szCs w:val="16"/>
          <w:color w:val="auto"/>
        </w:rPr>
        <w:t>I, Dermot McDonogh, Chief Financial Officer of the above-named bank do hereby declare that this Report of Condition is true and correct to the best of my knowledge and belief.</w:t>
      </w:r>
    </w:p>
    <w:p>
      <w:pPr>
        <w:spacing w:after="0" w:line="143"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6"/>
          <w:szCs w:val="16"/>
          <w:color w:val="auto"/>
        </w:rPr>
        <w:t>Dermot McDonogh</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90" w:lineRule="exact"/>
        <w:rPr>
          <w:sz w:val="20"/>
          <w:szCs w:val="20"/>
          <w:color w:val="auto"/>
        </w:rPr>
      </w:pPr>
    </w:p>
    <w:p>
      <w:pPr>
        <w:ind w:right="20" w:firstLine="585"/>
        <w:spacing w:after="0" w:line="288" w:lineRule="auto"/>
        <w:rPr>
          <w:sz w:val="20"/>
          <w:szCs w:val="20"/>
          <w:color w:val="auto"/>
        </w:rPr>
      </w:pPr>
      <w:r>
        <w:rPr>
          <w:rFonts w:ascii="Times New Roman" w:cs="Times New Roman" w:eastAsia="Times New Roman" w:hAnsi="Times New Roman"/>
          <w:sz w:val="16"/>
          <w:szCs w:val="16"/>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1073150</wp:posOffset>
            </wp:positionH>
            <wp:positionV relativeFrom="paragraph">
              <wp:posOffset>348615</wp:posOffset>
            </wp:positionV>
            <wp:extent cx="170180" cy="5492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3">
                      <a:extLst>
                        <a:ext uri="{28A0092B-C50C-407E-A947-70E740481C1C}"/>
                      </a:extLst>
                    </a:blip>
                    <a:srcRect/>
                    <a:stretch>
                      <a:fillRect/>
                    </a:stretch>
                  </pic:blipFill>
                  <pic:spPr bwMode="auto">
                    <a:xfrm>
                      <a:off x="0" y="0"/>
                      <a:ext cx="170180" cy="549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Robin A. Vince</w:t>
      </w:r>
    </w:p>
    <w:p>
      <w:pPr>
        <w:spacing w:after="0" w:line="27" w:lineRule="exact"/>
        <w:rPr>
          <w:sz w:val="20"/>
          <w:szCs w:val="20"/>
          <w:color w:val="auto"/>
        </w:rPr>
      </w:pPr>
    </w:p>
    <w:p>
      <w:pPr>
        <w:spacing w:after="0"/>
        <w:tabs>
          <w:tab w:leader="none" w:pos="3360" w:val="left"/>
        </w:tabs>
        <w:rPr>
          <w:sz w:val="20"/>
          <w:szCs w:val="20"/>
          <w:color w:val="auto"/>
        </w:rPr>
      </w:pPr>
      <w:r>
        <w:rPr>
          <w:rFonts w:ascii="Times New Roman" w:cs="Times New Roman" w:eastAsia="Times New Roman" w:hAnsi="Times New Roman"/>
          <w:sz w:val="16"/>
          <w:szCs w:val="16"/>
          <w:color w:val="auto"/>
        </w:rPr>
        <w:t>Jeffrey A. Goldstein</w:t>
      </w:r>
      <w:r>
        <w:rPr>
          <w:sz w:val="20"/>
          <w:szCs w:val="20"/>
          <w:color w:val="auto"/>
        </w:rPr>
        <w:tab/>
      </w:r>
      <w:r>
        <w:rPr>
          <w:rFonts w:ascii="Times New Roman" w:cs="Times New Roman" w:eastAsia="Times New Roman" w:hAnsi="Times New Roman"/>
          <w:sz w:val="16"/>
          <w:szCs w:val="16"/>
          <w:color w:val="auto"/>
        </w:rPr>
        <w:t>Directors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Joseph J. Echevarria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57150</wp:posOffset>
            </wp:positionV>
            <wp:extent cx="7145655" cy="152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11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5">
                      <a:extLst>
                        <a:ext uri="{28A0092B-C50C-407E-A947-70E740481C1C}"/>
                      </a:extLst>
                    </a:blip>
                    <a:srcRect/>
                    <a:stretch>
                      <a:fillRect/>
                    </a:stretch>
                  </pic:blipFill>
                  <pic:spPr bwMode="auto">
                    <a:xfrm>
                      <a:off x="0" y="0"/>
                      <a:ext cx="7145655" cy="31115"/>
                    </a:xfrm>
                    <a:prstGeom prst="rect">
                      <a:avLst/>
                    </a:prstGeom>
                    <a:noFill/>
                  </pic:spPr>
                </pic:pic>
              </a:graphicData>
            </a:graphic>
          </wp:anchor>
        </w:drawing>
        <w:t>Exhibit 25.2</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UNITED STATES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AND EXCHANGE COMMISSION</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 T-1</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STATEMENT OF ELIGIBILITY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UNDER THE TRUST INDENTURE ACT OF 1939 OF A</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CORPORATION DESIGNATED TO ACT AS TRUSTEE</w:t>
      </w:r>
    </w:p>
    <w:p>
      <w:pPr>
        <w:spacing w:after="0" w:line="19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color w:val="auto"/>
        </w:rPr>
        <w:t>CHECK IF AN APPLICATION TO DETERMINE</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ELIGIBILITY OF A TRUSTEE PURSUANT TO</w:t>
      </w:r>
    </w:p>
    <w:p>
      <w:pPr>
        <w:spacing w:after="0" w:line="11" w:lineRule="exact"/>
        <w:rPr>
          <w:sz w:val="20"/>
          <w:szCs w:val="20"/>
          <w:color w:val="auto"/>
        </w:rPr>
      </w:pPr>
    </w:p>
    <w:p>
      <w:pPr>
        <w:ind w:left="4620"/>
        <w:spacing w:after="0"/>
        <w:tabs>
          <w:tab w:leader="none" w:pos="6380" w:val="left"/>
        </w:tabs>
        <w:rPr>
          <w:sz w:val="20"/>
          <w:szCs w:val="20"/>
          <w:color w:val="auto"/>
        </w:rPr>
      </w:pPr>
      <w:r>
        <w:rPr>
          <w:rFonts w:ascii="Times New Roman" w:cs="Times New Roman" w:eastAsia="Times New Roman" w:hAnsi="Times New Roman"/>
          <w:sz w:val="16"/>
          <w:szCs w:val="16"/>
          <w:color w:val="auto"/>
        </w:rPr>
        <w:t>SECTION 305(b)(2)</w:t>
      </w:r>
      <w:r>
        <w:rPr>
          <w:sz w:val="20"/>
          <w:szCs w:val="20"/>
          <w:color w:val="auto"/>
        </w:rPr>
        <w:tab/>
      </w:r>
      <w:r>
        <w:rPr>
          <w:rFonts w:ascii="Times New Roman" w:cs="Times New Roman" w:eastAsia="Times New Roman" w:hAnsi="Times New Roman"/>
          <w:sz w:val="16"/>
          <w:szCs w:val="16"/>
          <w:color w:val="auto"/>
        </w:rPr>
        <w:t>|__|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177800</wp:posOffset>
            </wp:positionV>
            <wp:extent cx="1423035"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6">
                      <a:extLst>
                        <a:ext uri="{28A0092B-C50C-407E-A947-70E740481C1C}"/>
                      </a:extLst>
                    </a:blip>
                    <a:srcRect/>
                    <a:stretch>
                      <a:fillRect/>
                    </a:stretch>
                  </pic:blipFill>
                  <pic:spPr bwMode="auto">
                    <a:xfrm>
                      <a:off x="0" y="0"/>
                      <a:ext cx="1423035" cy="762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3300" w:type="dxa"/>
            <w:vAlign w:val="bottom"/>
          </w:tcPr>
          <w:p>
            <w:pPr>
              <w:spacing w:after="0"/>
              <w:rPr>
                <w:sz w:val="16"/>
                <w:szCs w:val="16"/>
                <w:color w:val="auto"/>
              </w:rPr>
            </w:pPr>
          </w:p>
        </w:tc>
        <w:tc>
          <w:tcPr>
            <w:tcW w:w="7960" w:type="dxa"/>
            <w:vAlign w:val="bottom"/>
            <w:gridSpan w:val="4"/>
          </w:tcPr>
          <w:p>
            <w:pPr>
              <w:jc w:val="center"/>
              <w:ind w:right="3239"/>
              <w:spacing w:after="0"/>
              <w:rPr>
                <w:sz w:val="20"/>
                <w:szCs w:val="20"/>
                <w:color w:val="auto"/>
              </w:rPr>
            </w:pPr>
            <w:r>
              <w:rPr>
                <w:rFonts w:ascii="Times New Roman" w:cs="Times New Roman" w:eastAsia="Times New Roman" w:hAnsi="Times New Roman"/>
                <w:sz w:val="16"/>
                <w:szCs w:val="16"/>
                <w:color w:val="auto"/>
              </w:rPr>
              <w:t>THE BANK OF NEW YORK MELLON</w:t>
            </w:r>
          </w:p>
        </w:tc>
      </w:tr>
      <w:tr>
        <w:trPr>
          <w:trHeight w:val="211"/>
        </w:trPr>
        <w:tc>
          <w:tcPr>
            <w:tcW w:w="3300" w:type="dxa"/>
            <w:vAlign w:val="bottom"/>
          </w:tcPr>
          <w:p>
            <w:pPr>
              <w:spacing w:after="0"/>
              <w:rPr>
                <w:sz w:val="18"/>
                <w:szCs w:val="18"/>
                <w:color w:val="auto"/>
              </w:rPr>
            </w:pPr>
          </w:p>
        </w:tc>
        <w:tc>
          <w:tcPr>
            <w:tcW w:w="7960" w:type="dxa"/>
            <w:vAlign w:val="bottom"/>
            <w:gridSpan w:val="4"/>
          </w:tcPr>
          <w:p>
            <w:pPr>
              <w:jc w:val="center"/>
              <w:ind w:right="3219"/>
              <w:spacing w:after="0"/>
              <w:rPr>
                <w:sz w:val="20"/>
                <w:szCs w:val="20"/>
                <w:color w:val="auto"/>
              </w:rPr>
            </w:pPr>
            <w:r>
              <w:rPr>
                <w:rFonts w:ascii="Times New Roman" w:cs="Times New Roman" w:eastAsia="Times New Roman" w:hAnsi="Times New Roman"/>
                <w:sz w:val="16"/>
                <w:szCs w:val="16"/>
                <w:color w:val="auto"/>
              </w:rPr>
              <w:t>(Exact name of trustee as specified in its charter)</w:t>
            </w:r>
          </w:p>
        </w:tc>
      </w:tr>
      <w:tr>
        <w:trPr>
          <w:trHeight w:val="200"/>
        </w:trPr>
        <w:tc>
          <w:tcPr>
            <w:tcW w:w="3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r>
      <w:tr>
        <w:trPr>
          <w:trHeight w:val="178"/>
        </w:trPr>
        <w:tc>
          <w:tcPr>
            <w:tcW w:w="330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New York</w:t>
            </w:r>
          </w:p>
        </w:tc>
        <w:tc>
          <w:tcPr>
            <w:tcW w:w="1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13-5160382</w:t>
            </w:r>
          </w:p>
        </w:tc>
      </w:tr>
      <w:tr>
        <w:trPr>
          <w:trHeight w:val="195"/>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(Jurisdiction of incorporation</w:t>
            </w:r>
          </w:p>
        </w:tc>
        <w:tc>
          <w:tcPr>
            <w:tcW w:w="1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1"/>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if not a U.S. national bank)</w:t>
            </w:r>
          </w:p>
        </w:tc>
        <w:tc>
          <w:tcPr>
            <w:tcW w:w="1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00"/>
        </w:trPr>
        <w:tc>
          <w:tcPr>
            <w:tcW w:w="3300" w:type="dxa"/>
            <w:vAlign w:val="bottom"/>
            <w:tcBorders>
              <w:left w:val="single" w:sz="8" w:color="auto"/>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178"/>
        </w:trPr>
        <w:tc>
          <w:tcPr>
            <w:tcW w:w="330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240 Greenwich Street, New York, N.Y.</w:t>
            </w:r>
          </w:p>
        </w:tc>
        <w:tc>
          <w:tcPr>
            <w:tcW w:w="1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rPr>
                <w:sz w:val="15"/>
                <w:szCs w:val="15"/>
                <w:color w:val="auto"/>
              </w:rPr>
            </w:pPr>
          </w:p>
        </w:tc>
      </w:tr>
      <w:tr>
        <w:trPr>
          <w:trHeight w:val="195"/>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10286</w:t>
            </w:r>
          </w:p>
        </w:tc>
      </w:tr>
      <w:tr>
        <w:trPr>
          <w:trHeight w:val="216"/>
        </w:trPr>
        <w:tc>
          <w:tcPr>
            <w:tcW w:w="3300" w:type="dxa"/>
            <w:vAlign w:val="bottom"/>
            <w:tcBorders>
              <w:left w:val="single" w:sz="8" w:color="auto"/>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(Zip code)</w:t>
            </w:r>
          </w:p>
        </w:tc>
      </w:tr>
      <w:tr>
        <w:trPr>
          <w:trHeight w:val="280"/>
        </w:trPr>
        <w:tc>
          <w:tcPr>
            <w:tcW w:w="3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520" w:type="dxa"/>
            <w:vAlign w:val="bottom"/>
            <w:gridSpan w:val="2"/>
          </w:tcPr>
          <w:p>
            <w:pPr>
              <w:spacing w:after="0"/>
              <w:rPr>
                <w:sz w:val="24"/>
                <w:szCs w:val="24"/>
                <w:color w:val="auto"/>
              </w:rPr>
            </w:pPr>
          </w:p>
        </w:tc>
      </w:tr>
      <w:tr>
        <w:trPr>
          <w:trHeight w:val="438"/>
        </w:trPr>
        <w:tc>
          <w:tcPr>
            <w:tcW w:w="3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760" w:type="dxa"/>
            <w:vAlign w:val="bottom"/>
            <w:gridSpan w:val="3"/>
          </w:tcPr>
          <w:p>
            <w:pPr>
              <w:jc w:val="center"/>
              <w:ind w:right="4419"/>
              <w:spacing w:after="0"/>
              <w:rPr>
                <w:sz w:val="20"/>
                <w:szCs w:val="20"/>
                <w:color w:val="auto"/>
              </w:rPr>
            </w:pPr>
            <w:r>
              <w:rPr>
                <w:rFonts w:ascii="Times New Roman" w:cs="Times New Roman" w:eastAsia="Times New Roman" w:hAnsi="Times New Roman"/>
                <w:sz w:val="16"/>
                <w:szCs w:val="16"/>
                <w:color w:val="auto"/>
                <w:w w:val="99"/>
              </w:rPr>
              <w:t>VIATRIS INC.</w:t>
            </w:r>
          </w:p>
        </w:tc>
      </w:tr>
      <w:tr>
        <w:trPr>
          <w:trHeight w:val="211"/>
        </w:trPr>
        <w:tc>
          <w:tcPr>
            <w:tcW w:w="3300" w:type="dxa"/>
            <w:vAlign w:val="bottom"/>
          </w:tcPr>
          <w:p>
            <w:pPr>
              <w:spacing w:after="0"/>
              <w:rPr>
                <w:sz w:val="18"/>
                <w:szCs w:val="18"/>
                <w:color w:val="auto"/>
              </w:rPr>
            </w:pPr>
          </w:p>
        </w:tc>
        <w:tc>
          <w:tcPr>
            <w:tcW w:w="7960" w:type="dxa"/>
            <w:vAlign w:val="bottom"/>
            <w:gridSpan w:val="4"/>
          </w:tcPr>
          <w:p>
            <w:pPr>
              <w:jc w:val="center"/>
              <w:ind w:right="3239"/>
              <w:spacing w:after="0"/>
              <w:rPr>
                <w:sz w:val="20"/>
                <w:szCs w:val="20"/>
                <w:color w:val="auto"/>
              </w:rPr>
            </w:pPr>
            <w:r>
              <w:rPr>
                <w:rFonts w:ascii="Times New Roman" w:cs="Times New Roman" w:eastAsia="Times New Roman" w:hAnsi="Times New Roman"/>
                <w:sz w:val="16"/>
                <w:szCs w:val="16"/>
                <w:color w:val="auto"/>
              </w:rPr>
              <w:t>(Exact name of obligor as specified in its charter)</w:t>
            </w:r>
          </w:p>
        </w:tc>
      </w:tr>
      <w:tr>
        <w:trPr>
          <w:trHeight w:val="200"/>
        </w:trPr>
        <w:tc>
          <w:tcPr>
            <w:tcW w:w="3300" w:type="dxa"/>
            <w:vAlign w:val="bottom"/>
            <w:tcBorders>
              <w:bottom w:val="single" w:sz="8" w:color="auto"/>
            </w:tcBorders>
          </w:tcPr>
          <w:p>
            <w:pPr>
              <w:spacing w:after="0"/>
              <w:rPr>
                <w:sz w:val="17"/>
                <w:szCs w:val="17"/>
                <w:color w:val="auto"/>
              </w:rPr>
            </w:pPr>
          </w:p>
        </w:tc>
        <w:tc>
          <w:tcPr>
            <w:tcW w:w="7960" w:type="dxa"/>
            <w:vAlign w:val="bottom"/>
            <w:tcBorders>
              <w:bottom w:val="single" w:sz="8" w:color="auto"/>
            </w:tcBorders>
            <w:gridSpan w:val="4"/>
          </w:tcPr>
          <w:p>
            <w:pPr>
              <w:spacing w:after="0"/>
              <w:rPr>
                <w:sz w:val="17"/>
                <w:szCs w:val="17"/>
                <w:color w:val="auto"/>
              </w:rPr>
            </w:pPr>
          </w:p>
        </w:tc>
      </w:tr>
      <w:tr>
        <w:trPr>
          <w:trHeight w:val="178"/>
        </w:trPr>
        <w:tc>
          <w:tcPr>
            <w:tcW w:w="330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Delaware</w:t>
            </w:r>
          </w:p>
        </w:tc>
        <w:tc>
          <w:tcPr>
            <w:tcW w:w="4580" w:type="dxa"/>
            <w:vAlign w:val="bottom"/>
            <w:tcBorders>
              <w:right w:val="single" w:sz="8" w:color="auto"/>
            </w:tcBorders>
            <w:gridSpan w:val="3"/>
          </w:tcPr>
          <w:p>
            <w:pPr>
              <w:spacing w:after="0"/>
              <w:rPr>
                <w:sz w:val="15"/>
                <w:szCs w:val="15"/>
                <w:color w:val="auto"/>
              </w:rPr>
            </w:pPr>
          </w:p>
        </w:tc>
        <w:tc>
          <w:tcPr>
            <w:tcW w:w="3380" w:type="dxa"/>
            <w:vAlign w:val="bottom"/>
            <w:tcBorders>
              <w:right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83-4364296</w:t>
            </w:r>
          </w:p>
        </w:tc>
      </w:tr>
      <w:tr>
        <w:trPr>
          <w:trHeight w:val="195"/>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1"/>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00"/>
        </w:trPr>
        <w:tc>
          <w:tcPr>
            <w:tcW w:w="3300" w:type="dxa"/>
            <w:vAlign w:val="bottom"/>
            <w:tcBorders>
              <w:left w:val="single" w:sz="8" w:color="auto"/>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178"/>
        </w:trPr>
        <w:tc>
          <w:tcPr>
            <w:tcW w:w="330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1000 Mylan Boulevard</w:t>
            </w:r>
          </w:p>
        </w:tc>
        <w:tc>
          <w:tcPr>
            <w:tcW w:w="1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rPr>
                <w:sz w:val="15"/>
                <w:szCs w:val="15"/>
                <w:color w:val="auto"/>
              </w:rPr>
            </w:pPr>
          </w:p>
        </w:tc>
      </w:tr>
      <w:tr>
        <w:trPr>
          <w:trHeight w:val="195"/>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Canonsburg, Pennsylvania</w:t>
            </w:r>
          </w:p>
        </w:tc>
        <w:tc>
          <w:tcPr>
            <w:tcW w:w="4580" w:type="dxa"/>
            <w:vAlign w:val="bottom"/>
            <w:tcBorders>
              <w:right w:val="single" w:sz="8" w:color="auto"/>
            </w:tcBorders>
            <w:gridSpan w:val="3"/>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15317</w:t>
            </w:r>
          </w:p>
        </w:tc>
      </w:tr>
      <w:tr>
        <w:trPr>
          <w:trHeight w:val="211"/>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(Zip code)</w:t>
            </w:r>
          </w:p>
        </w:tc>
      </w:tr>
      <w:tr>
        <w:trPr>
          <w:trHeight w:val="200"/>
        </w:trPr>
        <w:tc>
          <w:tcPr>
            <w:tcW w:w="3300" w:type="dxa"/>
            <w:vAlign w:val="bottom"/>
            <w:tcBorders>
              <w:left w:val="single" w:sz="8" w:color="auto"/>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370"/>
        </w:trPr>
        <w:tc>
          <w:tcPr>
            <w:tcW w:w="3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55" w:right="319" w:bottom="1440" w:gutter="0" w:footer="0" w:header="0"/>
        </w:sectPr>
      </w:pPr>
    </w:p>
    <w:bookmarkStart w:id="280" w:name="page281"/>
    <w:bookmarkEnd w:id="28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3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760" w:type="dxa"/>
            <w:vAlign w:val="bottom"/>
            <w:gridSpan w:val="3"/>
          </w:tcPr>
          <w:p>
            <w:pPr>
              <w:jc w:val="center"/>
              <w:ind w:right="4439"/>
              <w:spacing w:after="0"/>
              <w:rPr>
                <w:sz w:val="20"/>
                <w:szCs w:val="20"/>
                <w:color w:val="auto"/>
              </w:rPr>
            </w:pPr>
            <w:r>
              <w:rPr>
                <w:rFonts w:ascii="Times New Roman" w:cs="Times New Roman" w:eastAsia="Times New Roman" w:hAnsi="Times New Roman"/>
                <w:sz w:val="16"/>
                <w:szCs w:val="16"/>
                <w:color w:val="auto"/>
              </w:rPr>
              <w:t>Mylan Inc.</w:t>
            </w:r>
          </w:p>
        </w:tc>
      </w:tr>
      <w:tr>
        <w:trPr>
          <w:trHeight w:val="211"/>
        </w:trPr>
        <w:tc>
          <w:tcPr>
            <w:tcW w:w="3280" w:type="dxa"/>
            <w:vAlign w:val="bottom"/>
          </w:tcPr>
          <w:p>
            <w:pPr>
              <w:spacing w:after="0"/>
              <w:rPr>
                <w:sz w:val="18"/>
                <w:szCs w:val="18"/>
                <w:color w:val="auto"/>
              </w:rPr>
            </w:pPr>
          </w:p>
        </w:tc>
        <w:tc>
          <w:tcPr>
            <w:tcW w:w="7980" w:type="dxa"/>
            <w:vAlign w:val="bottom"/>
            <w:gridSpan w:val="4"/>
          </w:tcPr>
          <w:p>
            <w:pPr>
              <w:jc w:val="center"/>
              <w:ind w:right="32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200"/>
        </w:trPr>
        <w:tc>
          <w:tcPr>
            <w:tcW w:w="3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r>
      <w:tr>
        <w:trPr>
          <w:trHeight w:val="178"/>
        </w:trPr>
        <w:tc>
          <w:tcPr>
            <w:tcW w:w="328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Pennsylvania</w:t>
            </w:r>
          </w:p>
        </w:tc>
        <w:tc>
          <w:tcPr>
            <w:tcW w:w="1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25-1211621</w:t>
            </w:r>
          </w:p>
        </w:tc>
      </w:tr>
      <w:tr>
        <w:trPr>
          <w:trHeight w:val="195"/>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1"/>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00"/>
        </w:trPr>
        <w:tc>
          <w:tcPr>
            <w:tcW w:w="3280" w:type="dxa"/>
            <w:vAlign w:val="bottom"/>
            <w:tcBorders>
              <w:left w:val="single" w:sz="8" w:color="auto"/>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178"/>
        </w:trPr>
        <w:tc>
          <w:tcPr>
            <w:tcW w:w="328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1000 Mylan Boulevard</w:t>
            </w:r>
          </w:p>
        </w:tc>
        <w:tc>
          <w:tcPr>
            <w:tcW w:w="1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rPr>
                <w:sz w:val="15"/>
                <w:szCs w:val="15"/>
                <w:color w:val="auto"/>
              </w:rPr>
            </w:pPr>
          </w:p>
        </w:tc>
      </w:tr>
      <w:tr>
        <w:trPr>
          <w:trHeight w:val="195"/>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Canonsburg, Pennsylvania</w:t>
            </w:r>
          </w:p>
        </w:tc>
        <w:tc>
          <w:tcPr>
            <w:tcW w:w="1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15317</w:t>
            </w:r>
          </w:p>
        </w:tc>
      </w:tr>
      <w:tr>
        <w:trPr>
          <w:trHeight w:val="211"/>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(Zip code)</w:t>
            </w:r>
          </w:p>
        </w:tc>
      </w:tr>
      <w:tr>
        <w:trPr>
          <w:trHeight w:val="200"/>
        </w:trPr>
        <w:tc>
          <w:tcPr>
            <w:tcW w:w="3280" w:type="dxa"/>
            <w:vAlign w:val="bottom"/>
            <w:tcBorders>
              <w:left w:val="single" w:sz="8" w:color="auto"/>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373"/>
        </w:trPr>
        <w:tc>
          <w:tcPr>
            <w:tcW w:w="3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760" w:type="dxa"/>
            <w:vAlign w:val="bottom"/>
            <w:gridSpan w:val="3"/>
          </w:tcPr>
          <w:p>
            <w:pPr>
              <w:jc w:val="center"/>
              <w:ind w:right="4419"/>
              <w:spacing w:after="0"/>
              <w:rPr>
                <w:sz w:val="20"/>
                <w:szCs w:val="20"/>
                <w:color w:val="auto"/>
              </w:rPr>
            </w:pPr>
            <w:r>
              <w:rPr>
                <w:rFonts w:ascii="Times New Roman" w:cs="Times New Roman" w:eastAsia="Times New Roman" w:hAnsi="Times New Roman"/>
                <w:sz w:val="16"/>
                <w:szCs w:val="16"/>
                <w:color w:val="auto"/>
                <w:w w:val="99"/>
              </w:rPr>
              <w:t>Mylan II B.V.</w:t>
            </w:r>
          </w:p>
        </w:tc>
      </w:tr>
      <w:tr>
        <w:trPr>
          <w:trHeight w:val="211"/>
        </w:trPr>
        <w:tc>
          <w:tcPr>
            <w:tcW w:w="3280" w:type="dxa"/>
            <w:vAlign w:val="bottom"/>
          </w:tcPr>
          <w:p>
            <w:pPr>
              <w:spacing w:after="0"/>
              <w:rPr>
                <w:sz w:val="18"/>
                <w:szCs w:val="18"/>
                <w:color w:val="auto"/>
              </w:rPr>
            </w:pPr>
          </w:p>
        </w:tc>
        <w:tc>
          <w:tcPr>
            <w:tcW w:w="7980" w:type="dxa"/>
            <w:vAlign w:val="bottom"/>
            <w:gridSpan w:val="4"/>
          </w:tcPr>
          <w:p>
            <w:pPr>
              <w:jc w:val="center"/>
              <w:ind w:right="32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200"/>
        </w:trPr>
        <w:tc>
          <w:tcPr>
            <w:tcW w:w="3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r>
      <w:tr>
        <w:trPr>
          <w:trHeight w:val="178"/>
        </w:trPr>
        <w:tc>
          <w:tcPr>
            <w:tcW w:w="328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The Netherlands</w:t>
            </w:r>
          </w:p>
        </w:tc>
        <w:tc>
          <w:tcPr>
            <w:tcW w:w="1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None</w:t>
            </w:r>
          </w:p>
        </w:tc>
      </w:tr>
      <w:tr>
        <w:trPr>
          <w:trHeight w:val="195"/>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1"/>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00"/>
        </w:trPr>
        <w:tc>
          <w:tcPr>
            <w:tcW w:w="3280" w:type="dxa"/>
            <w:vAlign w:val="bottom"/>
            <w:tcBorders>
              <w:left w:val="single" w:sz="8" w:color="auto"/>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178"/>
        </w:trPr>
        <w:tc>
          <w:tcPr>
            <w:tcW w:w="328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Krijgsman 20</w:t>
            </w:r>
          </w:p>
        </w:tc>
        <w:tc>
          <w:tcPr>
            <w:tcW w:w="1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rPr>
                <w:sz w:val="15"/>
                <w:szCs w:val="15"/>
                <w:color w:val="auto"/>
              </w:rPr>
            </w:pPr>
          </w:p>
        </w:tc>
      </w:tr>
      <w:tr>
        <w:trPr>
          <w:trHeight w:val="195"/>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1186 DM Amstelveen</w:t>
            </w:r>
          </w:p>
        </w:tc>
        <w:tc>
          <w:tcPr>
            <w:tcW w:w="1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16"/>
                <w:szCs w:val="16"/>
                <w:color w:val="auto"/>
              </w:rPr>
            </w:pPr>
          </w:p>
        </w:tc>
      </w:tr>
      <w:tr>
        <w:trPr>
          <w:trHeight w:val="195"/>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Amsterdam</w:t>
            </w:r>
          </w:p>
        </w:tc>
        <w:tc>
          <w:tcPr>
            <w:tcW w:w="1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16"/>
                <w:szCs w:val="16"/>
                <w:color w:val="auto"/>
              </w:rPr>
            </w:pPr>
          </w:p>
        </w:tc>
      </w:tr>
      <w:tr>
        <w:trPr>
          <w:trHeight w:val="195"/>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Netherlands</w:t>
            </w:r>
          </w:p>
        </w:tc>
        <w:tc>
          <w:tcPr>
            <w:tcW w:w="1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16"/>
                <w:szCs w:val="16"/>
                <w:color w:val="auto"/>
              </w:rPr>
            </w:pPr>
          </w:p>
        </w:tc>
      </w:tr>
      <w:tr>
        <w:trPr>
          <w:trHeight w:val="211"/>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(Zip code)</w:t>
            </w:r>
          </w:p>
        </w:tc>
      </w:tr>
      <w:tr>
        <w:trPr>
          <w:trHeight w:val="200"/>
        </w:trPr>
        <w:tc>
          <w:tcPr>
            <w:tcW w:w="3280" w:type="dxa"/>
            <w:vAlign w:val="bottom"/>
            <w:tcBorders>
              <w:left w:val="single" w:sz="8" w:color="auto"/>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373"/>
        </w:trPr>
        <w:tc>
          <w:tcPr>
            <w:tcW w:w="3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760" w:type="dxa"/>
            <w:vAlign w:val="bottom"/>
            <w:gridSpan w:val="3"/>
          </w:tcPr>
          <w:p>
            <w:pPr>
              <w:jc w:val="center"/>
              <w:ind w:right="4419"/>
              <w:spacing w:after="0"/>
              <w:rPr>
                <w:sz w:val="20"/>
                <w:szCs w:val="20"/>
                <w:color w:val="auto"/>
              </w:rPr>
            </w:pPr>
            <w:r>
              <w:rPr>
                <w:rFonts w:ascii="Times New Roman" w:cs="Times New Roman" w:eastAsia="Times New Roman" w:hAnsi="Times New Roman"/>
                <w:sz w:val="16"/>
                <w:szCs w:val="16"/>
                <w:color w:val="auto"/>
              </w:rPr>
              <w:t>Utah Acquisition Sub Inc.</w:t>
            </w:r>
          </w:p>
        </w:tc>
      </w:tr>
      <w:tr>
        <w:trPr>
          <w:trHeight w:val="211"/>
        </w:trPr>
        <w:tc>
          <w:tcPr>
            <w:tcW w:w="3280" w:type="dxa"/>
            <w:vAlign w:val="bottom"/>
          </w:tcPr>
          <w:p>
            <w:pPr>
              <w:spacing w:after="0"/>
              <w:rPr>
                <w:sz w:val="18"/>
                <w:szCs w:val="18"/>
                <w:color w:val="auto"/>
              </w:rPr>
            </w:pPr>
          </w:p>
        </w:tc>
        <w:tc>
          <w:tcPr>
            <w:tcW w:w="7980" w:type="dxa"/>
            <w:vAlign w:val="bottom"/>
            <w:gridSpan w:val="4"/>
          </w:tcPr>
          <w:p>
            <w:pPr>
              <w:jc w:val="center"/>
              <w:ind w:right="32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200"/>
        </w:trPr>
        <w:tc>
          <w:tcPr>
            <w:tcW w:w="3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gridSpan w:val="2"/>
          </w:tcPr>
          <w:p>
            <w:pPr>
              <w:spacing w:after="0"/>
              <w:rPr>
                <w:sz w:val="17"/>
                <w:szCs w:val="17"/>
                <w:color w:val="auto"/>
              </w:rPr>
            </w:pPr>
          </w:p>
        </w:tc>
      </w:tr>
      <w:tr>
        <w:trPr>
          <w:trHeight w:val="178"/>
        </w:trPr>
        <w:tc>
          <w:tcPr>
            <w:tcW w:w="328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Delaware</w:t>
            </w:r>
          </w:p>
        </w:tc>
        <w:tc>
          <w:tcPr>
            <w:tcW w:w="1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84-4554869</w:t>
            </w:r>
          </w:p>
        </w:tc>
      </w:tr>
      <w:tr>
        <w:trPr>
          <w:trHeight w:val="195"/>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1"/>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00"/>
        </w:trPr>
        <w:tc>
          <w:tcPr>
            <w:tcW w:w="3280" w:type="dxa"/>
            <w:vAlign w:val="bottom"/>
            <w:tcBorders>
              <w:left w:val="single" w:sz="8" w:color="auto"/>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178"/>
        </w:trPr>
        <w:tc>
          <w:tcPr>
            <w:tcW w:w="328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1000 Mylan Boulevard</w:t>
            </w:r>
          </w:p>
        </w:tc>
        <w:tc>
          <w:tcPr>
            <w:tcW w:w="1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rPr>
                <w:sz w:val="15"/>
                <w:szCs w:val="15"/>
                <w:color w:val="auto"/>
              </w:rPr>
            </w:pPr>
          </w:p>
        </w:tc>
      </w:tr>
      <w:tr>
        <w:trPr>
          <w:trHeight w:val="195"/>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Canonsburg, Pennsylvania</w:t>
            </w:r>
          </w:p>
        </w:tc>
        <w:tc>
          <w:tcPr>
            <w:tcW w:w="1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15317</w:t>
            </w:r>
          </w:p>
        </w:tc>
      </w:tr>
      <w:tr>
        <w:trPr>
          <w:trHeight w:val="211"/>
        </w:trPr>
        <w:tc>
          <w:tcPr>
            <w:tcW w:w="32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(Zip code)</w:t>
            </w:r>
          </w:p>
        </w:tc>
      </w:tr>
      <w:tr>
        <w:trPr>
          <w:trHeight w:val="200"/>
        </w:trPr>
        <w:tc>
          <w:tcPr>
            <w:tcW w:w="3280" w:type="dxa"/>
            <w:vAlign w:val="bottom"/>
            <w:tcBorders>
              <w:left w:val="single" w:sz="8" w:color="auto"/>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280"/>
        </w:trPr>
        <w:tc>
          <w:tcPr>
            <w:tcW w:w="3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520" w:type="dxa"/>
            <w:vAlign w:val="bottom"/>
            <w:gridSpan w:val="2"/>
          </w:tcPr>
          <w:p>
            <w:pPr>
              <w:spacing w:after="0"/>
              <w:rPr>
                <w:sz w:val="24"/>
                <w:szCs w:val="24"/>
                <w:color w:val="auto"/>
              </w:rPr>
            </w:pPr>
          </w:p>
        </w:tc>
      </w:tr>
      <w:tr>
        <w:trPr>
          <w:trHeight w:val="438"/>
        </w:trPr>
        <w:tc>
          <w:tcPr>
            <w:tcW w:w="3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760" w:type="dxa"/>
            <w:vAlign w:val="bottom"/>
            <w:gridSpan w:val="3"/>
          </w:tcPr>
          <w:p>
            <w:pPr>
              <w:jc w:val="center"/>
              <w:ind w:right="4419"/>
              <w:spacing w:after="0"/>
              <w:rPr>
                <w:sz w:val="20"/>
                <w:szCs w:val="20"/>
                <w:color w:val="auto"/>
              </w:rPr>
            </w:pPr>
            <w:r>
              <w:rPr>
                <w:rFonts w:ascii="Times New Roman" w:cs="Times New Roman" w:eastAsia="Times New Roman" w:hAnsi="Times New Roman"/>
                <w:sz w:val="16"/>
                <w:szCs w:val="16"/>
                <w:color w:val="auto"/>
              </w:rPr>
              <w:t>Subordinated Debt Securities</w:t>
            </w:r>
          </w:p>
        </w:tc>
      </w:tr>
      <w:tr>
        <w:trPr>
          <w:trHeight w:val="195"/>
        </w:trPr>
        <w:tc>
          <w:tcPr>
            <w:tcW w:w="3280" w:type="dxa"/>
            <w:vAlign w:val="bottom"/>
          </w:tcPr>
          <w:p>
            <w:pPr>
              <w:spacing w:after="0"/>
              <w:rPr>
                <w:sz w:val="16"/>
                <w:szCs w:val="16"/>
                <w:color w:val="auto"/>
              </w:rPr>
            </w:pPr>
          </w:p>
        </w:tc>
        <w:tc>
          <w:tcPr>
            <w:tcW w:w="7980" w:type="dxa"/>
            <w:vAlign w:val="bottom"/>
            <w:gridSpan w:val="4"/>
          </w:tcPr>
          <w:p>
            <w:pPr>
              <w:jc w:val="center"/>
              <w:ind w:right="3219"/>
              <w:spacing w:after="0"/>
              <w:rPr>
                <w:sz w:val="20"/>
                <w:szCs w:val="20"/>
                <w:color w:val="auto"/>
              </w:rPr>
            </w:pPr>
            <w:r>
              <w:rPr>
                <w:rFonts w:ascii="Times New Roman" w:cs="Times New Roman" w:eastAsia="Times New Roman" w:hAnsi="Times New Roman"/>
                <w:sz w:val="16"/>
                <w:szCs w:val="16"/>
                <w:color w:val="auto"/>
              </w:rPr>
              <w:t>and Guarantees of Subordinated Debt Securities</w:t>
            </w:r>
          </w:p>
        </w:tc>
      </w:tr>
      <w:tr>
        <w:trPr>
          <w:trHeight w:val="211"/>
        </w:trPr>
        <w:tc>
          <w:tcPr>
            <w:tcW w:w="3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760" w:type="dxa"/>
            <w:vAlign w:val="bottom"/>
            <w:gridSpan w:val="3"/>
          </w:tcPr>
          <w:p>
            <w:pPr>
              <w:jc w:val="center"/>
              <w:ind w:right="4439"/>
              <w:spacing w:after="0"/>
              <w:rPr>
                <w:sz w:val="20"/>
                <w:szCs w:val="20"/>
                <w:color w:val="auto"/>
              </w:rPr>
            </w:pPr>
            <w:r>
              <w:rPr>
                <w:rFonts w:ascii="Times New Roman" w:cs="Times New Roman" w:eastAsia="Times New Roman" w:hAnsi="Times New Roman"/>
                <w:sz w:val="16"/>
                <w:szCs w:val="16"/>
                <w:color w:val="auto"/>
              </w:rPr>
              <w:t>(Title of the indenture securities)</w:t>
            </w:r>
          </w:p>
        </w:tc>
      </w:tr>
      <w:tr>
        <w:trPr>
          <w:trHeight w:val="514"/>
        </w:trPr>
        <w:tc>
          <w:tcPr>
            <w:tcW w:w="3280" w:type="dxa"/>
            <w:vAlign w:val="bottom"/>
          </w:tcPr>
          <w:p>
            <w:pPr>
              <w:spacing w:after="0"/>
              <w:rPr>
                <w:sz w:val="24"/>
                <w:szCs w:val="24"/>
                <w:color w:val="auto"/>
              </w:rPr>
            </w:pPr>
          </w:p>
        </w:tc>
        <w:tc>
          <w:tcPr>
            <w:tcW w:w="3460" w:type="dxa"/>
            <w:vAlign w:val="bottom"/>
            <w:gridSpan w:val="2"/>
          </w:tcPr>
          <w:p>
            <w:pPr>
              <w:jc w:val="center"/>
              <w:ind w:left="1162"/>
              <w:spacing w:after="0"/>
              <w:rPr>
                <w:sz w:val="20"/>
                <w:szCs w:val="20"/>
                <w:color w:val="auto"/>
              </w:rPr>
            </w:pPr>
            <w:r>
              <w:rPr>
                <w:rFonts w:ascii="Times New Roman" w:cs="Times New Roman" w:eastAsia="Times New Roman" w:hAnsi="Times New Roman"/>
                <w:sz w:val="13"/>
                <w:szCs w:val="13"/>
                <w:color w:val="auto"/>
              </w:rPr>
              <w:t>- 2 -</w:t>
            </w:r>
          </w:p>
        </w:tc>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9"/>
        </w:trPr>
        <w:tc>
          <w:tcPr>
            <w:tcW w:w="3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3" w:right="319" w:bottom="1440" w:gutter="0" w:footer="0" w:header="0"/>
        </w:sectPr>
      </w:pPr>
    </w:p>
    <w:bookmarkStart w:id="281" w:name="page282"/>
    <w:bookmarkEnd w:id="281"/>
    <w:p>
      <w:pPr>
        <w:ind w:left="583" w:hanging="583"/>
        <w:spacing w:after="0"/>
        <w:tabs>
          <w:tab w:leader="none" w:pos="583" w:val="left"/>
        </w:tabs>
        <w:numPr>
          <w:ilvl w:val="0"/>
          <w:numId w:val="27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General information. Furnish the following information as to the Trustee:</w:t>
      </w:r>
    </w:p>
    <w:p>
      <w:pPr>
        <w:spacing w:after="0" w:line="205" w:lineRule="exact"/>
        <w:rPr>
          <w:rFonts w:ascii="Times New Roman" w:cs="Times New Roman" w:eastAsia="Times New Roman" w:hAnsi="Times New Roman"/>
          <w:sz w:val="16"/>
          <w:szCs w:val="16"/>
          <w:b w:val="1"/>
          <w:bCs w:val="1"/>
          <w:color w:val="auto"/>
        </w:rPr>
      </w:pPr>
    </w:p>
    <w:p>
      <w:pPr>
        <w:ind w:left="1163" w:hanging="578"/>
        <w:spacing w:after="0"/>
        <w:tabs>
          <w:tab w:leader="none" w:pos="1163" w:val="left"/>
        </w:tabs>
        <w:numPr>
          <w:ilvl w:val="1"/>
          <w:numId w:val="27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Name and address of each examining or supervising authority to which it is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45655" cy="152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3" w:type="dxa"/>
        <w:tblCellMar>
          <w:top w:w="0" w:type="dxa"/>
          <w:left w:w="0" w:type="dxa"/>
          <w:bottom w:w="0" w:type="dxa"/>
          <w:right w:w="0" w:type="dxa"/>
        </w:tblCellMar>
      </w:tblPr>
      <w:tr>
        <w:trPr>
          <w:trHeight w:val="211"/>
        </w:trPr>
        <w:tc>
          <w:tcPr>
            <w:tcW w:w="1020" w:type="dxa"/>
            <w:vAlign w:val="bottom"/>
          </w:tcPr>
          <w:p>
            <w:pPr>
              <w:spacing w:after="0"/>
              <w:rPr>
                <w:sz w:val="18"/>
                <w:szCs w:val="18"/>
                <w:color w:val="auto"/>
              </w:rPr>
            </w:pPr>
          </w:p>
        </w:tc>
        <w:tc>
          <w:tcPr>
            <w:tcW w:w="444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Name</w:t>
            </w:r>
          </w:p>
        </w:tc>
        <w:tc>
          <w:tcPr>
            <w:tcW w:w="5800" w:type="dxa"/>
            <w:vAlign w:val="bottom"/>
          </w:tcPr>
          <w:p>
            <w:pPr>
              <w:ind w:left="2720"/>
              <w:spacing w:after="0"/>
              <w:rPr>
                <w:sz w:val="20"/>
                <w:szCs w:val="20"/>
                <w:color w:val="auto"/>
              </w:rPr>
            </w:pPr>
            <w:r>
              <w:rPr>
                <w:rFonts w:ascii="Times New Roman" w:cs="Times New Roman" w:eastAsia="Times New Roman" w:hAnsi="Times New Roman"/>
                <w:sz w:val="16"/>
                <w:szCs w:val="16"/>
                <w:color w:val="auto"/>
              </w:rPr>
              <w:t>Address</w:t>
            </w:r>
          </w:p>
        </w:tc>
      </w:tr>
      <w:tr>
        <w:trPr>
          <w:trHeight w:val="200"/>
        </w:trPr>
        <w:tc>
          <w:tcPr>
            <w:tcW w:w="5460" w:type="dxa"/>
            <w:vAlign w:val="bottom"/>
            <w:tcBorders>
              <w:bottom w:val="single" w:sz="8" w:color="auto"/>
            </w:tcBorders>
            <w:gridSpan w:val="2"/>
          </w:tcPr>
          <w:p>
            <w:pPr>
              <w:spacing w:after="0"/>
              <w:rPr>
                <w:sz w:val="17"/>
                <w:szCs w:val="17"/>
                <w:color w:val="auto"/>
              </w:rPr>
            </w:pPr>
          </w:p>
        </w:tc>
        <w:tc>
          <w:tcPr>
            <w:tcW w:w="5800" w:type="dxa"/>
            <w:vAlign w:val="bottom"/>
            <w:tcBorders>
              <w:bottom w:val="single" w:sz="8" w:color="auto"/>
            </w:tcBorders>
          </w:tcPr>
          <w:p>
            <w:pPr>
              <w:spacing w:after="0"/>
              <w:rPr>
                <w:sz w:val="17"/>
                <w:szCs w:val="17"/>
                <w:color w:val="auto"/>
              </w:rPr>
            </w:pPr>
          </w:p>
        </w:tc>
      </w:tr>
      <w:tr>
        <w:trPr>
          <w:trHeight w:val="373"/>
        </w:trPr>
        <w:tc>
          <w:tcPr>
            <w:tcW w:w="5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Superintendent of the Department of</w:t>
            </w:r>
          </w:p>
        </w:tc>
        <w:tc>
          <w:tcPr>
            <w:tcW w:w="5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One State Street, New York, N.Y.</w:t>
            </w:r>
          </w:p>
        </w:tc>
      </w:tr>
      <w:tr>
        <w:trPr>
          <w:trHeight w:val="211"/>
        </w:trPr>
        <w:tc>
          <w:tcPr>
            <w:tcW w:w="5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Services of the State of New York</w:t>
            </w:r>
          </w:p>
        </w:tc>
        <w:tc>
          <w:tcPr>
            <w:tcW w:w="5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10004-1417, and Albany, N.Y. 12223</w:t>
            </w:r>
          </w:p>
        </w:tc>
      </w:tr>
      <w:tr>
        <w:trPr>
          <w:trHeight w:val="390"/>
        </w:trPr>
        <w:tc>
          <w:tcPr>
            <w:tcW w:w="5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Federal Reserve Bank of New York</w:t>
            </w:r>
          </w:p>
        </w:tc>
        <w:tc>
          <w:tcPr>
            <w:tcW w:w="5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33 Liberty Street, New York, N.Y. 10045</w:t>
            </w:r>
          </w:p>
        </w:tc>
      </w:tr>
      <w:tr>
        <w:trPr>
          <w:trHeight w:val="374"/>
        </w:trPr>
        <w:tc>
          <w:tcPr>
            <w:tcW w:w="5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Federal Deposit Insurance Corporation</w:t>
            </w:r>
          </w:p>
        </w:tc>
        <w:tc>
          <w:tcPr>
            <w:tcW w:w="5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550 17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Street, NW</w:t>
            </w:r>
          </w:p>
        </w:tc>
      </w:tr>
      <w:tr>
        <w:trPr>
          <w:trHeight w:val="211"/>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Washington, D.C. 20429</w:t>
            </w:r>
          </w:p>
        </w:tc>
      </w:tr>
      <w:tr>
        <w:trPr>
          <w:trHeight w:val="374"/>
        </w:trPr>
        <w:tc>
          <w:tcPr>
            <w:tcW w:w="5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Clearing House Association L.L.C.</w:t>
            </w:r>
          </w:p>
        </w:tc>
        <w:tc>
          <w:tcPr>
            <w:tcW w:w="5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100 Broad Street</w:t>
            </w:r>
          </w:p>
        </w:tc>
      </w:tr>
      <w:tr>
        <w:trPr>
          <w:trHeight w:val="211"/>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New York, N.Y. 10004</w:t>
            </w:r>
          </w:p>
        </w:tc>
      </w:tr>
      <w:tr>
        <w:trPr>
          <w:trHeight w:val="585"/>
        </w:trPr>
        <w:tc>
          <w:tcPr>
            <w:tcW w:w="102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(b)</w:t>
            </w:r>
          </w:p>
        </w:tc>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Whether it is authorized to exercise corporate trust powers.</w:t>
            </w:r>
          </w:p>
        </w:tc>
        <w:tc>
          <w:tcPr>
            <w:tcW w:w="5800" w:type="dxa"/>
            <w:vAlign w:val="bottom"/>
          </w:tcPr>
          <w:p>
            <w:pPr>
              <w:spacing w:after="0"/>
              <w:rPr>
                <w:sz w:val="24"/>
                <w:szCs w:val="24"/>
                <w:color w:val="auto"/>
              </w:rPr>
            </w:pPr>
          </w:p>
        </w:tc>
      </w:tr>
      <w:tr>
        <w:trPr>
          <w:trHeight w:val="390"/>
        </w:trPr>
        <w:tc>
          <w:tcPr>
            <w:tcW w:w="10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Yes.</w:t>
            </w:r>
          </w:p>
        </w:tc>
        <w:tc>
          <w:tcPr>
            <w:tcW w:w="4440" w:type="dxa"/>
            <w:vAlign w:val="bottom"/>
          </w:tcPr>
          <w:p>
            <w:pPr>
              <w:spacing w:after="0"/>
              <w:rPr>
                <w:sz w:val="24"/>
                <w:szCs w:val="24"/>
                <w:color w:val="auto"/>
              </w:rPr>
            </w:pPr>
          </w:p>
        </w:tc>
        <w:tc>
          <w:tcPr>
            <w:tcW w:w="5800" w:type="dxa"/>
            <w:vAlign w:val="bottom"/>
          </w:tcPr>
          <w:p>
            <w:pPr>
              <w:spacing w:after="0"/>
              <w:rPr>
                <w:sz w:val="24"/>
                <w:szCs w:val="24"/>
                <w:color w:val="auto"/>
              </w:rPr>
            </w:pPr>
          </w:p>
        </w:tc>
      </w:tr>
    </w:tbl>
    <w:p>
      <w:pPr>
        <w:spacing w:after="0" w:line="177" w:lineRule="exact"/>
        <w:rPr>
          <w:sz w:val="20"/>
          <w:szCs w:val="20"/>
          <w:color w:val="auto"/>
        </w:rPr>
      </w:pPr>
    </w:p>
    <w:p>
      <w:pPr>
        <w:ind w:left="583" w:hanging="583"/>
        <w:spacing w:after="0"/>
        <w:tabs>
          <w:tab w:leader="none" w:pos="583" w:val="left"/>
        </w:tabs>
        <w:numPr>
          <w:ilvl w:val="0"/>
          <w:numId w:val="27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Affiliations with Obligor.</w:t>
      </w:r>
    </w:p>
    <w:p>
      <w:pPr>
        <w:spacing w:after="0" w:line="205" w:lineRule="exact"/>
        <w:rPr>
          <w:rFonts w:ascii="Times New Roman" w:cs="Times New Roman" w:eastAsia="Times New Roman" w:hAnsi="Times New Roman"/>
          <w:sz w:val="16"/>
          <w:szCs w:val="16"/>
          <w:b w:val="1"/>
          <w:bCs w:val="1"/>
          <w:color w:val="auto"/>
        </w:rPr>
      </w:pPr>
    </w:p>
    <w:p>
      <w:pPr>
        <w:ind w:left="583" w:right="5760"/>
        <w:spacing w:after="0" w:line="50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If the obligor is an affiliate of the trustee, describe each such affiliation. </w:t>
      </w:r>
      <w:r>
        <w:rPr>
          <w:rFonts w:ascii="Times New Roman" w:cs="Times New Roman" w:eastAsia="Times New Roman" w:hAnsi="Times New Roman"/>
          <w:sz w:val="16"/>
          <w:szCs w:val="16"/>
          <w:color w:val="auto"/>
        </w:rPr>
        <w:t>None.</w:t>
      </w:r>
    </w:p>
    <w:p>
      <w:pPr>
        <w:spacing w:after="0" w:line="1" w:lineRule="exact"/>
        <w:rPr>
          <w:sz w:val="20"/>
          <w:szCs w:val="20"/>
          <w:color w:val="auto"/>
        </w:rPr>
      </w:pPr>
    </w:p>
    <w:p>
      <w:pPr>
        <w:ind w:left="583" w:hanging="583"/>
        <w:spacing w:after="0"/>
        <w:tabs>
          <w:tab w:leader="none" w:pos="583" w:val="left"/>
        </w:tabs>
        <w:numPr>
          <w:ilvl w:val="0"/>
          <w:numId w:val="2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List of Exhibits.</w:t>
      </w:r>
    </w:p>
    <w:p>
      <w:pPr>
        <w:spacing w:after="0" w:line="171" w:lineRule="exact"/>
        <w:rPr>
          <w:rFonts w:ascii="Times New Roman" w:cs="Times New Roman" w:eastAsia="Times New Roman" w:hAnsi="Times New Roman"/>
          <w:sz w:val="16"/>
          <w:szCs w:val="16"/>
          <w:b w:val="1"/>
          <w:bCs w:val="1"/>
          <w:color w:val="auto"/>
        </w:rPr>
      </w:pPr>
    </w:p>
    <w:p>
      <w:pPr>
        <w:ind w:left="583" w:right="20"/>
        <w:spacing w:after="0" w:line="221" w:lineRule="exact"/>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Exhibits identified in parentheses below, on file with the Commission, are incorporated herein by reference as an exhibit hereto, pursuant to Rule 7a</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29 under the Trust Indenture Act of 1939 (the "Act").</w:t>
      </w:r>
    </w:p>
    <w:p>
      <w:pPr>
        <w:spacing w:after="0" w:line="180" w:lineRule="exact"/>
        <w:rPr>
          <w:rFonts w:ascii="Times New Roman" w:cs="Times New Roman" w:eastAsia="Times New Roman" w:hAnsi="Times New Roman"/>
          <w:sz w:val="16"/>
          <w:szCs w:val="16"/>
          <w:b w:val="1"/>
          <w:bCs w:val="1"/>
          <w:color w:val="auto"/>
        </w:rPr>
      </w:pPr>
    </w:p>
    <w:p>
      <w:pPr>
        <w:ind w:left="1163" w:right="180" w:hanging="578"/>
        <w:spacing w:after="0" w:line="262" w:lineRule="auto"/>
        <w:tabs>
          <w:tab w:leader="none" w:pos="1163" w:val="left"/>
        </w:tabs>
        <w:numPr>
          <w:ilvl w:val="1"/>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w:t>
      </w:r>
    </w:p>
    <w:p>
      <w:pPr>
        <w:spacing w:after="0" w:line="319" w:lineRule="exact"/>
        <w:rPr>
          <w:rFonts w:ascii="Times New Roman" w:cs="Times New Roman" w:eastAsia="Times New Roman" w:hAnsi="Times New Roman"/>
          <w:sz w:val="16"/>
          <w:szCs w:val="16"/>
          <w:color w:val="auto"/>
        </w:rPr>
      </w:pPr>
    </w:p>
    <w:p>
      <w:pPr>
        <w:ind w:left="5603" w:hanging="84"/>
        <w:spacing w:after="0"/>
        <w:tabs>
          <w:tab w:leader="none" w:pos="5603" w:val="left"/>
        </w:tabs>
        <w:numPr>
          <w:ilvl w:val="2"/>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82" w:name="page283"/>
    <w:bookmarkEnd w:id="282"/>
    <w:p>
      <w:pPr>
        <w:ind w:left="578" w:hanging="578"/>
        <w:spacing w:after="0"/>
        <w:tabs>
          <w:tab w:leader="none" w:pos="578" w:val="left"/>
        </w:tabs>
        <w:numPr>
          <w:ilvl w:val="0"/>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existing By-laws of the Trustee (Exhibit 4 to Form T-1 filed with Registration Statement No. 333-261533).</w:t>
      </w:r>
    </w:p>
    <w:p>
      <w:pPr>
        <w:spacing w:after="0" w:line="206" w:lineRule="exact"/>
        <w:rPr>
          <w:sz w:val="20"/>
          <w:szCs w:val="20"/>
          <w:color w:val="auto"/>
        </w:rPr>
      </w:pPr>
    </w:p>
    <w:p>
      <w:pPr>
        <w:ind w:left="578" w:hanging="578"/>
        <w:spacing w:after="0"/>
        <w:tabs>
          <w:tab w:leader="none" w:pos="578" w:val="left"/>
        </w:tabs>
        <w:numPr>
          <w:ilvl w:val="0"/>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consent of the Trustee required by Section 321(b) of the Act (Exhibit 6 to Form T-1 filed with Registration Statement No. 333-229519).</w:t>
      </w:r>
    </w:p>
    <w:p>
      <w:pPr>
        <w:spacing w:after="0" w:line="205" w:lineRule="exact"/>
        <w:rPr>
          <w:rFonts w:ascii="Times New Roman" w:cs="Times New Roman" w:eastAsia="Times New Roman" w:hAnsi="Times New Roman"/>
          <w:sz w:val="16"/>
          <w:szCs w:val="16"/>
          <w:color w:val="auto"/>
        </w:rPr>
      </w:pPr>
    </w:p>
    <w:p>
      <w:pPr>
        <w:ind w:left="578" w:hanging="578"/>
        <w:spacing w:after="0"/>
        <w:tabs>
          <w:tab w:leader="none" w:pos="578" w:val="left"/>
        </w:tabs>
        <w:numPr>
          <w:ilvl w:val="0"/>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latest report of condition of the Trustee published pursuant to law or to the requirements of its supervising or examining authority.</w:t>
      </w:r>
    </w:p>
    <w:p>
      <w:pPr>
        <w:spacing w:after="0" w:line="360" w:lineRule="exact"/>
        <w:rPr>
          <w:rFonts w:ascii="Times New Roman" w:cs="Times New Roman" w:eastAsia="Times New Roman" w:hAnsi="Times New Roman"/>
          <w:sz w:val="16"/>
          <w:szCs w:val="16"/>
          <w:color w:val="auto"/>
        </w:rPr>
      </w:pPr>
    </w:p>
    <w:p>
      <w:pPr>
        <w:ind w:left="5018" w:hanging="84"/>
        <w:spacing w:after="0"/>
        <w:tabs>
          <w:tab w:leader="none" w:pos="5018" w:val="left"/>
        </w:tabs>
        <w:numPr>
          <w:ilvl w:val="1"/>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33655</wp:posOffset>
            </wp:positionV>
            <wp:extent cx="7145655" cy="152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9958"/>
          </w:cols>
          <w:pgMar w:left="902" w:top="123" w:right="1039" w:bottom="1440" w:gutter="0" w:footer="0" w:header="0"/>
        </w:sectPr>
      </w:pPr>
    </w:p>
    <w:bookmarkStart w:id="283" w:name="page284"/>
    <w:bookmarkEnd w:id="283"/>
    <w:p>
      <w:pPr>
        <w:jc w:val="center"/>
        <w:spacing w:after="0"/>
        <w:rPr>
          <w:sz w:val="20"/>
          <w:szCs w:val="20"/>
          <w:color w:val="auto"/>
        </w:rPr>
      </w:pPr>
      <w:r>
        <w:rPr>
          <w:rFonts w:ascii="Times New Roman" w:cs="Times New Roman" w:eastAsia="Times New Roman" w:hAnsi="Times New Roman"/>
          <w:sz w:val="16"/>
          <w:szCs w:val="16"/>
          <w:color w:val="auto"/>
        </w:rPr>
        <w:t>SIGNATURE</w:t>
      </w:r>
    </w:p>
    <w:p>
      <w:pPr>
        <w:spacing w:after="0" w:line="206" w:lineRule="exact"/>
        <w:rPr>
          <w:sz w:val="20"/>
          <w:szCs w:val="20"/>
          <w:color w:val="auto"/>
        </w:rPr>
      </w:pPr>
    </w:p>
    <w:p>
      <w:pPr>
        <w:jc w:val="both"/>
        <w:ind w:firstLine="585"/>
        <w:spacing w:after="0" w:line="271" w:lineRule="auto"/>
        <w:rPr>
          <w:sz w:val="20"/>
          <w:szCs w:val="20"/>
          <w:color w:val="auto"/>
        </w:rPr>
      </w:pPr>
      <w:r>
        <w:rPr>
          <w:rFonts w:ascii="Times New Roman" w:cs="Times New Roman" w:eastAsia="Times New Roman" w:hAnsi="Times New Roman"/>
          <w:sz w:val="16"/>
          <w:szCs w:val="16"/>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Pittsburgh, and State of Pennsylvania, on the 2nd day of May, 2025.</w:t>
      </w:r>
    </w:p>
    <w:p>
      <w:pPr>
        <w:spacing w:after="0" w:line="1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THE BANK OF NEW YORK MELLON</w:t>
      </w:r>
    </w:p>
    <w:p>
      <w:pPr>
        <w:spacing w:after="0" w:line="206"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6"/>
          <w:szCs w:val="16"/>
          <w:color w:val="auto"/>
        </w:rPr>
        <w:t>By:</w:t>
        <w:tab/>
        <w:t>/s/ Nathaniel Henkle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25400</wp:posOffset>
            </wp:positionV>
            <wp:extent cx="3279140" cy="152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0">
                      <a:extLst>
                        <a:ext uri="{28A0092B-C50C-407E-A947-70E740481C1C}"/>
                      </a:extLst>
                    </a:blip>
                    <a:srcRect/>
                    <a:stretch>
                      <a:fillRect/>
                    </a:stretch>
                  </pic:blipFill>
                  <pic:spPr bwMode="auto">
                    <a:xfrm>
                      <a:off x="0" y="0"/>
                      <a:ext cx="3279140" cy="15240"/>
                    </a:xfrm>
                    <a:prstGeom prst="rect">
                      <a:avLst/>
                    </a:prstGeom>
                    <a:noFill/>
                  </pic:spPr>
                </pic:pic>
              </a:graphicData>
            </a:graphic>
          </wp:anchor>
        </w:drawing>
      </w:r>
    </w:p>
    <w:p>
      <w:pPr>
        <w:spacing w:after="0" w:line="27" w:lineRule="exact"/>
        <w:rPr>
          <w:sz w:val="20"/>
          <w:szCs w:val="20"/>
          <w:color w:val="auto"/>
        </w:rPr>
      </w:pPr>
    </w:p>
    <w:p>
      <w:pPr>
        <w:ind w:left="6080"/>
        <w:spacing w:after="0"/>
        <w:tabs>
          <w:tab w:leader="none" w:pos="6740" w:val="left"/>
        </w:tabs>
        <w:rPr>
          <w:sz w:val="20"/>
          <w:szCs w:val="20"/>
          <w:color w:val="auto"/>
        </w:rPr>
      </w:pPr>
      <w:r>
        <w:rPr>
          <w:rFonts w:ascii="Times New Roman" w:cs="Times New Roman" w:eastAsia="Times New Roman" w:hAnsi="Times New Roman"/>
          <w:sz w:val="16"/>
          <w:szCs w:val="16"/>
          <w:color w:val="auto"/>
        </w:rPr>
        <w:t>Name:</w:t>
        <w:tab/>
        <w:t>Nathaniel Henkle</w:t>
      </w:r>
    </w:p>
    <w:p>
      <w:pPr>
        <w:spacing w:after="0" w:line="27" w:lineRule="exact"/>
        <w:rPr>
          <w:sz w:val="20"/>
          <w:szCs w:val="20"/>
          <w:color w:val="auto"/>
        </w:rPr>
      </w:pPr>
    </w:p>
    <w:p>
      <w:pPr>
        <w:ind w:left="6080"/>
        <w:spacing w:after="0"/>
        <w:tabs>
          <w:tab w:leader="none" w:pos="674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Agent</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4" w:name="page285"/>
    <w:bookmarkEnd w:id="284"/>
    <w:p>
      <w:pPr>
        <w:ind w:left="10620"/>
        <w:spacing w:after="0"/>
        <w:rPr>
          <w:sz w:val="20"/>
          <w:szCs w:val="20"/>
          <w:color w:val="auto"/>
        </w:rPr>
      </w:pPr>
      <w:r>
        <w:rPr>
          <w:rFonts w:ascii="Times New Roman" w:cs="Times New Roman" w:eastAsia="Times New Roman" w:hAnsi="Times New Roman"/>
          <w:sz w:val="16"/>
          <w:szCs w:val="16"/>
          <w:b w:val="1"/>
          <w:bCs w:val="1"/>
          <w:color w:val="auto"/>
        </w:rPr>
        <w:t>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145655"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Report of Condition 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BANK OF NEW YORK MELLON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of 240 Greenwich Street, New York, N.Y. 10286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And Foreign and Domestic Subsidiaries,</w:t>
      </w:r>
    </w:p>
    <w:p>
      <w:pPr>
        <w:spacing w:after="0" w:line="1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a member of the Federal Reserve System, at the close of business December 31, 2024, published in accordance with a call made by the Federal Reserve Bank of this District pursuant to the provisions of the Federal Reserve Act.</w:t>
      </w:r>
    </w:p>
    <w:p>
      <w:pPr>
        <w:spacing w:after="0" w:line="156" w:lineRule="exact"/>
        <w:rPr>
          <w:sz w:val="20"/>
          <w:szCs w:val="20"/>
          <w:color w:val="auto"/>
        </w:rPr>
      </w:pPr>
    </w:p>
    <w:p>
      <w:pPr>
        <w:spacing w:after="0"/>
        <w:tabs>
          <w:tab w:leader="none" w:pos="9360" w:val="left"/>
        </w:tabs>
        <w:rPr>
          <w:sz w:val="20"/>
          <w:szCs w:val="20"/>
          <w:color w:val="auto"/>
        </w:rPr>
      </w:pPr>
      <w:r>
        <w:rPr>
          <w:rFonts w:ascii="Times New Roman" w:cs="Times New Roman" w:eastAsia="Times New Roman" w:hAnsi="Times New Roman"/>
          <w:sz w:val="16"/>
          <w:szCs w:val="16"/>
          <w:b w:val="1"/>
          <w:bCs w:val="1"/>
          <w:color w:val="auto"/>
        </w:rPr>
        <w:t>ASSETS</w:t>
      </w:r>
      <w:r>
        <w:rPr>
          <w:sz w:val="20"/>
          <w:szCs w:val="20"/>
          <w:color w:val="auto"/>
        </w:rPr>
        <w:tab/>
      </w:r>
      <w:r>
        <w:rPr>
          <w:rFonts w:ascii="Times New Roman" w:cs="Times New Roman" w:eastAsia="Times New Roman" w:hAnsi="Times New Roman"/>
          <w:sz w:val="16"/>
          <w:szCs w:val="16"/>
          <w:color w:val="auto"/>
        </w:rPr>
        <w:t>Dollar amounts in thousands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balances due from depository institutions:</w:t>
      </w:r>
    </w:p>
    <w:p>
      <w:pPr>
        <w:spacing w:after="0" w:line="27" w:lineRule="exact"/>
        <w:rPr>
          <w:sz w:val="20"/>
          <w:szCs w:val="20"/>
          <w:color w:val="auto"/>
        </w:rPr>
      </w:pPr>
    </w:p>
    <w:p>
      <w:pPr>
        <w:ind w:left="140"/>
        <w:spacing w:after="0"/>
        <w:tabs>
          <w:tab w:leader="dot" w:pos="10580" w:val="left"/>
        </w:tabs>
        <w:rPr>
          <w:sz w:val="20"/>
          <w:szCs w:val="20"/>
          <w:color w:val="auto"/>
        </w:rPr>
      </w:pPr>
      <w:r>
        <w:rPr>
          <w:rFonts w:ascii="Times New Roman" w:cs="Times New Roman" w:eastAsia="Times New Roman" w:hAnsi="Times New Roman"/>
          <w:sz w:val="16"/>
          <w:szCs w:val="16"/>
          <w:color w:val="auto"/>
        </w:rPr>
        <w:t>Noninterest-bearing balances and currency and coin</w:t>
      </w:r>
      <w:r>
        <w:rPr>
          <w:sz w:val="20"/>
          <w:szCs w:val="20"/>
          <w:color w:val="auto"/>
        </w:rPr>
        <w:tab/>
      </w:r>
      <w:r>
        <w:rPr>
          <w:rFonts w:ascii="Times New Roman" w:cs="Times New Roman" w:eastAsia="Times New Roman" w:hAnsi="Times New Roman"/>
          <w:sz w:val="16"/>
          <w:szCs w:val="16"/>
          <w:color w:val="auto"/>
        </w:rPr>
        <w:t>3,316,000</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Interest-bearing balances</w:t>
      </w:r>
      <w:r>
        <w:rPr>
          <w:sz w:val="20"/>
          <w:szCs w:val="20"/>
          <w:color w:val="auto"/>
        </w:rPr>
        <w:tab/>
      </w:r>
      <w:r>
        <w:rPr>
          <w:rFonts w:ascii="Times New Roman" w:cs="Times New Roman" w:eastAsia="Times New Roman" w:hAnsi="Times New Roman"/>
          <w:sz w:val="16"/>
          <w:szCs w:val="16"/>
          <w:color w:val="auto"/>
        </w:rPr>
        <w:t>96,711,000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Held-to-maturity securities</w:t>
      </w:r>
      <w:r>
        <w:rPr>
          <w:sz w:val="20"/>
          <w:szCs w:val="20"/>
          <w:color w:val="auto"/>
        </w:rPr>
        <w:tab/>
      </w:r>
      <w:r>
        <w:rPr>
          <w:rFonts w:ascii="Times New Roman" w:cs="Times New Roman" w:eastAsia="Times New Roman" w:hAnsi="Times New Roman"/>
          <w:sz w:val="16"/>
          <w:szCs w:val="16"/>
          <w:color w:val="auto"/>
        </w:rPr>
        <w:t>48,596,000</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Available-for-sale debt securities</w:t>
      </w:r>
      <w:r>
        <w:rPr>
          <w:sz w:val="20"/>
          <w:szCs w:val="20"/>
          <w:color w:val="auto"/>
        </w:rPr>
        <w:tab/>
      </w:r>
      <w:r>
        <w:rPr>
          <w:rFonts w:ascii="Times New Roman" w:cs="Times New Roman" w:eastAsia="Times New Roman" w:hAnsi="Times New Roman"/>
          <w:sz w:val="16"/>
          <w:szCs w:val="16"/>
          <w:color w:val="auto"/>
        </w:rPr>
        <w:t>87,787,000</w:t>
      </w:r>
    </w:p>
    <w:p>
      <w:pPr>
        <w:spacing w:after="0" w:line="11" w:lineRule="exact"/>
        <w:rPr>
          <w:sz w:val="20"/>
          <w:szCs w:val="20"/>
          <w:color w:val="auto"/>
        </w:rPr>
      </w:pPr>
    </w:p>
    <w:p>
      <w:pPr>
        <w:ind w:left="140"/>
        <w:spacing w:after="0"/>
        <w:tabs>
          <w:tab w:leader="dot" w:pos="11140" w:val="left"/>
        </w:tabs>
        <w:rPr>
          <w:sz w:val="20"/>
          <w:szCs w:val="20"/>
          <w:color w:val="auto"/>
        </w:rPr>
      </w:pPr>
      <w:r>
        <w:rPr>
          <w:rFonts w:ascii="Times New Roman" w:cs="Times New Roman" w:eastAsia="Times New Roman" w:hAnsi="Times New Roman"/>
          <w:sz w:val="16"/>
          <w:szCs w:val="16"/>
          <w:color w:val="auto"/>
        </w:rPr>
        <w:t>Equity securities with readily determinable fair values not held for trading</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Federal funds sold and securities purchased under agreements to resell:</w:t>
      </w:r>
    </w:p>
    <w:p>
      <w:pPr>
        <w:spacing w:after="0" w:line="11" w:lineRule="exact"/>
        <w:rPr>
          <w:sz w:val="20"/>
          <w:szCs w:val="20"/>
          <w:color w:val="auto"/>
        </w:rPr>
      </w:pPr>
    </w:p>
    <w:p>
      <w:pPr>
        <w:ind w:left="140"/>
        <w:spacing w:after="0"/>
        <w:tabs>
          <w:tab w:leader="dot" w:pos="11140" w:val="left"/>
        </w:tabs>
        <w:rPr>
          <w:sz w:val="20"/>
          <w:szCs w:val="20"/>
          <w:color w:val="auto"/>
        </w:rPr>
      </w:pPr>
      <w:r>
        <w:rPr>
          <w:rFonts w:ascii="Times New Roman" w:cs="Times New Roman" w:eastAsia="Times New Roman" w:hAnsi="Times New Roman"/>
          <w:sz w:val="16"/>
          <w:szCs w:val="16"/>
          <w:color w:val="auto"/>
        </w:rPr>
        <w:t>Federal funds sold in domestic offices</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Securities purchased under agreements to resell</w:t>
      </w:r>
      <w:r>
        <w:rPr>
          <w:sz w:val="20"/>
          <w:szCs w:val="20"/>
          <w:color w:val="auto"/>
        </w:rPr>
        <w:tab/>
      </w:r>
      <w:r>
        <w:rPr>
          <w:rFonts w:ascii="Times New Roman" w:cs="Times New Roman" w:eastAsia="Times New Roman" w:hAnsi="Times New Roman"/>
          <w:sz w:val="16"/>
          <w:szCs w:val="16"/>
          <w:color w:val="auto"/>
        </w:rPr>
        <w:t>24,014,000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Loans and lease financing receivables:</w:t>
      </w:r>
    </w:p>
    <w:p>
      <w:pPr>
        <w:spacing w:after="0" w:line="11" w:lineRule="exact"/>
        <w:rPr>
          <w:sz w:val="20"/>
          <w:szCs w:val="20"/>
          <w:color w:val="auto"/>
        </w:rPr>
      </w:pPr>
    </w:p>
    <w:p>
      <w:pPr>
        <w:ind w:left="140"/>
        <w:spacing w:after="0"/>
        <w:tabs>
          <w:tab w:leader="dot" w:pos="11140" w:val="left"/>
        </w:tabs>
        <w:rPr>
          <w:sz w:val="20"/>
          <w:szCs w:val="20"/>
          <w:color w:val="auto"/>
        </w:rPr>
      </w:pPr>
      <w:r>
        <w:rPr>
          <w:rFonts w:ascii="Times New Roman" w:cs="Times New Roman" w:eastAsia="Times New Roman" w:hAnsi="Times New Roman"/>
          <w:sz w:val="16"/>
          <w:szCs w:val="16"/>
          <w:color w:val="auto"/>
        </w:rPr>
        <w:t>Loans and leases held for sale</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Loans and leases held for investment</w:t>
      </w:r>
      <w:r>
        <w:rPr>
          <w:sz w:val="20"/>
          <w:szCs w:val="20"/>
          <w:color w:val="auto"/>
        </w:rPr>
        <w:tab/>
      </w:r>
      <w:r>
        <w:rPr>
          <w:rFonts w:ascii="Times New Roman" w:cs="Times New Roman" w:eastAsia="Times New Roman" w:hAnsi="Times New Roman"/>
          <w:sz w:val="16"/>
          <w:szCs w:val="16"/>
          <w:color w:val="auto"/>
        </w:rPr>
        <w:t>37,084,000</w:t>
      </w:r>
    </w:p>
    <w:p>
      <w:pPr>
        <w:spacing w:after="0" w:line="11" w:lineRule="exact"/>
        <w:rPr>
          <w:sz w:val="20"/>
          <w:szCs w:val="20"/>
          <w:color w:val="auto"/>
        </w:rPr>
      </w:pPr>
    </w:p>
    <w:p>
      <w:pPr>
        <w:ind w:left="140"/>
        <w:spacing w:after="0"/>
        <w:tabs>
          <w:tab w:leader="dot" w:pos="10700" w:val="left"/>
        </w:tabs>
        <w:rPr>
          <w:sz w:val="20"/>
          <w:szCs w:val="20"/>
          <w:color w:val="auto"/>
        </w:rPr>
      </w:pPr>
      <w:r>
        <w:rPr>
          <w:rFonts w:ascii="Times New Roman" w:cs="Times New Roman" w:eastAsia="Times New Roman" w:hAnsi="Times New Roman"/>
          <w:sz w:val="16"/>
          <w:szCs w:val="16"/>
          <w:color w:val="auto"/>
        </w:rPr>
        <w:t>LESS: Allowance for credit losses on loans and leases</w:t>
      </w:r>
      <w:r>
        <w:rPr>
          <w:sz w:val="20"/>
          <w:szCs w:val="20"/>
          <w:color w:val="auto"/>
        </w:rPr>
        <w:tab/>
      </w:r>
      <w:r>
        <w:rPr>
          <w:rFonts w:ascii="Times New Roman" w:cs="Times New Roman" w:eastAsia="Times New Roman" w:hAnsi="Times New Roman"/>
          <w:sz w:val="16"/>
          <w:szCs w:val="16"/>
          <w:color w:val="auto"/>
        </w:rPr>
        <w:t>272,000</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Loans and leases held for investment, net of allowance</w:t>
      </w:r>
      <w:r>
        <w:rPr>
          <w:sz w:val="20"/>
          <w:szCs w:val="20"/>
          <w:color w:val="auto"/>
        </w:rPr>
        <w:tab/>
      </w:r>
      <w:r>
        <w:rPr>
          <w:rFonts w:ascii="Times New Roman" w:cs="Times New Roman" w:eastAsia="Times New Roman" w:hAnsi="Times New Roman"/>
          <w:sz w:val="16"/>
          <w:szCs w:val="16"/>
          <w:color w:val="auto"/>
        </w:rPr>
        <w:t>36,812,000</w:t>
      </w:r>
    </w:p>
    <w:p>
      <w:pPr>
        <w:spacing w:after="0" w:line="11"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16"/>
          <w:szCs w:val="16"/>
          <w:color w:val="auto"/>
        </w:rPr>
        <w:t>Trading assets</w:t>
      </w:r>
      <w:r>
        <w:rPr>
          <w:sz w:val="20"/>
          <w:szCs w:val="20"/>
          <w:color w:val="auto"/>
        </w:rPr>
        <w:tab/>
      </w:r>
      <w:r>
        <w:rPr>
          <w:rFonts w:ascii="Times New Roman" w:cs="Times New Roman" w:eastAsia="Times New Roman" w:hAnsi="Times New Roman"/>
          <w:sz w:val="16"/>
          <w:szCs w:val="16"/>
          <w:color w:val="auto"/>
        </w:rPr>
        <w:t>7,593,000</w:t>
      </w:r>
    </w:p>
    <w:p>
      <w:pPr>
        <w:spacing w:after="0" w:line="11"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16"/>
          <w:szCs w:val="16"/>
          <w:color w:val="auto"/>
        </w:rPr>
        <w:t>Premises and fixed assets (including right-of-use assets)</w:t>
      </w:r>
      <w:r>
        <w:rPr>
          <w:sz w:val="20"/>
          <w:szCs w:val="20"/>
          <w:color w:val="auto"/>
        </w:rPr>
        <w:tab/>
      </w:r>
      <w:r>
        <w:rPr>
          <w:rFonts w:ascii="Times New Roman" w:cs="Times New Roman" w:eastAsia="Times New Roman" w:hAnsi="Times New Roman"/>
          <w:sz w:val="16"/>
          <w:szCs w:val="16"/>
          <w:color w:val="auto"/>
        </w:rPr>
        <w:t>2,912,000</w:t>
      </w:r>
    </w:p>
    <w:p>
      <w:pPr>
        <w:spacing w:after="0" w:line="11" w:lineRule="exact"/>
        <w:rPr>
          <w:sz w:val="20"/>
          <w:szCs w:val="20"/>
          <w:color w:val="auto"/>
        </w:rPr>
      </w:pPr>
    </w:p>
    <w:p>
      <w:pPr>
        <w:spacing w:after="0"/>
        <w:tabs>
          <w:tab w:leader="dot" w:pos="11140" w:val="left"/>
        </w:tabs>
        <w:rPr>
          <w:sz w:val="20"/>
          <w:szCs w:val="20"/>
          <w:color w:val="auto"/>
        </w:rPr>
      </w:pPr>
      <w:r>
        <w:rPr>
          <w:rFonts w:ascii="Times New Roman" w:cs="Times New Roman" w:eastAsia="Times New Roman" w:hAnsi="Times New Roman"/>
          <w:sz w:val="16"/>
          <w:szCs w:val="16"/>
          <w:color w:val="auto"/>
        </w:rPr>
        <w:t>Other real estate owned</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16"/>
          <w:szCs w:val="16"/>
          <w:color w:val="auto"/>
        </w:rPr>
        <w:t>Investments in unconsolidated subsidiaries and associated companies</w:t>
      </w:r>
      <w:r>
        <w:rPr>
          <w:sz w:val="20"/>
          <w:szCs w:val="20"/>
          <w:color w:val="auto"/>
        </w:rPr>
        <w:tab/>
      </w:r>
      <w:r>
        <w:rPr>
          <w:rFonts w:ascii="Times New Roman" w:cs="Times New Roman" w:eastAsia="Times New Roman" w:hAnsi="Times New Roman"/>
          <w:sz w:val="16"/>
          <w:szCs w:val="16"/>
          <w:color w:val="auto"/>
        </w:rPr>
        <w:t>2,021,000</w:t>
      </w:r>
    </w:p>
    <w:p>
      <w:pPr>
        <w:spacing w:after="0" w:line="11" w:lineRule="exact"/>
        <w:rPr>
          <w:sz w:val="20"/>
          <w:szCs w:val="20"/>
          <w:color w:val="auto"/>
        </w:rPr>
      </w:pPr>
    </w:p>
    <w:p>
      <w:pPr>
        <w:spacing w:after="0"/>
        <w:tabs>
          <w:tab w:leader="dot" w:pos="11140" w:val="left"/>
        </w:tabs>
        <w:rPr>
          <w:sz w:val="20"/>
          <w:szCs w:val="20"/>
          <w:color w:val="auto"/>
        </w:rPr>
      </w:pPr>
      <w:r>
        <w:rPr>
          <w:rFonts w:ascii="Times New Roman" w:cs="Times New Roman" w:eastAsia="Times New Roman" w:hAnsi="Times New Roman"/>
          <w:sz w:val="16"/>
          <w:szCs w:val="16"/>
          <w:color w:val="auto"/>
        </w:rPr>
        <w:t>Direct and indirect investments in real estate ventures</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16"/>
          <w:szCs w:val="16"/>
          <w:color w:val="auto"/>
        </w:rPr>
        <w:t>Intangible assets</w:t>
      </w:r>
      <w:r>
        <w:rPr>
          <w:sz w:val="20"/>
          <w:szCs w:val="20"/>
          <w:color w:val="auto"/>
        </w:rPr>
        <w:tab/>
      </w:r>
      <w:r>
        <w:rPr>
          <w:rFonts w:ascii="Times New Roman" w:cs="Times New Roman" w:eastAsia="Times New Roman" w:hAnsi="Times New Roman"/>
          <w:sz w:val="16"/>
          <w:szCs w:val="16"/>
          <w:color w:val="auto"/>
        </w:rPr>
        <w:t>7,329,000</w:t>
      </w:r>
    </w:p>
    <w:p>
      <w:pPr>
        <w:spacing w:after="0" w:line="11" w:lineRule="exact"/>
        <w:rPr>
          <w:sz w:val="20"/>
          <w:szCs w:val="20"/>
          <w:color w:val="auto"/>
        </w:rPr>
      </w:pPr>
    </w:p>
    <w:p>
      <w:pPr>
        <w:spacing w:after="0"/>
        <w:tabs>
          <w:tab w:leader="dot" w:pos="10500" w:val="left"/>
        </w:tabs>
        <w:rPr>
          <w:sz w:val="20"/>
          <w:szCs w:val="20"/>
          <w:color w:val="auto"/>
        </w:rPr>
      </w:pPr>
      <w:r>
        <w:rPr>
          <w:rFonts w:ascii="Times New Roman" w:cs="Times New Roman" w:eastAsia="Times New Roman" w:hAnsi="Times New Roman"/>
          <w:sz w:val="16"/>
          <w:szCs w:val="16"/>
          <w:color w:val="auto"/>
        </w:rPr>
        <w:t>Other assets</w:t>
      </w:r>
      <w:r>
        <w:rPr>
          <w:sz w:val="20"/>
          <w:szCs w:val="20"/>
          <w:color w:val="auto"/>
        </w:rPr>
        <w:tab/>
      </w:r>
      <w:r>
        <w:rPr>
          <w:rFonts w:ascii="Times New Roman" w:cs="Times New Roman" w:eastAsia="Times New Roman" w:hAnsi="Times New Roman"/>
          <w:sz w:val="16"/>
          <w:szCs w:val="16"/>
          <w:color w:val="auto"/>
        </w:rPr>
        <w:t>18,864,000</w:t>
      </w:r>
    </w:p>
    <w:p>
      <w:pPr>
        <w:spacing w:after="0" w:line="23" w:lineRule="exact"/>
        <w:rPr>
          <w:sz w:val="20"/>
          <w:szCs w:val="20"/>
          <w:color w:val="auto"/>
        </w:rPr>
      </w:pPr>
    </w:p>
    <w:p>
      <w:pPr>
        <w:spacing w:after="0"/>
        <w:tabs>
          <w:tab w:leader="dot" w:pos="10420" w:val="left"/>
        </w:tabs>
        <w:rPr>
          <w:sz w:val="20"/>
          <w:szCs w:val="20"/>
          <w:color w:val="auto"/>
        </w:rPr>
      </w:pPr>
      <w:r>
        <w:rPr>
          <w:rFonts w:ascii="Times New Roman" w:cs="Times New Roman" w:eastAsia="Times New Roman" w:hAnsi="Times New Roman"/>
          <w:sz w:val="16"/>
          <w:szCs w:val="16"/>
          <w:color w:val="auto"/>
        </w:rPr>
        <w:t>Total assets</w:t>
      </w:r>
      <w:r>
        <w:rPr>
          <w:sz w:val="20"/>
          <w:szCs w:val="20"/>
          <w:color w:val="auto"/>
        </w:rPr>
        <w:tab/>
      </w:r>
      <w:r>
        <w:rPr>
          <w:rFonts w:ascii="Times New Roman" w:cs="Times New Roman" w:eastAsia="Times New Roman" w:hAnsi="Times New Roman"/>
          <w:sz w:val="16"/>
          <w:szCs w:val="16"/>
          <w:color w:val="auto"/>
        </w:rPr>
        <w:t>335,955,000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6432550</wp:posOffset>
            </wp:positionH>
            <wp:positionV relativeFrom="paragraph">
              <wp:posOffset>30480</wp:posOffset>
            </wp:positionV>
            <wp:extent cx="711200"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3">
                      <a:extLst>
                        <a:ext uri="{28A0092B-C50C-407E-A947-70E740481C1C}"/>
                      </a:extLst>
                    </a:blip>
                    <a:srcRect/>
                    <a:stretch>
                      <a:fillRect/>
                    </a:stretch>
                  </pic:blipFill>
                  <pic:spPr bwMode="auto">
                    <a:xfrm>
                      <a:off x="0" y="0"/>
                      <a:ext cx="711200" cy="7620"/>
                    </a:xfrm>
                    <a:prstGeom prst="rect">
                      <a:avLst/>
                    </a:prstGeom>
                    <a:noFill/>
                  </pic:spPr>
                </pic:pic>
              </a:graphicData>
            </a:graphic>
          </wp:anchor>
        </w:drawing>
        <w:drawing>
          <wp:anchor simplePos="0" relativeHeight="251657728" behindDoc="1" locked="0" layoutInCell="0" allowOverlap="1">
            <wp:simplePos x="0" y="0"/>
            <wp:positionH relativeFrom="column">
              <wp:posOffset>6432550</wp:posOffset>
            </wp:positionH>
            <wp:positionV relativeFrom="paragraph">
              <wp:posOffset>53975</wp:posOffset>
            </wp:positionV>
            <wp:extent cx="711200"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4">
                      <a:extLst>
                        <a:ext uri="{28A0092B-C50C-407E-A947-70E740481C1C}"/>
                      </a:extLst>
                    </a:blip>
                    <a:srcRect/>
                    <a:stretch>
                      <a:fillRect/>
                    </a:stretch>
                  </pic:blipFill>
                  <pic:spPr bwMode="auto">
                    <a:xfrm>
                      <a:off x="0" y="0"/>
                      <a:ext cx="711200" cy="7620"/>
                    </a:xfrm>
                    <a:prstGeom prst="rect">
                      <a:avLst/>
                    </a:prstGeom>
                    <a:noFill/>
                  </pic:spPr>
                </pic:pic>
              </a:graphicData>
            </a:graphic>
          </wp:anchor>
        </w:drawing>
        <w:drawing>
          <wp:anchor simplePos="0" relativeHeight="251657728" behindDoc="1" locked="0" layoutInCell="0" allowOverlap="1">
            <wp:simplePos x="0" y="0"/>
            <wp:positionH relativeFrom="column">
              <wp:posOffset>6432550</wp:posOffset>
            </wp:positionH>
            <wp:positionV relativeFrom="paragraph">
              <wp:posOffset>-115570</wp:posOffset>
            </wp:positionV>
            <wp:extent cx="711200" cy="152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5">
                      <a:extLst>
                        <a:ext uri="{28A0092B-C50C-407E-A947-70E740481C1C}"/>
                      </a:extLst>
                    </a:blip>
                    <a:srcRect/>
                    <a:stretch>
                      <a:fillRect/>
                    </a:stretch>
                  </pic:blipFill>
                  <pic:spPr bwMode="auto">
                    <a:xfrm>
                      <a:off x="0" y="0"/>
                      <a:ext cx="711200" cy="15240"/>
                    </a:xfrm>
                    <a:prstGeom prst="rect">
                      <a:avLst/>
                    </a:prstGeom>
                    <a:noFill/>
                  </pic:spPr>
                </pic:pic>
              </a:graphicData>
            </a:graphic>
          </wp:anchor>
        </w:drawing>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Deposits:</w:t>
      </w:r>
    </w:p>
    <w:p>
      <w:pPr>
        <w:spacing w:after="0" w:line="11" w:lineRule="exact"/>
        <w:rPr>
          <w:sz w:val="20"/>
          <w:szCs w:val="20"/>
          <w:color w:val="auto"/>
        </w:rPr>
      </w:pPr>
    </w:p>
    <w:p>
      <w:pPr>
        <w:ind w:left="140"/>
        <w:spacing w:after="0"/>
        <w:tabs>
          <w:tab w:leader="dot" w:pos="10420" w:val="left"/>
        </w:tabs>
        <w:rPr>
          <w:sz w:val="20"/>
          <w:szCs w:val="20"/>
          <w:color w:val="auto"/>
        </w:rPr>
      </w:pPr>
      <w:r>
        <w:rPr>
          <w:rFonts w:ascii="Times New Roman" w:cs="Times New Roman" w:eastAsia="Times New Roman" w:hAnsi="Times New Roman"/>
          <w:sz w:val="16"/>
          <w:szCs w:val="16"/>
          <w:color w:val="auto"/>
        </w:rPr>
        <w:t>In domestic offices</w:t>
      </w:r>
      <w:r>
        <w:rPr>
          <w:sz w:val="20"/>
          <w:szCs w:val="20"/>
          <w:color w:val="auto"/>
        </w:rPr>
        <w:tab/>
      </w:r>
      <w:r>
        <w:rPr>
          <w:rFonts w:ascii="Times New Roman" w:cs="Times New Roman" w:eastAsia="Times New Roman" w:hAnsi="Times New Roman"/>
          <w:sz w:val="16"/>
          <w:szCs w:val="16"/>
          <w:color w:val="auto"/>
        </w:rPr>
        <w:t>194,168,000</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Noninterest-bearing</w:t>
      </w:r>
      <w:r>
        <w:rPr>
          <w:sz w:val="20"/>
          <w:szCs w:val="20"/>
          <w:color w:val="auto"/>
        </w:rPr>
        <w:tab/>
      </w:r>
      <w:r>
        <w:rPr>
          <w:rFonts w:ascii="Times New Roman" w:cs="Times New Roman" w:eastAsia="Times New Roman" w:hAnsi="Times New Roman"/>
          <w:sz w:val="16"/>
          <w:szCs w:val="16"/>
          <w:color w:val="auto"/>
        </w:rPr>
        <w:t>61,444,000</w:t>
      </w:r>
    </w:p>
    <w:p>
      <w:pPr>
        <w:spacing w:after="0" w:line="11" w:lineRule="exact"/>
        <w:rPr>
          <w:sz w:val="20"/>
          <w:szCs w:val="20"/>
          <w:color w:val="auto"/>
        </w:rPr>
      </w:pPr>
    </w:p>
    <w:p>
      <w:pPr>
        <w:ind w:left="140"/>
        <w:spacing w:after="0"/>
        <w:tabs>
          <w:tab w:leader="dot" w:pos="10420" w:val="left"/>
        </w:tabs>
        <w:rPr>
          <w:sz w:val="20"/>
          <w:szCs w:val="20"/>
          <w:color w:val="auto"/>
        </w:rPr>
      </w:pPr>
      <w:r>
        <w:rPr>
          <w:rFonts w:ascii="Times New Roman" w:cs="Times New Roman" w:eastAsia="Times New Roman" w:hAnsi="Times New Roman"/>
          <w:sz w:val="16"/>
          <w:szCs w:val="16"/>
          <w:color w:val="auto"/>
        </w:rPr>
        <w:t>Interest-bearing</w:t>
      </w:r>
      <w:r>
        <w:rPr>
          <w:sz w:val="20"/>
          <w:szCs w:val="20"/>
          <w:color w:val="auto"/>
        </w:rPr>
        <w:tab/>
      </w:r>
      <w:r>
        <w:rPr>
          <w:rFonts w:ascii="Times New Roman" w:cs="Times New Roman" w:eastAsia="Times New Roman" w:hAnsi="Times New Roman"/>
          <w:sz w:val="16"/>
          <w:szCs w:val="16"/>
          <w:color w:val="auto"/>
        </w:rPr>
        <w:t>132,724,000</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In foreign offices, Edge and Agreement subsidiaries, and IBFs</w:t>
      </w:r>
      <w:r>
        <w:rPr>
          <w:sz w:val="20"/>
          <w:szCs w:val="20"/>
          <w:color w:val="auto"/>
        </w:rPr>
        <w:tab/>
      </w:r>
      <w:r>
        <w:rPr>
          <w:rFonts w:ascii="Times New Roman" w:cs="Times New Roman" w:eastAsia="Times New Roman" w:hAnsi="Times New Roman"/>
          <w:sz w:val="16"/>
          <w:szCs w:val="16"/>
          <w:color w:val="auto"/>
        </w:rPr>
        <w:t>97,210,000</w:t>
      </w:r>
    </w:p>
    <w:p>
      <w:pPr>
        <w:spacing w:after="0" w:line="11" w:lineRule="exact"/>
        <w:rPr>
          <w:sz w:val="20"/>
          <w:szCs w:val="20"/>
          <w:color w:val="auto"/>
        </w:rPr>
      </w:pPr>
    </w:p>
    <w:p>
      <w:pPr>
        <w:ind w:left="140"/>
        <w:spacing w:after="0"/>
        <w:tabs>
          <w:tab w:leader="dot" w:pos="10580" w:val="left"/>
        </w:tabs>
        <w:rPr>
          <w:sz w:val="20"/>
          <w:szCs w:val="20"/>
          <w:color w:val="auto"/>
        </w:rPr>
      </w:pPr>
      <w:r>
        <w:rPr>
          <w:rFonts w:ascii="Times New Roman" w:cs="Times New Roman" w:eastAsia="Times New Roman" w:hAnsi="Times New Roman"/>
          <w:sz w:val="16"/>
          <w:szCs w:val="16"/>
          <w:color w:val="auto"/>
        </w:rPr>
        <w:t>Noninterest-bearing</w:t>
      </w:r>
      <w:r>
        <w:rPr>
          <w:sz w:val="20"/>
          <w:szCs w:val="20"/>
          <w:color w:val="auto"/>
        </w:rPr>
        <w:tab/>
      </w:r>
      <w:r>
        <w:rPr>
          <w:rFonts w:ascii="Times New Roman" w:cs="Times New Roman" w:eastAsia="Times New Roman" w:hAnsi="Times New Roman"/>
          <w:sz w:val="16"/>
          <w:szCs w:val="16"/>
          <w:color w:val="auto"/>
        </w:rPr>
        <w:t>3,557,000</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Interest-bearing</w:t>
      </w:r>
      <w:r>
        <w:rPr>
          <w:sz w:val="20"/>
          <w:szCs w:val="20"/>
          <w:color w:val="auto"/>
        </w:rPr>
        <w:tab/>
      </w:r>
      <w:r>
        <w:rPr>
          <w:rFonts w:ascii="Times New Roman" w:cs="Times New Roman" w:eastAsia="Times New Roman" w:hAnsi="Times New Roman"/>
          <w:sz w:val="16"/>
          <w:szCs w:val="16"/>
          <w:color w:val="auto"/>
        </w:rPr>
        <w:t>93,653,000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Federal funds purchased and securities sold under agreements to repurchase:</w:t>
      </w:r>
    </w:p>
    <w:p>
      <w:pPr>
        <w:spacing w:after="0" w:line="11" w:lineRule="exact"/>
        <w:rPr>
          <w:sz w:val="20"/>
          <w:szCs w:val="20"/>
          <w:color w:val="auto"/>
        </w:rPr>
      </w:pPr>
    </w:p>
    <w:p>
      <w:pPr>
        <w:ind w:left="140"/>
        <w:spacing w:after="0"/>
        <w:tabs>
          <w:tab w:leader="dot" w:pos="11140" w:val="left"/>
        </w:tabs>
        <w:rPr>
          <w:sz w:val="20"/>
          <w:szCs w:val="20"/>
          <w:color w:val="auto"/>
        </w:rPr>
      </w:pPr>
      <w:r>
        <w:rPr>
          <w:rFonts w:ascii="Times New Roman" w:cs="Times New Roman" w:eastAsia="Times New Roman" w:hAnsi="Times New Roman"/>
          <w:sz w:val="16"/>
          <w:szCs w:val="16"/>
          <w:color w:val="auto"/>
        </w:rPr>
        <w:t>Federal funds purchased in domestic offices</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ind w:left="140"/>
        <w:spacing w:after="0"/>
        <w:tabs>
          <w:tab w:leader="dot" w:pos="10580" w:val="left"/>
        </w:tabs>
        <w:rPr>
          <w:sz w:val="20"/>
          <w:szCs w:val="20"/>
          <w:color w:val="auto"/>
        </w:rPr>
      </w:pPr>
      <w:r>
        <w:rPr>
          <w:rFonts w:ascii="Times New Roman" w:cs="Times New Roman" w:eastAsia="Times New Roman" w:hAnsi="Times New Roman"/>
          <w:sz w:val="16"/>
          <w:szCs w:val="16"/>
          <w:color w:val="auto"/>
        </w:rPr>
        <w:t>Securities sold under agreements to repurchase</w:t>
      </w:r>
      <w:r>
        <w:rPr>
          <w:sz w:val="20"/>
          <w:szCs w:val="20"/>
          <w:color w:val="auto"/>
        </w:rPr>
        <w:tab/>
      </w:r>
      <w:r>
        <w:rPr>
          <w:rFonts w:ascii="Times New Roman" w:cs="Times New Roman" w:eastAsia="Times New Roman" w:hAnsi="Times New Roman"/>
          <w:sz w:val="16"/>
          <w:szCs w:val="16"/>
          <w:color w:val="auto"/>
        </w:rPr>
        <w:t>2,499,000</w:t>
      </w:r>
    </w:p>
    <w:p>
      <w:pPr>
        <w:spacing w:after="0" w:line="11"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16"/>
          <w:szCs w:val="16"/>
          <w:color w:val="auto"/>
        </w:rPr>
        <w:t>Trading liabilities</w:t>
      </w:r>
      <w:r>
        <w:rPr>
          <w:sz w:val="20"/>
          <w:szCs w:val="20"/>
          <w:color w:val="auto"/>
        </w:rPr>
        <w:tab/>
      </w:r>
      <w:r>
        <w:rPr>
          <w:rFonts w:ascii="Times New Roman" w:cs="Times New Roman" w:eastAsia="Times New Roman" w:hAnsi="Times New Roman"/>
          <w:sz w:val="16"/>
          <w:szCs w:val="16"/>
          <w:color w:val="auto"/>
        </w:rPr>
        <w:t>2,911,000</w:t>
      </w:r>
    </w:p>
    <w:p>
      <w:pPr>
        <w:spacing w:after="0" w:line="11" w:lineRule="exact"/>
        <w:rPr>
          <w:sz w:val="20"/>
          <w:szCs w:val="20"/>
          <w:color w:val="auto"/>
        </w:rPr>
      </w:pPr>
    </w:p>
    <w:p>
      <w:pPr>
        <w:spacing w:after="0"/>
        <w:tabs>
          <w:tab w:leader="none" w:pos="10580" w:val="left"/>
        </w:tabs>
        <w:rPr>
          <w:sz w:val="20"/>
          <w:szCs w:val="20"/>
          <w:color w:val="auto"/>
        </w:rPr>
      </w:pPr>
      <w:r>
        <w:rPr>
          <w:rFonts w:ascii="Times New Roman" w:cs="Times New Roman" w:eastAsia="Times New Roman" w:hAnsi="Times New Roman"/>
          <w:sz w:val="16"/>
          <w:szCs w:val="16"/>
          <w:color w:val="auto"/>
        </w:rPr>
        <w:t>Other borrowed money:</w:t>
      </w:r>
      <w:r>
        <w:rPr>
          <w:sz w:val="20"/>
          <w:szCs w:val="20"/>
          <w:color w:val="auto"/>
        </w:rPr>
        <w:tab/>
      </w:r>
      <w:r>
        <w:rPr>
          <w:rFonts w:ascii="Times New Roman" w:cs="Times New Roman" w:eastAsia="Times New Roman" w:hAnsi="Times New Roman"/>
          <w:sz w:val="16"/>
          <w:szCs w:val="16"/>
          <w:color w:val="auto"/>
        </w:rPr>
        <w:t>3,031,000</w:t>
      </w:r>
    </w:p>
    <w:p>
      <w:pPr>
        <w:spacing w:after="0" w:line="11" w:lineRule="exact"/>
        <w:rPr>
          <w:sz w:val="20"/>
          <w:szCs w:val="20"/>
          <w:color w:val="auto"/>
        </w:rPr>
      </w:pPr>
    </w:p>
    <w:p>
      <w:pPr>
        <w:ind w:left="140"/>
        <w:spacing w:after="0"/>
        <w:tabs>
          <w:tab w:leader="none" w:pos="2300" w:val="left"/>
        </w:tabs>
        <w:rPr>
          <w:sz w:val="20"/>
          <w:szCs w:val="20"/>
          <w:color w:val="auto"/>
        </w:rPr>
      </w:pPr>
      <w:r>
        <w:rPr>
          <w:rFonts w:ascii="Times New Roman" w:cs="Times New Roman" w:eastAsia="Times New Roman" w:hAnsi="Times New Roman"/>
          <w:sz w:val="16"/>
          <w:szCs w:val="16"/>
          <w:color w:val="auto"/>
        </w:rPr>
        <w:t>(includes mortgage indebtedness)</w:t>
        <w:tab/>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1" w:lineRule="exact"/>
        <w:rPr>
          <w:sz w:val="20"/>
          <w:szCs w:val="20"/>
          <w:color w:val="auto"/>
        </w:rPr>
      </w:pPr>
    </w:p>
    <w:p>
      <w:pPr>
        <w:spacing w:after="0"/>
        <w:tabs>
          <w:tab w:leader="dot" w:pos="11140" w:val="left"/>
        </w:tabs>
        <w:rPr>
          <w:sz w:val="20"/>
          <w:szCs w:val="20"/>
          <w:color w:val="auto"/>
        </w:rPr>
      </w:pPr>
      <w:r>
        <w:rPr>
          <w:rFonts w:ascii="Times New Roman" w:cs="Times New Roman" w:eastAsia="Times New Roman" w:hAnsi="Times New Roman"/>
          <w:sz w:val="16"/>
          <w:szCs w:val="16"/>
          <w:color w:val="auto"/>
        </w:rPr>
        <w:t>Subordinated notes and debentures</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16"/>
          <w:szCs w:val="16"/>
          <w:color w:val="auto"/>
        </w:rPr>
        <w:t>Other liabilities</w:t>
      </w:r>
      <w:r>
        <w:rPr>
          <w:sz w:val="20"/>
          <w:szCs w:val="20"/>
          <w:color w:val="auto"/>
        </w:rPr>
        <w:tab/>
      </w:r>
      <w:r>
        <w:rPr>
          <w:rFonts w:ascii="Times New Roman" w:cs="Times New Roman" w:eastAsia="Times New Roman" w:hAnsi="Times New Roman"/>
          <w:sz w:val="16"/>
          <w:szCs w:val="16"/>
          <w:color w:val="auto"/>
        </w:rPr>
        <w:t>8,176,000</w:t>
      </w:r>
    </w:p>
    <w:p>
      <w:pPr>
        <w:spacing w:after="0" w:line="11" w:lineRule="exact"/>
        <w:rPr>
          <w:sz w:val="20"/>
          <w:szCs w:val="20"/>
          <w:color w:val="auto"/>
        </w:rPr>
      </w:pPr>
    </w:p>
    <w:p>
      <w:pPr>
        <w:spacing w:after="0"/>
        <w:tabs>
          <w:tab w:leader="dot" w:pos="10420" w:val="left"/>
        </w:tabs>
        <w:rPr>
          <w:sz w:val="20"/>
          <w:szCs w:val="20"/>
          <w:color w:val="auto"/>
        </w:rPr>
      </w:pPr>
      <w:r>
        <w:rPr>
          <w:rFonts w:ascii="Times New Roman" w:cs="Times New Roman" w:eastAsia="Times New Roman" w:hAnsi="Times New Roman"/>
          <w:sz w:val="16"/>
          <w:szCs w:val="16"/>
          <w:color w:val="auto"/>
        </w:rPr>
        <w:t>Total liabilities</w:t>
      </w:r>
      <w:r>
        <w:rPr>
          <w:sz w:val="20"/>
          <w:szCs w:val="20"/>
          <w:color w:val="auto"/>
        </w:rPr>
        <w:tab/>
      </w:r>
      <w:r>
        <w:rPr>
          <w:rFonts w:ascii="Times New Roman" w:cs="Times New Roman" w:eastAsia="Times New Roman" w:hAnsi="Times New Roman"/>
          <w:sz w:val="16"/>
          <w:szCs w:val="16"/>
          <w:color w:val="auto"/>
        </w:rPr>
        <w:t>307,995,000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6432550</wp:posOffset>
            </wp:positionH>
            <wp:positionV relativeFrom="paragraph">
              <wp:posOffset>22860</wp:posOffset>
            </wp:positionV>
            <wp:extent cx="711200"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7">
                      <a:extLst>
                        <a:ext uri="{28A0092B-C50C-407E-A947-70E740481C1C}"/>
                      </a:extLst>
                    </a:blip>
                    <a:srcRect/>
                    <a:stretch>
                      <a:fillRect/>
                    </a:stretch>
                  </pic:blipFill>
                  <pic:spPr bwMode="auto">
                    <a:xfrm>
                      <a:off x="0" y="0"/>
                      <a:ext cx="711200" cy="7620"/>
                    </a:xfrm>
                    <a:prstGeom prst="rect">
                      <a:avLst/>
                    </a:prstGeom>
                    <a:noFill/>
                  </pic:spPr>
                </pic:pic>
              </a:graphicData>
            </a:graphic>
          </wp:anchor>
        </w:drawing>
        <w:drawing>
          <wp:anchor simplePos="0" relativeHeight="251657728" behindDoc="1" locked="0" layoutInCell="0" allowOverlap="1">
            <wp:simplePos x="0" y="0"/>
            <wp:positionH relativeFrom="column">
              <wp:posOffset>6432550</wp:posOffset>
            </wp:positionH>
            <wp:positionV relativeFrom="paragraph">
              <wp:posOffset>45720</wp:posOffset>
            </wp:positionV>
            <wp:extent cx="711200"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8">
                      <a:extLst>
                        <a:ext uri="{28A0092B-C50C-407E-A947-70E740481C1C}"/>
                      </a:extLst>
                    </a:blip>
                    <a:srcRect/>
                    <a:stretch>
                      <a:fillRect/>
                    </a:stretch>
                  </pic:blipFill>
                  <pic:spPr bwMode="auto">
                    <a:xfrm>
                      <a:off x="0" y="0"/>
                      <a:ext cx="711200" cy="7620"/>
                    </a:xfrm>
                    <a:prstGeom prst="rect">
                      <a:avLst/>
                    </a:prstGeom>
                    <a:noFill/>
                  </pic:spPr>
                </pic:pic>
              </a:graphicData>
            </a:graphic>
          </wp:anchor>
        </w:drawing>
        <w:drawing>
          <wp:anchor simplePos="0" relativeHeight="251657728" behindDoc="1" locked="0" layoutInCell="0" allowOverlap="1">
            <wp:simplePos x="0" y="0"/>
            <wp:positionH relativeFrom="column">
              <wp:posOffset>6432550</wp:posOffset>
            </wp:positionH>
            <wp:positionV relativeFrom="paragraph">
              <wp:posOffset>-115570</wp:posOffset>
            </wp:positionV>
            <wp:extent cx="711200" cy="152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9">
                      <a:extLst>
                        <a:ext uri="{28A0092B-C50C-407E-A947-70E740481C1C}"/>
                      </a:extLst>
                    </a:blip>
                    <a:srcRect/>
                    <a:stretch>
                      <a:fillRect/>
                    </a:stretch>
                  </pic:blipFill>
                  <pic:spPr bwMode="auto">
                    <a:xfrm>
                      <a:off x="0" y="0"/>
                      <a:ext cx="711200" cy="1524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CAPITAL</w:t>
      </w:r>
    </w:p>
    <w:p>
      <w:pPr>
        <w:spacing w:after="0" w:line="29" w:lineRule="exact"/>
        <w:rPr>
          <w:sz w:val="20"/>
          <w:szCs w:val="20"/>
          <w:color w:val="auto"/>
        </w:rPr>
      </w:pPr>
    </w:p>
    <w:p>
      <w:pPr>
        <w:spacing w:after="0"/>
        <w:tabs>
          <w:tab w:leader="dot" w:pos="11140" w:val="left"/>
        </w:tabs>
        <w:rPr>
          <w:sz w:val="20"/>
          <w:szCs w:val="20"/>
          <w:color w:val="auto"/>
        </w:rPr>
      </w:pPr>
      <w:r>
        <w:rPr>
          <w:rFonts w:ascii="Times New Roman" w:cs="Times New Roman" w:eastAsia="Times New Roman" w:hAnsi="Times New Roman"/>
          <w:sz w:val="16"/>
          <w:szCs w:val="16"/>
          <w:color w:val="auto"/>
        </w:rPr>
        <w:t>Perpetual preferred stock and related surplus</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16"/>
          <w:szCs w:val="16"/>
          <w:color w:val="auto"/>
        </w:rPr>
        <w:t>Common stock</w:t>
      </w:r>
      <w:r>
        <w:rPr>
          <w:sz w:val="20"/>
          <w:szCs w:val="20"/>
          <w:color w:val="auto"/>
        </w:rPr>
        <w:tab/>
      </w:r>
      <w:r>
        <w:rPr>
          <w:rFonts w:ascii="Times New Roman" w:cs="Times New Roman" w:eastAsia="Times New Roman" w:hAnsi="Times New Roman"/>
          <w:sz w:val="16"/>
          <w:szCs w:val="16"/>
          <w:color w:val="auto"/>
        </w:rPr>
        <w:t>1,135,000</w:t>
      </w:r>
    </w:p>
    <w:p>
      <w:pPr>
        <w:spacing w:after="0" w:line="11" w:lineRule="exact"/>
        <w:rPr>
          <w:sz w:val="20"/>
          <w:szCs w:val="20"/>
          <w:color w:val="auto"/>
        </w:rPr>
      </w:pPr>
    </w:p>
    <w:p>
      <w:pPr>
        <w:spacing w:after="0"/>
        <w:tabs>
          <w:tab w:leader="dot" w:pos="10500" w:val="left"/>
        </w:tabs>
        <w:rPr>
          <w:sz w:val="20"/>
          <w:szCs w:val="20"/>
          <w:color w:val="auto"/>
        </w:rPr>
      </w:pPr>
      <w:r>
        <w:rPr>
          <w:rFonts w:ascii="Times New Roman" w:cs="Times New Roman" w:eastAsia="Times New Roman" w:hAnsi="Times New Roman"/>
          <w:sz w:val="16"/>
          <w:szCs w:val="16"/>
          <w:color w:val="auto"/>
        </w:rPr>
        <w:t>Surplus (exclude all surplus related to preferred stock)</w:t>
      </w:r>
      <w:r>
        <w:rPr>
          <w:sz w:val="20"/>
          <w:szCs w:val="20"/>
          <w:color w:val="auto"/>
        </w:rPr>
        <w:tab/>
      </w:r>
      <w:r>
        <w:rPr>
          <w:rFonts w:ascii="Times New Roman" w:cs="Times New Roman" w:eastAsia="Times New Roman" w:hAnsi="Times New Roman"/>
          <w:sz w:val="16"/>
          <w:szCs w:val="16"/>
          <w:color w:val="auto"/>
        </w:rPr>
        <w:t>12,511,000</w:t>
      </w:r>
    </w:p>
    <w:p>
      <w:pPr>
        <w:spacing w:after="0" w:line="11" w:lineRule="exact"/>
        <w:rPr>
          <w:sz w:val="20"/>
          <w:szCs w:val="20"/>
          <w:color w:val="auto"/>
        </w:rPr>
      </w:pPr>
    </w:p>
    <w:p>
      <w:pPr>
        <w:spacing w:after="0"/>
        <w:tabs>
          <w:tab w:leader="dot" w:pos="10500" w:val="left"/>
        </w:tabs>
        <w:rPr>
          <w:sz w:val="20"/>
          <w:szCs w:val="20"/>
          <w:color w:val="auto"/>
        </w:rPr>
      </w:pPr>
      <w:r>
        <w:rPr>
          <w:rFonts w:ascii="Times New Roman" w:cs="Times New Roman" w:eastAsia="Times New Roman" w:hAnsi="Times New Roman"/>
          <w:sz w:val="16"/>
          <w:szCs w:val="16"/>
          <w:color w:val="auto"/>
        </w:rPr>
        <w:t>Retained earnings</w:t>
      </w:r>
      <w:r>
        <w:rPr>
          <w:sz w:val="20"/>
          <w:szCs w:val="20"/>
          <w:color w:val="auto"/>
        </w:rPr>
        <w:tab/>
      </w:r>
      <w:r>
        <w:rPr>
          <w:rFonts w:ascii="Times New Roman" w:cs="Times New Roman" w:eastAsia="Times New Roman" w:hAnsi="Times New Roman"/>
          <w:sz w:val="16"/>
          <w:szCs w:val="16"/>
          <w:color w:val="auto"/>
        </w:rPr>
        <w:t>17,415,000</w:t>
      </w:r>
    </w:p>
    <w:p>
      <w:pPr>
        <w:spacing w:after="0" w:line="11" w:lineRule="exact"/>
        <w:rPr>
          <w:sz w:val="20"/>
          <w:szCs w:val="20"/>
          <w:color w:val="auto"/>
        </w:rPr>
      </w:pPr>
    </w:p>
    <w:p>
      <w:pPr>
        <w:spacing w:after="0"/>
        <w:tabs>
          <w:tab w:leader="dot" w:pos="10520" w:val="left"/>
        </w:tabs>
        <w:rPr>
          <w:sz w:val="20"/>
          <w:szCs w:val="20"/>
          <w:color w:val="auto"/>
        </w:rPr>
      </w:pPr>
      <w:r>
        <w:rPr>
          <w:rFonts w:ascii="Times New Roman" w:cs="Times New Roman" w:eastAsia="Times New Roman" w:hAnsi="Times New Roman"/>
          <w:sz w:val="16"/>
          <w:szCs w:val="16"/>
          <w:color w:val="auto"/>
        </w:rPr>
        <w:t>Accumulated other comprehensive income</w:t>
      </w:r>
      <w:r>
        <w:rPr>
          <w:sz w:val="20"/>
          <w:szCs w:val="20"/>
          <w:color w:val="auto"/>
        </w:rPr>
        <w:tab/>
      </w:r>
      <w:r>
        <w:rPr>
          <w:rFonts w:ascii="Times New Roman" w:cs="Times New Roman" w:eastAsia="Times New Roman" w:hAnsi="Times New Roman"/>
          <w:sz w:val="16"/>
          <w:szCs w:val="16"/>
          <w:color w:val="auto"/>
        </w:rPr>
        <w:t>-3,101,000</w:t>
      </w:r>
    </w:p>
    <w:p>
      <w:pPr>
        <w:spacing w:after="0" w:line="11" w:lineRule="exact"/>
        <w:rPr>
          <w:sz w:val="20"/>
          <w:szCs w:val="20"/>
          <w:color w:val="auto"/>
        </w:rPr>
      </w:pPr>
    </w:p>
    <w:p>
      <w:pPr>
        <w:spacing w:after="0"/>
        <w:tabs>
          <w:tab w:leader="dot" w:pos="11140" w:val="left"/>
        </w:tabs>
        <w:rPr>
          <w:sz w:val="20"/>
          <w:szCs w:val="20"/>
          <w:color w:val="auto"/>
        </w:rPr>
      </w:pPr>
      <w:r>
        <w:rPr>
          <w:rFonts w:ascii="Times New Roman" w:cs="Times New Roman" w:eastAsia="Times New Roman" w:hAnsi="Times New Roman"/>
          <w:sz w:val="16"/>
          <w:szCs w:val="16"/>
          <w:color w:val="auto"/>
        </w:rPr>
        <w:t>Other equity capital components</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spacing w:after="0"/>
        <w:tabs>
          <w:tab w:leader="dot" w:pos="10500" w:val="left"/>
        </w:tabs>
        <w:rPr>
          <w:sz w:val="20"/>
          <w:szCs w:val="20"/>
          <w:color w:val="auto"/>
        </w:rPr>
      </w:pPr>
      <w:r>
        <w:rPr>
          <w:rFonts w:ascii="Times New Roman" w:cs="Times New Roman" w:eastAsia="Times New Roman" w:hAnsi="Times New Roman"/>
          <w:sz w:val="16"/>
          <w:szCs w:val="16"/>
          <w:color w:val="auto"/>
        </w:rPr>
        <w:t>Total bank equity capital</w:t>
      </w:r>
      <w:r>
        <w:rPr>
          <w:sz w:val="20"/>
          <w:szCs w:val="20"/>
          <w:color w:val="auto"/>
        </w:rPr>
        <w:tab/>
      </w:r>
      <w:r>
        <w:rPr>
          <w:rFonts w:ascii="Times New Roman" w:cs="Times New Roman" w:eastAsia="Times New Roman" w:hAnsi="Times New Roman"/>
          <w:sz w:val="16"/>
          <w:szCs w:val="16"/>
          <w:color w:val="auto"/>
        </w:rPr>
        <w:t>27,960,000</w:t>
      </w:r>
    </w:p>
    <w:p>
      <w:pPr>
        <w:spacing w:after="0" w:line="11" w:lineRule="exact"/>
        <w:rPr>
          <w:sz w:val="20"/>
          <w:szCs w:val="20"/>
          <w:color w:val="auto"/>
        </w:rPr>
      </w:pPr>
    </w:p>
    <w:p>
      <w:pPr>
        <w:spacing w:after="0"/>
        <w:tabs>
          <w:tab w:leader="dot" w:pos="11140" w:val="left"/>
        </w:tabs>
        <w:rPr>
          <w:sz w:val="20"/>
          <w:szCs w:val="20"/>
          <w:color w:val="auto"/>
        </w:rPr>
      </w:pPr>
      <w:r>
        <w:rPr>
          <w:rFonts w:ascii="Times New Roman" w:cs="Times New Roman" w:eastAsia="Times New Roman" w:hAnsi="Times New Roman"/>
          <w:sz w:val="16"/>
          <w:szCs w:val="16"/>
          <w:color w:val="auto"/>
        </w:rPr>
        <w:t>Noncontrolling (minority) interests in consolidated subsidiaries</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spacing w:after="0"/>
        <w:tabs>
          <w:tab w:leader="dot" w:pos="10500" w:val="left"/>
        </w:tabs>
        <w:rPr>
          <w:sz w:val="20"/>
          <w:szCs w:val="20"/>
          <w:color w:val="auto"/>
        </w:rPr>
      </w:pPr>
      <w:r>
        <w:rPr>
          <w:rFonts w:ascii="Times New Roman" w:cs="Times New Roman" w:eastAsia="Times New Roman" w:hAnsi="Times New Roman"/>
          <w:sz w:val="16"/>
          <w:szCs w:val="16"/>
          <w:color w:val="auto"/>
        </w:rPr>
        <w:t>Total equity capital</w:t>
      </w:r>
      <w:r>
        <w:rPr>
          <w:sz w:val="20"/>
          <w:szCs w:val="20"/>
          <w:color w:val="auto"/>
        </w:rPr>
        <w:tab/>
      </w:r>
      <w:r>
        <w:rPr>
          <w:rFonts w:ascii="Times New Roman" w:cs="Times New Roman" w:eastAsia="Times New Roman" w:hAnsi="Times New Roman"/>
          <w:sz w:val="16"/>
          <w:szCs w:val="16"/>
          <w:color w:val="auto"/>
        </w:rPr>
        <w:t>27,960,000</w:t>
      </w:r>
    </w:p>
    <w:p>
      <w:pPr>
        <w:spacing w:after="0" w:line="11" w:lineRule="exact"/>
        <w:rPr>
          <w:sz w:val="20"/>
          <w:szCs w:val="20"/>
          <w:color w:val="auto"/>
        </w:rPr>
      </w:pPr>
    </w:p>
    <w:p>
      <w:pPr>
        <w:spacing w:after="0"/>
        <w:tabs>
          <w:tab w:leader="dot" w:pos="10420" w:val="left"/>
        </w:tabs>
        <w:rPr>
          <w:sz w:val="20"/>
          <w:szCs w:val="20"/>
          <w:color w:val="auto"/>
        </w:rPr>
      </w:pPr>
      <w:r>
        <w:rPr>
          <w:rFonts w:ascii="Times New Roman" w:cs="Times New Roman" w:eastAsia="Times New Roman" w:hAnsi="Times New Roman"/>
          <w:sz w:val="16"/>
          <w:szCs w:val="16"/>
          <w:color w:val="auto"/>
        </w:rPr>
        <w:t>Total liabilities and equity capital</w:t>
      </w:r>
      <w:r>
        <w:rPr>
          <w:sz w:val="20"/>
          <w:szCs w:val="20"/>
          <w:color w:val="auto"/>
        </w:rPr>
        <w:tab/>
      </w:r>
      <w:r>
        <w:rPr>
          <w:rFonts w:ascii="Times New Roman" w:cs="Times New Roman" w:eastAsia="Times New Roman" w:hAnsi="Times New Roman"/>
          <w:sz w:val="16"/>
          <w:szCs w:val="16"/>
          <w:color w:val="auto"/>
        </w:rPr>
        <w:t>335,955,000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6432550</wp:posOffset>
            </wp:positionH>
            <wp:positionV relativeFrom="paragraph">
              <wp:posOffset>22860</wp:posOffset>
            </wp:positionV>
            <wp:extent cx="711200"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0">
                      <a:extLst>
                        <a:ext uri="{28A0092B-C50C-407E-A947-70E740481C1C}"/>
                      </a:extLst>
                    </a:blip>
                    <a:srcRect/>
                    <a:stretch>
                      <a:fillRect/>
                    </a:stretch>
                  </pic:blipFill>
                  <pic:spPr bwMode="auto">
                    <a:xfrm>
                      <a:off x="0" y="0"/>
                      <a:ext cx="711200" cy="7620"/>
                    </a:xfrm>
                    <a:prstGeom prst="rect">
                      <a:avLst/>
                    </a:prstGeom>
                    <a:noFill/>
                  </pic:spPr>
                </pic:pic>
              </a:graphicData>
            </a:graphic>
          </wp:anchor>
        </w:drawing>
        <w:drawing>
          <wp:anchor simplePos="0" relativeHeight="251657728" behindDoc="1" locked="0" layoutInCell="0" allowOverlap="1">
            <wp:simplePos x="0" y="0"/>
            <wp:positionH relativeFrom="column">
              <wp:posOffset>6432550</wp:posOffset>
            </wp:positionH>
            <wp:positionV relativeFrom="paragraph">
              <wp:posOffset>45720</wp:posOffset>
            </wp:positionV>
            <wp:extent cx="711200"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1">
                      <a:extLst>
                        <a:ext uri="{28A0092B-C50C-407E-A947-70E740481C1C}"/>
                      </a:extLst>
                    </a:blip>
                    <a:srcRect/>
                    <a:stretch>
                      <a:fillRect/>
                    </a:stretch>
                  </pic:blipFill>
                  <pic:spPr bwMode="auto">
                    <a:xfrm>
                      <a:off x="0" y="0"/>
                      <a:ext cx="711200" cy="7620"/>
                    </a:xfrm>
                    <a:prstGeom prst="rect">
                      <a:avLst/>
                    </a:prstGeom>
                    <a:noFill/>
                  </pic:spPr>
                </pic:pic>
              </a:graphicData>
            </a:graphic>
          </wp:anchor>
        </w:drawing>
        <w:drawing>
          <wp:anchor simplePos="0" relativeHeight="251657728" behindDoc="1" locked="0" layoutInCell="0" allowOverlap="1">
            <wp:simplePos x="0" y="0"/>
            <wp:positionH relativeFrom="column">
              <wp:posOffset>6432550</wp:posOffset>
            </wp:positionH>
            <wp:positionV relativeFrom="paragraph">
              <wp:posOffset>-115570</wp:posOffset>
            </wp:positionV>
            <wp:extent cx="711200" cy="152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2">
                      <a:extLst>
                        <a:ext uri="{28A0092B-C50C-407E-A947-70E740481C1C}"/>
                      </a:extLst>
                    </a:blip>
                    <a:srcRect/>
                    <a:stretch>
                      <a:fillRect/>
                    </a:stretch>
                  </pic:blipFill>
                  <pic:spPr bwMode="auto">
                    <a:xfrm>
                      <a:off x="0" y="0"/>
                      <a:ext cx="711200" cy="15240"/>
                    </a:xfrm>
                    <a:prstGeom prst="rect">
                      <a:avLst/>
                    </a:prstGeom>
                    <a:noFill/>
                  </pic:spPr>
                </pic:pic>
              </a:graphicData>
            </a:graphic>
          </wp:anchor>
        </w:drawing>
      </w:r>
    </w:p>
    <w:p>
      <w:pPr>
        <w:spacing w:after="0" w:line="3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86" w:name="page287"/>
    <w:bookmarkEnd w:id="286"/>
    <w:p>
      <w:pPr>
        <w:ind w:right="20" w:firstLine="585"/>
        <w:spacing w:after="0" w:line="288" w:lineRule="auto"/>
        <w:rPr>
          <w:sz w:val="20"/>
          <w:szCs w:val="20"/>
          <w:color w:val="auto"/>
        </w:rPr>
      </w:pPr>
      <w:r>
        <w:rPr>
          <w:rFonts w:ascii="Times New Roman" w:cs="Times New Roman" w:eastAsia="Times New Roman" w:hAnsi="Times New Roman"/>
          <w:sz w:val="16"/>
          <w:szCs w:val="16"/>
          <w:color w:val="auto"/>
        </w:rPr>
        <w:t>I, Dermot McDonogh, Chief Financial Officer of the above-named bank do hereby declare that this Report of Condition is true and correct to the best of my knowledge and belief.</w:t>
      </w:r>
    </w:p>
    <w:p>
      <w:pPr>
        <w:spacing w:after="0" w:line="143"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6"/>
          <w:szCs w:val="16"/>
          <w:color w:val="auto"/>
        </w:rPr>
        <w:t>Dermot McDonogh</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90" w:lineRule="exact"/>
        <w:rPr>
          <w:sz w:val="20"/>
          <w:szCs w:val="20"/>
          <w:color w:val="auto"/>
        </w:rPr>
      </w:pPr>
    </w:p>
    <w:p>
      <w:pPr>
        <w:ind w:right="20" w:firstLine="585"/>
        <w:spacing w:after="0" w:line="288" w:lineRule="auto"/>
        <w:rPr>
          <w:sz w:val="20"/>
          <w:szCs w:val="20"/>
          <w:color w:val="auto"/>
        </w:rPr>
      </w:pPr>
      <w:r>
        <w:rPr>
          <w:rFonts w:ascii="Times New Roman" w:cs="Times New Roman" w:eastAsia="Times New Roman" w:hAnsi="Times New Roman"/>
          <w:sz w:val="16"/>
          <w:szCs w:val="16"/>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1073150</wp:posOffset>
            </wp:positionH>
            <wp:positionV relativeFrom="paragraph">
              <wp:posOffset>348615</wp:posOffset>
            </wp:positionV>
            <wp:extent cx="170180" cy="5492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4">
                      <a:extLst>
                        <a:ext uri="{28A0092B-C50C-407E-A947-70E740481C1C}"/>
                      </a:extLst>
                    </a:blip>
                    <a:srcRect/>
                    <a:stretch>
                      <a:fillRect/>
                    </a:stretch>
                  </pic:blipFill>
                  <pic:spPr bwMode="auto">
                    <a:xfrm>
                      <a:off x="0" y="0"/>
                      <a:ext cx="170180" cy="549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Robin A. Vince</w:t>
      </w:r>
    </w:p>
    <w:p>
      <w:pPr>
        <w:spacing w:after="0" w:line="27" w:lineRule="exact"/>
        <w:rPr>
          <w:sz w:val="20"/>
          <w:szCs w:val="20"/>
          <w:color w:val="auto"/>
        </w:rPr>
      </w:pPr>
    </w:p>
    <w:p>
      <w:pPr>
        <w:spacing w:after="0"/>
        <w:tabs>
          <w:tab w:leader="none" w:pos="3360" w:val="left"/>
        </w:tabs>
        <w:rPr>
          <w:sz w:val="20"/>
          <w:szCs w:val="20"/>
          <w:color w:val="auto"/>
        </w:rPr>
      </w:pPr>
      <w:r>
        <w:rPr>
          <w:rFonts w:ascii="Times New Roman" w:cs="Times New Roman" w:eastAsia="Times New Roman" w:hAnsi="Times New Roman"/>
          <w:sz w:val="16"/>
          <w:szCs w:val="16"/>
          <w:color w:val="auto"/>
        </w:rPr>
        <w:t>Jeffrey A. Goldstein</w:t>
      </w:r>
      <w:r>
        <w:rPr>
          <w:sz w:val="20"/>
          <w:szCs w:val="20"/>
          <w:color w:val="auto"/>
        </w:rPr>
        <w:tab/>
      </w:r>
      <w:r>
        <w:rPr>
          <w:rFonts w:ascii="Times New Roman" w:cs="Times New Roman" w:eastAsia="Times New Roman" w:hAnsi="Times New Roman"/>
          <w:sz w:val="16"/>
          <w:szCs w:val="16"/>
          <w:color w:val="auto"/>
        </w:rPr>
        <w:t>Directors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Joseph J. Echevarria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57150</wp:posOffset>
            </wp:positionV>
            <wp:extent cx="7145655" cy="152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11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6">
                      <a:extLst>
                        <a:ext uri="{28A0092B-C50C-407E-A947-70E740481C1C}"/>
                      </a:extLst>
                    </a:blip>
                    <a:srcRect/>
                    <a:stretch>
                      <a:fillRect/>
                    </a:stretch>
                  </pic:blipFill>
                  <pic:spPr bwMode="auto">
                    <a:xfrm>
                      <a:off x="0" y="0"/>
                      <a:ext cx="7145655" cy="31115"/>
                    </a:xfrm>
                    <a:prstGeom prst="rect">
                      <a:avLst/>
                    </a:prstGeom>
                    <a:noFill/>
                  </pic:spPr>
                </pic:pic>
              </a:graphicData>
            </a:graphic>
          </wp:anchor>
        </w:drawing>
        <w:t>Exhibit 25.3</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UNITED STATES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AND EXCHANGE COMMISSION</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 T-1</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STATEMENT OF ELIGIBILITY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UNDER THE TRUST INDENTURE ACT OF 1939 OF A</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CORPORATION DESIGNATED TO ACT AS TRUSTEE</w:t>
      </w:r>
    </w:p>
    <w:p>
      <w:pPr>
        <w:spacing w:after="0" w:line="19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color w:val="auto"/>
        </w:rPr>
        <w:t>CHECK IF AN APPLICATION TO DETERMINE</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ELIGIBILITY OF A TRUSTEE PURSUANT TO</w:t>
      </w:r>
    </w:p>
    <w:p>
      <w:pPr>
        <w:spacing w:after="0" w:line="11" w:lineRule="exact"/>
        <w:rPr>
          <w:sz w:val="20"/>
          <w:szCs w:val="20"/>
          <w:color w:val="auto"/>
        </w:rPr>
      </w:pPr>
    </w:p>
    <w:p>
      <w:pPr>
        <w:ind w:left="4620"/>
        <w:spacing w:after="0"/>
        <w:tabs>
          <w:tab w:leader="none" w:pos="6380" w:val="left"/>
        </w:tabs>
        <w:rPr>
          <w:sz w:val="20"/>
          <w:szCs w:val="20"/>
          <w:color w:val="auto"/>
        </w:rPr>
      </w:pPr>
      <w:r>
        <w:rPr>
          <w:rFonts w:ascii="Times New Roman" w:cs="Times New Roman" w:eastAsia="Times New Roman" w:hAnsi="Times New Roman"/>
          <w:sz w:val="16"/>
          <w:szCs w:val="16"/>
          <w:color w:val="auto"/>
        </w:rPr>
        <w:t>SECTION 305(b)(2)</w:t>
      </w:r>
      <w:r>
        <w:rPr>
          <w:sz w:val="20"/>
          <w:szCs w:val="20"/>
          <w:color w:val="auto"/>
        </w:rPr>
        <w:tab/>
      </w:r>
      <w:r>
        <w:rPr>
          <w:rFonts w:ascii="Times New Roman" w:cs="Times New Roman" w:eastAsia="Times New Roman" w:hAnsi="Times New Roman"/>
          <w:sz w:val="16"/>
          <w:szCs w:val="16"/>
          <w:color w:val="auto"/>
        </w:rPr>
        <w:t>|__|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177800</wp:posOffset>
            </wp:positionV>
            <wp:extent cx="1423035"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7">
                      <a:extLst>
                        <a:ext uri="{28A0092B-C50C-407E-A947-70E740481C1C}"/>
                      </a:extLst>
                    </a:blip>
                    <a:srcRect/>
                    <a:stretch>
                      <a:fillRect/>
                    </a:stretch>
                  </pic:blipFill>
                  <pic:spPr bwMode="auto">
                    <a:xfrm>
                      <a:off x="0" y="0"/>
                      <a:ext cx="1423035" cy="762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3300" w:type="dxa"/>
            <w:vAlign w:val="bottom"/>
          </w:tcPr>
          <w:p>
            <w:pPr>
              <w:spacing w:after="0"/>
              <w:rPr>
                <w:sz w:val="16"/>
                <w:szCs w:val="16"/>
                <w:color w:val="auto"/>
              </w:rPr>
            </w:pPr>
          </w:p>
        </w:tc>
        <w:tc>
          <w:tcPr>
            <w:tcW w:w="7960" w:type="dxa"/>
            <w:vAlign w:val="bottom"/>
            <w:gridSpan w:val="4"/>
          </w:tcPr>
          <w:p>
            <w:pPr>
              <w:jc w:val="center"/>
              <w:ind w:right="3239"/>
              <w:spacing w:after="0"/>
              <w:rPr>
                <w:sz w:val="20"/>
                <w:szCs w:val="20"/>
                <w:color w:val="auto"/>
              </w:rPr>
            </w:pPr>
            <w:r>
              <w:rPr>
                <w:rFonts w:ascii="Times New Roman" w:cs="Times New Roman" w:eastAsia="Times New Roman" w:hAnsi="Times New Roman"/>
                <w:sz w:val="16"/>
                <w:szCs w:val="16"/>
                <w:color w:val="auto"/>
              </w:rPr>
              <w:t>THE BANK OF NEW YORK MELLON</w:t>
            </w:r>
          </w:p>
        </w:tc>
      </w:tr>
      <w:tr>
        <w:trPr>
          <w:trHeight w:val="211"/>
        </w:trPr>
        <w:tc>
          <w:tcPr>
            <w:tcW w:w="3300" w:type="dxa"/>
            <w:vAlign w:val="bottom"/>
          </w:tcPr>
          <w:p>
            <w:pPr>
              <w:spacing w:after="0"/>
              <w:rPr>
                <w:sz w:val="18"/>
                <w:szCs w:val="18"/>
                <w:color w:val="auto"/>
              </w:rPr>
            </w:pPr>
          </w:p>
        </w:tc>
        <w:tc>
          <w:tcPr>
            <w:tcW w:w="7960" w:type="dxa"/>
            <w:vAlign w:val="bottom"/>
            <w:gridSpan w:val="4"/>
          </w:tcPr>
          <w:p>
            <w:pPr>
              <w:jc w:val="center"/>
              <w:ind w:right="3219"/>
              <w:spacing w:after="0"/>
              <w:rPr>
                <w:sz w:val="20"/>
                <w:szCs w:val="20"/>
                <w:color w:val="auto"/>
              </w:rPr>
            </w:pPr>
            <w:r>
              <w:rPr>
                <w:rFonts w:ascii="Times New Roman" w:cs="Times New Roman" w:eastAsia="Times New Roman" w:hAnsi="Times New Roman"/>
                <w:sz w:val="16"/>
                <w:szCs w:val="16"/>
                <w:color w:val="auto"/>
              </w:rPr>
              <w:t>(Exact name of trustee as specified in its charter)</w:t>
            </w:r>
          </w:p>
        </w:tc>
      </w:tr>
      <w:tr>
        <w:trPr>
          <w:trHeight w:val="200"/>
        </w:trPr>
        <w:tc>
          <w:tcPr>
            <w:tcW w:w="3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r>
      <w:tr>
        <w:trPr>
          <w:trHeight w:val="178"/>
        </w:trPr>
        <w:tc>
          <w:tcPr>
            <w:tcW w:w="330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New York</w:t>
            </w:r>
          </w:p>
        </w:tc>
        <w:tc>
          <w:tcPr>
            <w:tcW w:w="1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13-5160382</w:t>
            </w:r>
          </w:p>
        </w:tc>
      </w:tr>
      <w:tr>
        <w:trPr>
          <w:trHeight w:val="195"/>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(Jurisdiction of incorporation</w:t>
            </w:r>
          </w:p>
        </w:tc>
        <w:tc>
          <w:tcPr>
            <w:tcW w:w="1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1"/>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if not a U.S. national bank)</w:t>
            </w:r>
          </w:p>
        </w:tc>
        <w:tc>
          <w:tcPr>
            <w:tcW w:w="1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00"/>
        </w:trPr>
        <w:tc>
          <w:tcPr>
            <w:tcW w:w="3300" w:type="dxa"/>
            <w:vAlign w:val="bottom"/>
            <w:tcBorders>
              <w:left w:val="single" w:sz="8" w:color="auto"/>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178"/>
        </w:trPr>
        <w:tc>
          <w:tcPr>
            <w:tcW w:w="330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240 Greenwich Street, New York, N.Y.</w:t>
            </w:r>
          </w:p>
        </w:tc>
        <w:tc>
          <w:tcPr>
            <w:tcW w:w="1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rPr>
                <w:sz w:val="15"/>
                <w:szCs w:val="15"/>
                <w:color w:val="auto"/>
              </w:rPr>
            </w:pPr>
          </w:p>
        </w:tc>
      </w:tr>
      <w:tr>
        <w:trPr>
          <w:trHeight w:val="195"/>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10286</w:t>
            </w:r>
          </w:p>
        </w:tc>
      </w:tr>
      <w:tr>
        <w:trPr>
          <w:trHeight w:val="216"/>
        </w:trPr>
        <w:tc>
          <w:tcPr>
            <w:tcW w:w="3300" w:type="dxa"/>
            <w:vAlign w:val="bottom"/>
            <w:tcBorders>
              <w:left w:val="single" w:sz="8" w:color="auto"/>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(Zip code)</w:t>
            </w:r>
          </w:p>
        </w:tc>
      </w:tr>
      <w:tr>
        <w:trPr>
          <w:trHeight w:val="280"/>
        </w:trPr>
        <w:tc>
          <w:tcPr>
            <w:tcW w:w="3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520" w:type="dxa"/>
            <w:vAlign w:val="bottom"/>
            <w:gridSpan w:val="2"/>
          </w:tcPr>
          <w:p>
            <w:pPr>
              <w:spacing w:after="0"/>
              <w:rPr>
                <w:sz w:val="24"/>
                <w:szCs w:val="24"/>
                <w:color w:val="auto"/>
              </w:rPr>
            </w:pPr>
          </w:p>
        </w:tc>
      </w:tr>
      <w:tr>
        <w:trPr>
          <w:trHeight w:val="438"/>
        </w:trPr>
        <w:tc>
          <w:tcPr>
            <w:tcW w:w="3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760" w:type="dxa"/>
            <w:vAlign w:val="bottom"/>
            <w:gridSpan w:val="3"/>
          </w:tcPr>
          <w:p>
            <w:pPr>
              <w:jc w:val="center"/>
              <w:ind w:right="4419"/>
              <w:spacing w:after="0"/>
              <w:rPr>
                <w:sz w:val="20"/>
                <w:szCs w:val="20"/>
                <w:color w:val="auto"/>
              </w:rPr>
            </w:pPr>
            <w:r>
              <w:rPr>
                <w:rFonts w:ascii="Times New Roman" w:cs="Times New Roman" w:eastAsia="Times New Roman" w:hAnsi="Times New Roman"/>
                <w:sz w:val="16"/>
                <w:szCs w:val="16"/>
                <w:color w:val="auto"/>
                <w:w w:val="99"/>
              </w:rPr>
              <w:t>VIATRIS INC.</w:t>
            </w:r>
          </w:p>
        </w:tc>
      </w:tr>
      <w:tr>
        <w:trPr>
          <w:trHeight w:val="211"/>
        </w:trPr>
        <w:tc>
          <w:tcPr>
            <w:tcW w:w="3300" w:type="dxa"/>
            <w:vAlign w:val="bottom"/>
          </w:tcPr>
          <w:p>
            <w:pPr>
              <w:spacing w:after="0"/>
              <w:rPr>
                <w:sz w:val="18"/>
                <w:szCs w:val="18"/>
                <w:color w:val="auto"/>
              </w:rPr>
            </w:pPr>
          </w:p>
        </w:tc>
        <w:tc>
          <w:tcPr>
            <w:tcW w:w="7960" w:type="dxa"/>
            <w:vAlign w:val="bottom"/>
            <w:gridSpan w:val="4"/>
          </w:tcPr>
          <w:p>
            <w:pPr>
              <w:jc w:val="center"/>
              <w:ind w:right="3239"/>
              <w:spacing w:after="0"/>
              <w:rPr>
                <w:sz w:val="20"/>
                <w:szCs w:val="20"/>
                <w:color w:val="auto"/>
              </w:rPr>
            </w:pPr>
            <w:r>
              <w:rPr>
                <w:rFonts w:ascii="Times New Roman" w:cs="Times New Roman" w:eastAsia="Times New Roman" w:hAnsi="Times New Roman"/>
                <w:sz w:val="16"/>
                <w:szCs w:val="16"/>
                <w:color w:val="auto"/>
              </w:rPr>
              <w:t>(Exact name of obligor as specified in its charter)</w:t>
            </w:r>
          </w:p>
        </w:tc>
      </w:tr>
      <w:tr>
        <w:trPr>
          <w:trHeight w:val="200"/>
        </w:trPr>
        <w:tc>
          <w:tcPr>
            <w:tcW w:w="3300" w:type="dxa"/>
            <w:vAlign w:val="bottom"/>
            <w:tcBorders>
              <w:bottom w:val="single" w:sz="8" w:color="auto"/>
            </w:tcBorders>
          </w:tcPr>
          <w:p>
            <w:pPr>
              <w:spacing w:after="0"/>
              <w:rPr>
                <w:sz w:val="17"/>
                <w:szCs w:val="17"/>
                <w:color w:val="auto"/>
              </w:rPr>
            </w:pPr>
          </w:p>
        </w:tc>
        <w:tc>
          <w:tcPr>
            <w:tcW w:w="7960" w:type="dxa"/>
            <w:vAlign w:val="bottom"/>
            <w:tcBorders>
              <w:bottom w:val="single" w:sz="8" w:color="auto"/>
            </w:tcBorders>
            <w:gridSpan w:val="4"/>
          </w:tcPr>
          <w:p>
            <w:pPr>
              <w:spacing w:after="0"/>
              <w:rPr>
                <w:sz w:val="17"/>
                <w:szCs w:val="17"/>
                <w:color w:val="auto"/>
              </w:rPr>
            </w:pPr>
          </w:p>
        </w:tc>
      </w:tr>
      <w:tr>
        <w:trPr>
          <w:trHeight w:val="178"/>
        </w:trPr>
        <w:tc>
          <w:tcPr>
            <w:tcW w:w="330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Delaware</w:t>
            </w:r>
          </w:p>
        </w:tc>
        <w:tc>
          <w:tcPr>
            <w:tcW w:w="4580" w:type="dxa"/>
            <w:vAlign w:val="bottom"/>
            <w:tcBorders>
              <w:right w:val="single" w:sz="8" w:color="auto"/>
            </w:tcBorders>
            <w:gridSpan w:val="3"/>
          </w:tcPr>
          <w:p>
            <w:pPr>
              <w:spacing w:after="0"/>
              <w:rPr>
                <w:sz w:val="15"/>
                <w:szCs w:val="15"/>
                <w:color w:val="auto"/>
              </w:rPr>
            </w:pPr>
          </w:p>
        </w:tc>
        <w:tc>
          <w:tcPr>
            <w:tcW w:w="3380" w:type="dxa"/>
            <w:vAlign w:val="bottom"/>
            <w:tcBorders>
              <w:right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83-4364296</w:t>
            </w:r>
          </w:p>
        </w:tc>
      </w:tr>
      <w:tr>
        <w:trPr>
          <w:trHeight w:val="195"/>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1"/>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00"/>
        </w:trPr>
        <w:tc>
          <w:tcPr>
            <w:tcW w:w="3300" w:type="dxa"/>
            <w:vAlign w:val="bottom"/>
            <w:tcBorders>
              <w:left w:val="single" w:sz="8" w:color="auto"/>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178"/>
        </w:trPr>
        <w:tc>
          <w:tcPr>
            <w:tcW w:w="330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1000 Mylan Boulevard</w:t>
            </w:r>
          </w:p>
        </w:tc>
        <w:tc>
          <w:tcPr>
            <w:tcW w:w="1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rPr>
                <w:sz w:val="15"/>
                <w:szCs w:val="15"/>
                <w:color w:val="auto"/>
              </w:rPr>
            </w:pPr>
          </w:p>
        </w:tc>
      </w:tr>
      <w:tr>
        <w:trPr>
          <w:trHeight w:val="195"/>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Canonsburg, Pennsylvania</w:t>
            </w:r>
          </w:p>
        </w:tc>
        <w:tc>
          <w:tcPr>
            <w:tcW w:w="4580" w:type="dxa"/>
            <w:vAlign w:val="bottom"/>
            <w:tcBorders>
              <w:right w:val="single" w:sz="8" w:color="auto"/>
            </w:tcBorders>
            <w:gridSpan w:val="3"/>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15317</w:t>
            </w:r>
          </w:p>
        </w:tc>
      </w:tr>
      <w:tr>
        <w:trPr>
          <w:trHeight w:val="211"/>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(Zip code)</w:t>
            </w:r>
          </w:p>
        </w:tc>
      </w:tr>
      <w:tr>
        <w:trPr>
          <w:trHeight w:val="200"/>
        </w:trPr>
        <w:tc>
          <w:tcPr>
            <w:tcW w:w="3300" w:type="dxa"/>
            <w:vAlign w:val="bottom"/>
            <w:tcBorders>
              <w:left w:val="single" w:sz="8" w:color="auto"/>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370"/>
        </w:trPr>
        <w:tc>
          <w:tcPr>
            <w:tcW w:w="3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55" w:right="319" w:bottom="1440" w:gutter="0" w:footer="0" w:header="0"/>
        </w:sectPr>
      </w:pPr>
    </w:p>
    <w:bookmarkStart w:id="288" w:name="page289"/>
    <w:bookmarkEnd w:id="28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3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760" w:type="dxa"/>
            <w:vAlign w:val="bottom"/>
            <w:gridSpan w:val="3"/>
          </w:tcPr>
          <w:p>
            <w:pPr>
              <w:jc w:val="center"/>
              <w:ind w:right="4439"/>
              <w:spacing w:after="0"/>
              <w:rPr>
                <w:sz w:val="20"/>
                <w:szCs w:val="20"/>
                <w:color w:val="auto"/>
              </w:rPr>
            </w:pPr>
            <w:r>
              <w:rPr>
                <w:rFonts w:ascii="Times New Roman" w:cs="Times New Roman" w:eastAsia="Times New Roman" w:hAnsi="Times New Roman"/>
                <w:sz w:val="16"/>
                <w:szCs w:val="16"/>
                <w:color w:val="auto"/>
              </w:rPr>
              <w:t>Mylan Inc.</w:t>
            </w:r>
          </w:p>
        </w:tc>
      </w:tr>
      <w:tr>
        <w:trPr>
          <w:trHeight w:val="211"/>
        </w:trPr>
        <w:tc>
          <w:tcPr>
            <w:tcW w:w="3220" w:type="dxa"/>
            <w:vAlign w:val="bottom"/>
          </w:tcPr>
          <w:p>
            <w:pPr>
              <w:spacing w:after="0"/>
              <w:rPr>
                <w:sz w:val="18"/>
                <w:szCs w:val="18"/>
                <w:color w:val="auto"/>
              </w:rPr>
            </w:pPr>
          </w:p>
        </w:tc>
        <w:tc>
          <w:tcPr>
            <w:tcW w:w="8040" w:type="dxa"/>
            <w:vAlign w:val="bottom"/>
            <w:gridSpan w:val="4"/>
          </w:tcPr>
          <w:p>
            <w:pPr>
              <w:jc w:val="center"/>
              <w:ind w:right="31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200"/>
        </w:trPr>
        <w:tc>
          <w:tcPr>
            <w:tcW w:w="3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r>
      <w:tr>
        <w:trPr>
          <w:trHeight w:val="178"/>
        </w:trPr>
        <w:tc>
          <w:tcPr>
            <w:tcW w:w="322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Pennsylvania</w:t>
            </w:r>
          </w:p>
        </w:tc>
        <w:tc>
          <w:tcPr>
            <w:tcW w:w="1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25-1211621</w:t>
            </w:r>
          </w:p>
        </w:tc>
      </w:tr>
      <w:tr>
        <w:trPr>
          <w:trHeight w:val="195"/>
        </w:trPr>
        <w:tc>
          <w:tcPr>
            <w:tcW w:w="32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1"/>
        </w:trPr>
        <w:tc>
          <w:tcPr>
            <w:tcW w:w="32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00"/>
        </w:trPr>
        <w:tc>
          <w:tcPr>
            <w:tcW w:w="3220" w:type="dxa"/>
            <w:vAlign w:val="bottom"/>
            <w:tcBorders>
              <w:left w:val="single" w:sz="8" w:color="auto"/>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178"/>
        </w:trPr>
        <w:tc>
          <w:tcPr>
            <w:tcW w:w="322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1000 Mylan Boulevard</w:t>
            </w:r>
          </w:p>
        </w:tc>
        <w:tc>
          <w:tcPr>
            <w:tcW w:w="1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rPr>
                <w:sz w:val="15"/>
                <w:szCs w:val="15"/>
                <w:color w:val="auto"/>
              </w:rPr>
            </w:pPr>
          </w:p>
        </w:tc>
      </w:tr>
      <w:tr>
        <w:trPr>
          <w:trHeight w:val="195"/>
        </w:trPr>
        <w:tc>
          <w:tcPr>
            <w:tcW w:w="32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Canonsburg, Pennsylvania</w:t>
            </w:r>
          </w:p>
        </w:tc>
        <w:tc>
          <w:tcPr>
            <w:tcW w:w="1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15317</w:t>
            </w:r>
          </w:p>
        </w:tc>
      </w:tr>
      <w:tr>
        <w:trPr>
          <w:trHeight w:val="211"/>
        </w:trPr>
        <w:tc>
          <w:tcPr>
            <w:tcW w:w="32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(Zip code)</w:t>
            </w:r>
          </w:p>
        </w:tc>
      </w:tr>
      <w:tr>
        <w:trPr>
          <w:trHeight w:val="200"/>
        </w:trPr>
        <w:tc>
          <w:tcPr>
            <w:tcW w:w="3220" w:type="dxa"/>
            <w:vAlign w:val="bottom"/>
            <w:tcBorders>
              <w:left w:val="single" w:sz="8" w:color="auto"/>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373"/>
        </w:trPr>
        <w:tc>
          <w:tcPr>
            <w:tcW w:w="3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760" w:type="dxa"/>
            <w:vAlign w:val="bottom"/>
            <w:gridSpan w:val="3"/>
          </w:tcPr>
          <w:p>
            <w:pPr>
              <w:jc w:val="center"/>
              <w:ind w:right="4419"/>
              <w:spacing w:after="0"/>
              <w:rPr>
                <w:sz w:val="20"/>
                <w:szCs w:val="20"/>
                <w:color w:val="auto"/>
              </w:rPr>
            </w:pPr>
            <w:r>
              <w:rPr>
                <w:rFonts w:ascii="Times New Roman" w:cs="Times New Roman" w:eastAsia="Times New Roman" w:hAnsi="Times New Roman"/>
                <w:sz w:val="16"/>
                <w:szCs w:val="16"/>
                <w:color w:val="auto"/>
                <w:w w:val="99"/>
              </w:rPr>
              <w:t>Mylan II B.V.</w:t>
            </w:r>
          </w:p>
        </w:tc>
      </w:tr>
      <w:tr>
        <w:trPr>
          <w:trHeight w:val="211"/>
        </w:trPr>
        <w:tc>
          <w:tcPr>
            <w:tcW w:w="3220" w:type="dxa"/>
            <w:vAlign w:val="bottom"/>
          </w:tcPr>
          <w:p>
            <w:pPr>
              <w:spacing w:after="0"/>
              <w:rPr>
                <w:sz w:val="18"/>
                <w:szCs w:val="18"/>
                <w:color w:val="auto"/>
              </w:rPr>
            </w:pPr>
          </w:p>
        </w:tc>
        <w:tc>
          <w:tcPr>
            <w:tcW w:w="8040" w:type="dxa"/>
            <w:vAlign w:val="bottom"/>
            <w:gridSpan w:val="4"/>
          </w:tcPr>
          <w:p>
            <w:pPr>
              <w:jc w:val="center"/>
              <w:ind w:right="31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200"/>
        </w:trPr>
        <w:tc>
          <w:tcPr>
            <w:tcW w:w="3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r>
      <w:tr>
        <w:trPr>
          <w:trHeight w:val="178"/>
        </w:trPr>
        <w:tc>
          <w:tcPr>
            <w:tcW w:w="322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The Netherlands</w:t>
            </w:r>
          </w:p>
        </w:tc>
        <w:tc>
          <w:tcPr>
            <w:tcW w:w="1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None</w:t>
            </w:r>
          </w:p>
        </w:tc>
      </w:tr>
      <w:tr>
        <w:trPr>
          <w:trHeight w:val="195"/>
        </w:trPr>
        <w:tc>
          <w:tcPr>
            <w:tcW w:w="32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1"/>
        </w:trPr>
        <w:tc>
          <w:tcPr>
            <w:tcW w:w="32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00"/>
        </w:trPr>
        <w:tc>
          <w:tcPr>
            <w:tcW w:w="3220" w:type="dxa"/>
            <w:vAlign w:val="bottom"/>
            <w:tcBorders>
              <w:left w:val="single" w:sz="8" w:color="auto"/>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178"/>
        </w:trPr>
        <w:tc>
          <w:tcPr>
            <w:tcW w:w="322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Krijgsman 20</w:t>
            </w:r>
          </w:p>
        </w:tc>
        <w:tc>
          <w:tcPr>
            <w:tcW w:w="1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rPr>
                <w:sz w:val="15"/>
                <w:szCs w:val="15"/>
                <w:color w:val="auto"/>
              </w:rPr>
            </w:pPr>
          </w:p>
        </w:tc>
      </w:tr>
      <w:tr>
        <w:trPr>
          <w:trHeight w:val="195"/>
        </w:trPr>
        <w:tc>
          <w:tcPr>
            <w:tcW w:w="32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1186 DM Amstelveen</w:t>
            </w:r>
          </w:p>
        </w:tc>
        <w:tc>
          <w:tcPr>
            <w:tcW w:w="1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16"/>
                <w:szCs w:val="16"/>
                <w:color w:val="auto"/>
              </w:rPr>
            </w:pPr>
          </w:p>
        </w:tc>
      </w:tr>
      <w:tr>
        <w:trPr>
          <w:trHeight w:val="195"/>
        </w:trPr>
        <w:tc>
          <w:tcPr>
            <w:tcW w:w="32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Amsterdam</w:t>
            </w:r>
          </w:p>
        </w:tc>
        <w:tc>
          <w:tcPr>
            <w:tcW w:w="1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16"/>
                <w:szCs w:val="16"/>
                <w:color w:val="auto"/>
              </w:rPr>
            </w:pPr>
          </w:p>
        </w:tc>
      </w:tr>
      <w:tr>
        <w:trPr>
          <w:trHeight w:val="195"/>
        </w:trPr>
        <w:tc>
          <w:tcPr>
            <w:tcW w:w="32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Netherlands</w:t>
            </w:r>
          </w:p>
        </w:tc>
        <w:tc>
          <w:tcPr>
            <w:tcW w:w="1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16"/>
                <w:szCs w:val="16"/>
                <w:color w:val="auto"/>
              </w:rPr>
            </w:pPr>
          </w:p>
        </w:tc>
      </w:tr>
      <w:tr>
        <w:trPr>
          <w:trHeight w:val="211"/>
        </w:trPr>
        <w:tc>
          <w:tcPr>
            <w:tcW w:w="32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(Zip code)</w:t>
            </w:r>
          </w:p>
        </w:tc>
      </w:tr>
      <w:tr>
        <w:trPr>
          <w:trHeight w:val="200"/>
        </w:trPr>
        <w:tc>
          <w:tcPr>
            <w:tcW w:w="3220" w:type="dxa"/>
            <w:vAlign w:val="bottom"/>
            <w:tcBorders>
              <w:left w:val="single" w:sz="8" w:color="auto"/>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373"/>
        </w:trPr>
        <w:tc>
          <w:tcPr>
            <w:tcW w:w="3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760" w:type="dxa"/>
            <w:vAlign w:val="bottom"/>
            <w:gridSpan w:val="3"/>
          </w:tcPr>
          <w:p>
            <w:pPr>
              <w:jc w:val="center"/>
              <w:ind w:right="4419"/>
              <w:spacing w:after="0"/>
              <w:rPr>
                <w:sz w:val="20"/>
                <w:szCs w:val="20"/>
                <w:color w:val="auto"/>
              </w:rPr>
            </w:pPr>
            <w:r>
              <w:rPr>
                <w:rFonts w:ascii="Times New Roman" w:cs="Times New Roman" w:eastAsia="Times New Roman" w:hAnsi="Times New Roman"/>
                <w:sz w:val="16"/>
                <w:szCs w:val="16"/>
                <w:color w:val="auto"/>
              </w:rPr>
              <w:t>Utah Acquisition Sub Inc.</w:t>
            </w:r>
          </w:p>
        </w:tc>
      </w:tr>
      <w:tr>
        <w:trPr>
          <w:trHeight w:val="211"/>
        </w:trPr>
        <w:tc>
          <w:tcPr>
            <w:tcW w:w="3220" w:type="dxa"/>
            <w:vAlign w:val="bottom"/>
          </w:tcPr>
          <w:p>
            <w:pPr>
              <w:spacing w:after="0"/>
              <w:rPr>
                <w:sz w:val="18"/>
                <w:szCs w:val="18"/>
                <w:color w:val="auto"/>
              </w:rPr>
            </w:pPr>
          </w:p>
        </w:tc>
        <w:tc>
          <w:tcPr>
            <w:tcW w:w="8040" w:type="dxa"/>
            <w:vAlign w:val="bottom"/>
            <w:gridSpan w:val="4"/>
          </w:tcPr>
          <w:p>
            <w:pPr>
              <w:jc w:val="center"/>
              <w:ind w:right="31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200"/>
        </w:trPr>
        <w:tc>
          <w:tcPr>
            <w:tcW w:w="3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gridSpan w:val="2"/>
          </w:tcPr>
          <w:p>
            <w:pPr>
              <w:spacing w:after="0"/>
              <w:rPr>
                <w:sz w:val="17"/>
                <w:szCs w:val="17"/>
                <w:color w:val="auto"/>
              </w:rPr>
            </w:pPr>
          </w:p>
        </w:tc>
      </w:tr>
      <w:tr>
        <w:trPr>
          <w:trHeight w:val="178"/>
        </w:trPr>
        <w:tc>
          <w:tcPr>
            <w:tcW w:w="322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Delaware</w:t>
            </w:r>
          </w:p>
        </w:tc>
        <w:tc>
          <w:tcPr>
            <w:tcW w:w="1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84-4554869</w:t>
            </w:r>
          </w:p>
        </w:tc>
      </w:tr>
      <w:tr>
        <w:trPr>
          <w:trHeight w:val="195"/>
        </w:trPr>
        <w:tc>
          <w:tcPr>
            <w:tcW w:w="32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1"/>
        </w:trPr>
        <w:tc>
          <w:tcPr>
            <w:tcW w:w="32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00"/>
        </w:trPr>
        <w:tc>
          <w:tcPr>
            <w:tcW w:w="3220" w:type="dxa"/>
            <w:vAlign w:val="bottom"/>
            <w:tcBorders>
              <w:left w:val="single" w:sz="8" w:color="auto"/>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178"/>
        </w:trPr>
        <w:tc>
          <w:tcPr>
            <w:tcW w:w="3220" w:type="dxa"/>
            <w:vAlign w:val="bottom"/>
            <w:tcBorders>
              <w:left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1000 Mylan Boulevard</w:t>
            </w:r>
          </w:p>
        </w:tc>
        <w:tc>
          <w:tcPr>
            <w:tcW w:w="1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spacing w:after="0"/>
              <w:rPr>
                <w:sz w:val="15"/>
                <w:szCs w:val="15"/>
                <w:color w:val="auto"/>
              </w:rPr>
            </w:pPr>
          </w:p>
        </w:tc>
      </w:tr>
      <w:tr>
        <w:trPr>
          <w:trHeight w:val="195"/>
        </w:trPr>
        <w:tc>
          <w:tcPr>
            <w:tcW w:w="32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Canonsburg, Pennsylvania</w:t>
            </w:r>
          </w:p>
        </w:tc>
        <w:tc>
          <w:tcPr>
            <w:tcW w:w="1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15317</w:t>
            </w:r>
          </w:p>
        </w:tc>
      </w:tr>
      <w:tr>
        <w:trPr>
          <w:trHeight w:val="211"/>
        </w:trPr>
        <w:tc>
          <w:tcPr>
            <w:tcW w:w="32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(Zip code)</w:t>
            </w:r>
          </w:p>
        </w:tc>
      </w:tr>
      <w:tr>
        <w:trPr>
          <w:trHeight w:val="200"/>
        </w:trPr>
        <w:tc>
          <w:tcPr>
            <w:tcW w:w="3220" w:type="dxa"/>
            <w:vAlign w:val="bottom"/>
            <w:tcBorders>
              <w:left w:val="single" w:sz="8" w:color="auto"/>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r>
      <w:tr>
        <w:trPr>
          <w:trHeight w:val="280"/>
        </w:trPr>
        <w:tc>
          <w:tcPr>
            <w:tcW w:w="3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520" w:type="dxa"/>
            <w:vAlign w:val="bottom"/>
            <w:gridSpan w:val="2"/>
          </w:tcPr>
          <w:p>
            <w:pPr>
              <w:spacing w:after="0"/>
              <w:rPr>
                <w:sz w:val="24"/>
                <w:szCs w:val="24"/>
                <w:color w:val="auto"/>
              </w:rPr>
            </w:pPr>
          </w:p>
        </w:tc>
      </w:tr>
      <w:tr>
        <w:trPr>
          <w:trHeight w:val="438"/>
        </w:trPr>
        <w:tc>
          <w:tcPr>
            <w:tcW w:w="3220" w:type="dxa"/>
            <w:vAlign w:val="bottom"/>
          </w:tcPr>
          <w:p>
            <w:pPr>
              <w:spacing w:after="0"/>
              <w:rPr>
                <w:sz w:val="24"/>
                <w:szCs w:val="24"/>
                <w:color w:val="auto"/>
              </w:rPr>
            </w:pPr>
          </w:p>
        </w:tc>
        <w:tc>
          <w:tcPr>
            <w:tcW w:w="8040" w:type="dxa"/>
            <w:vAlign w:val="bottom"/>
            <w:gridSpan w:val="4"/>
          </w:tcPr>
          <w:p>
            <w:pPr>
              <w:jc w:val="center"/>
              <w:ind w:right="3159"/>
              <w:spacing w:after="0"/>
              <w:rPr>
                <w:sz w:val="20"/>
                <w:szCs w:val="20"/>
                <w:color w:val="auto"/>
              </w:rPr>
            </w:pPr>
            <w:r>
              <w:rPr>
                <w:rFonts w:ascii="Times New Roman" w:cs="Times New Roman" w:eastAsia="Times New Roman" w:hAnsi="Times New Roman"/>
                <w:sz w:val="16"/>
                <w:szCs w:val="16"/>
                <w:color w:val="auto"/>
              </w:rPr>
              <w:t>Junior Subordinated Debt Securities</w:t>
            </w:r>
          </w:p>
        </w:tc>
      </w:tr>
      <w:tr>
        <w:trPr>
          <w:trHeight w:val="195"/>
        </w:trPr>
        <w:tc>
          <w:tcPr>
            <w:tcW w:w="3220" w:type="dxa"/>
            <w:vAlign w:val="bottom"/>
          </w:tcPr>
          <w:p>
            <w:pPr>
              <w:spacing w:after="0"/>
              <w:rPr>
                <w:sz w:val="16"/>
                <w:szCs w:val="16"/>
                <w:color w:val="auto"/>
              </w:rPr>
            </w:pPr>
          </w:p>
        </w:tc>
        <w:tc>
          <w:tcPr>
            <w:tcW w:w="8040" w:type="dxa"/>
            <w:vAlign w:val="bottom"/>
            <w:gridSpan w:val="4"/>
          </w:tcPr>
          <w:p>
            <w:pPr>
              <w:jc w:val="center"/>
              <w:ind w:right="3159"/>
              <w:spacing w:after="0"/>
              <w:rPr>
                <w:sz w:val="20"/>
                <w:szCs w:val="20"/>
                <w:color w:val="auto"/>
              </w:rPr>
            </w:pPr>
            <w:r>
              <w:rPr>
                <w:rFonts w:ascii="Times New Roman" w:cs="Times New Roman" w:eastAsia="Times New Roman" w:hAnsi="Times New Roman"/>
                <w:sz w:val="16"/>
                <w:szCs w:val="16"/>
                <w:color w:val="auto"/>
              </w:rPr>
              <w:t>and Guarantees of Junior Subordinated Debt Securities</w:t>
            </w:r>
          </w:p>
        </w:tc>
      </w:tr>
      <w:tr>
        <w:trPr>
          <w:trHeight w:val="211"/>
        </w:trPr>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760" w:type="dxa"/>
            <w:vAlign w:val="bottom"/>
            <w:gridSpan w:val="3"/>
          </w:tcPr>
          <w:p>
            <w:pPr>
              <w:jc w:val="center"/>
              <w:ind w:right="4439"/>
              <w:spacing w:after="0"/>
              <w:rPr>
                <w:sz w:val="20"/>
                <w:szCs w:val="20"/>
                <w:color w:val="auto"/>
              </w:rPr>
            </w:pPr>
            <w:r>
              <w:rPr>
                <w:rFonts w:ascii="Times New Roman" w:cs="Times New Roman" w:eastAsia="Times New Roman" w:hAnsi="Times New Roman"/>
                <w:sz w:val="16"/>
                <w:szCs w:val="16"/>
                <w:color w:val="auto"/>
              </w:rPr>
              <w:t>(Title of the indenture securities)</w:t>
            </w:r>
          </w:p>
        </w:tc>
      </w:tr>
      <w:tr>
        <w:trPr>
          <w:trHeight w:val="514"/>
        </w:trPr>
        <w:tc>
          <w:tcPr>
            <w:tcW w:w="3220" w:type="dxa"/>
            <w:vAlign w:val="bottom"/>
          </w:tcPr>
          <w:p>
            <w:pPr>
              <w:spacing w:after="0"/>
              <w:rPr>
                <w:sz w:val="24"/>
                <w:szCs w:val="24"/>
                <w:color w:val="auto"/>
              </w:rPr>
            </w:pPr>
          </w:p>
        </w:tc>
        <w:tc>
          <w:tcPr>
            <w:tcW w:w="3520" w:type="dxa"/>
            <w:vAlign w:val="bottom"/>
            <w:gridSpan w:val="2"/>
          </w:tcPr>
          <w:p>
            <w:pPr>
              <w:jc w:val="center"/>
              <w:ind w:left="1222"/>
              <w:spacing w:after="0"/>
              <w:rPr>
                <w:sz w:val="20"/>
                <w:szCs w:val="20"/>
                <w:color w:val="auto"/>
              </w:rPr>
            </w:pPr>
            <w:r>
              <w:rPr>
                <w:rFonts w:ascii="Times New Roman" w:cs="Times New Roman" w:eastAsia="Times New Roman" w:hAnsi="Times New Roman"/>
                <w:sz w:val="13"/>
                <w:szCs w:val="13"/>
                <w:color w:val="auto"/>
              </w:rPr>
              <w:t>- 2 -</w:t>
            </w:r>
          </w:p>
        </w:tc>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9"/>
        </w:trPr>
        <w:tc>
          <w:tcPr>
            <w:tcW w:w="3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3" w:right="319" w:bottom="1440" w:gutter="0" w:footer="0" w:header="0"/>
        </w:sectPr>
      </w:pPr>
    </w:p>
    <w:bookmarkStart w:id="289" w:name="page290"/>
    <w:bookmarkEnd w:id="289"/>
    <w:p>
      <w:pPr>
        <w:ind w:left="583" w:hanging="583"/>
        <w:spacing w:after="0"/>
        <w:tabs>
          <w:tab w:leader="none" w:pos="583" w:val="left"/>
        </w:tabs>
        <w:numPr>
          <w:ilvl w:val="0"/>
          <w:numId w:val="2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General information. Furnish the following information as to the Trustee:</w:t>
      </w:r>
    </w:p>
    <w:p>
      <w:pPr>
        <w:spacing w:after="0" w:line="205" w:lineRule="exact"/>
        <w:rPr>
          <w:rFonts w:ascii="Times New Roman" w:cs="Times New Roman" w:eastAsia="Times New Roman" w:hAnsi="Times New Roman"/>
          <w:sz w:val="16"/>
          <w:szCs w:val="16"/>
          <w:b w:val="1"/>
          <w:bCs w:val="1"/>
          <w:color w:val="auto"/>
        </w:rPr>
      </w:pPr>
    </w:p>
    <w:p>
      <w:pPr>
        <w:ind w:left="1163" w:hanging="578"/>
        <w:spacing w:after="0"/>
        <w:tabs>
          <w:tab w:leader="none" w:pos="1163" w:val="left"/>
        </w:tabs>
        <w:numPr>
          <w:ilvl w:val="1"/>
          <w:numId w:val="2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Name and address of each examining or supervising authority to which it is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45655" cy="152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3" w:type="dxa"/>
        <w:tblCellMar>
          <w:top w:w="0" w:type="dxa"/>
          <w:left w:w="0" w:type="dxa"/>
          <w:bottom w:w="0" w:type="dxa"/>
          <w:right w:w="0" w:type="dxa"/>
        </w:tblCellMar>
      </w:tblPr>
      <w:tr>
        <w:trPr>
          <w:trHeight w:val="211"/>
        </w:trPr>
        <w:tc>
          <w:tcPr>
            <w:tcW w:w="4320" w:type="dxa"/>
            <w:vAlign w:val="bottom"/>
          </w:tcPr>
          <w:p>
            <w:pPr>
              <w:ind w:left="2620"/>
              <w:spacing w:after="0"/>
              <w:rPr>
                <w:sz w:val="20"/>
                <w:szCs w:val="20"/>
                <w:color w:val="auto"/>
              </w:rPr>
            </w:pPr>
            <w:r>
              <w:rPr>
                <w:rFonts w:ascii="Times New Roman" w:cs="Times New Roman" w:eastAsia="Times New Roman" w:hAnsi="Times New Roman"/>
                <w:sz w:val="16"/>
                <w:szCs w:val="16"/>
                <w:color w:val="auto"/>
              </w:rPr>
              <w:t>Name</w:t>
            </w:r>
          </w:p>
        </w:tc>
        <w:tc>
          <w:tcPr>
            <w:tcW w:w="6940" w:type="dxa"/>
            <w:vAlign w:val="bottom"/>
          </w:tcPr>
          <w:p>
            <w:pPr>
              <w:ind w:left="3860"/>
              <w:spacing w:after="0"/>
              <w:rPr>
                <w:sz w:val="20"/>
                <w:szCs w:val="20"/>
                <w:color w:val="auto"/>
              </w:rPr>
            </w:pPr>
            <w:r>
              <w:rPr>
                <w:rFonts w:ascii="Times New Roman" w:cs="Times New Roman" w:eastAsia="Times New Roman" w:hAnsi="Times New Roman"/>
                <w:sz w:val="16"/>
                <w:szCs w:val="16"/>
                <w:color w:val="auto"/>
              </w:rPr>
              <w:t>Address</w:t>
            </w:r>
          </w:p>
        </w:tc>
      </w:tr>
      <w:tr>
        <w:trPr>
          <w:trHeight w:val="200"/>
        </w:trPr>
        <w:tc>
          <w:tcPr>
            <w:tcW w:w="4320" w:type="dxa"/>
            <w:vAlign w:val="bottom"/>
            <w:tcBorders>
              <w:bottom w:val="single" w:sz="8" w:color="auto"/>
            </w:tcBorders>
          </w:tcPr>
          <w:p>
            <w:pPr>
              <w:spacing w:after="0"/>
              <w:rPr>
                <w:sz w:val="17"/>
                <w:szCs w:val="17"/>
                <w:color w:val="auto"/>
              </w:rPr>
            </w:pPr>
          </w:p>
        </w:tc>
        <w:tc>
          <w:tcPr>
            <w:tcW w:w="6940" w:type="dxa"/>
            <w:vAlign w:val="bottom"/>
            <w:tcBorders>
              <w:bottom w:val="single" w:sz="8" w:color="auto"/>
            </w:tcBorders>
          </w:tcPr>
          <w:p>
            <w:pPr>
              <w:spacing w:after="0"/>
              <w:rPr>
                <w:sz w:val="17"/>
                <w:szCs w:val="17"/>
                <w:color w:val="auto"/>
              </w:rPr>
            </w:pPr>
          </w:p>
        </w:tc>
      </w:tr>
      <w:tr>
        <w:trPr>
          <w:trHeight w:val="37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Superintendent of the Department of</w:t>
            </w:r>
          </w:p>
        </w:tc>
        <w:tc>
          <w:tcPr>
            <w:tcW w:w="69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One State Street, New York, N.Y.</w:t>
            </w:r>
          </w:p>
        </w:tc>
      </w:tr>
      <w:tr>
        <w:trPr>
          <w:trHeight w:val="211"/>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Financial Services of the State of New York</w:t>
            </w:r>
          </w:p>
        </w:tc>
        <w:tc>
          <w:tcPr>
            <w:tcW w:w="69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10004-1417, and Albany, N.Y. 12223</w:t>
            </w:r>
          </w:p>
        </w:tc>
      </w:tr>
      <w:tr>
        <w:trPr>
          <w:trHeight w:val="390"/>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Federal Reserve Bank of New York</w:t>
            </w:r>
          </w:p>
        </w:tc>
        <w:tc>
          <w:tcPr>
            <w:tcW w:w="69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33 Liberty Street, New York, N.Y. 10045</w:t>
            </w:r>
          </w:p>
        </w:tc>
      </w:tr>
      <w:tr>
        <w:trPr>
          <w:trHeight w:val="374"/>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Federal Deposit Insurance Corporation</w:t>
            </w:r>
          </w:p>
        </w:tc>
        <w:tc>
          <w:tcPr>
            <w:tcW w:w="69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550 17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Street, NW</w:t>
            </w:r>
          </w:p>
        </w:tc>
      </w:tr>
      <w:tr>
        <w:trPr>
          <w:trHeight w:val="211"/>
        </w:trPr>
        <w:tc>
          <w:tcPr>
            <w:tcW w:w="4320" w:type="dxa"/>
            <w:vAlign w:val="bottom"/>
          </w:tcPr>
          <w:p>
            <w:pPr>
              <w:spacing w:after="0"/>
              <w:rPr>
                <w:sz w:val="18"/>
                <w:szCs w:val="18"/>
                <w:color w:val="auto"/>
              </w:rPr>
            </w:pPr>
          </w:p>
        </w:tc>
        <w:tc>
          <w:tcPr>
            <w:tcW w:w="69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Washington, D.C. 20429</w:t>
            </w:r>
          </w:p>
        </w:tc>
      </w:tr>
      <w:tr>
        <w:trPr>
          <w:trHeight w:val="374"/>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The Clearing House Association L.L.C.</w:t>
            </w:r>
          </w:p>
        </w:tc>
        <w:tc>
          <w:tcPr>
            <w:tcW w:w="69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100 Broad Street</w:t>
            </w:r>
          </w:p>
        </w:tc>
      </w:tr>
      <w:tr>
        <w:trPr>
          <w:trHeight w:val="211"/>
        </w:trPr>
        <w:tc>
          <w:tcPr>
            <w:tcW w:w="4320" w:type="dxa"/>
            <w:vAlign w:val="bottom"/>
          </w:tcPr>
          <w:p>
            <w:pPr>
              <w:spacing w:after="0"/>
              <w:rPr>
                <w:sz w:val="18"/>
                <w:szCs w:val="18"/>
                <w:color w:val="auto"/>
              </w:rPr>
            </w:pPr>
          </w:p>
        </w:tc>
        <w:tc>
          <w:tcPr>
            <w:tcW w:w="69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New York, N.Y. 10004</w:t>
            </w:r>
          </w:p>
        </w:tc>
      </w:tr>
    </w:tbl>
    <w:p>
      <w:pPr>
        <w:spacing w:after="0" w:line="177" w:lineRule="exact"/>
        <w:rPr>
          <w:sz w:val="20"/>
          <w:szCs w:val="20"/>
          <w:color w:val="auto"/>
        </w:rPr>
      </w:pPr>
    </w:p>
    <w:p>
      <w:pPr>
        <w:ind w:left="1163" w:hanging="578"/>
        <w:spacing w:after="0"/>
        <w:tabs>
          <w:tab w:leader="none" w:pos="1163" w:val="left"/>
        </w:tabs>
        <w:numPr>
          <w:ilvl w:val="0"/>
          <w:numId w:val="2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Whether it is authorized to exercise corporate trust powers.</w:t>
      </w:r>
    </w:p>
    <w:p>
      <w:pPr>
        <w:spacing w:after="0" w:line="208"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Yes.</w:t>
      </w:r>
    </w:p>
    <w:p>
      <w:pPr>
        <w:spacing w:after="0" w:line="204" w:lineRule="exact"/>
        <w:rPr>
          <w:sz w:val="20"/>
          <w:szCs w:val="20"/>
          <w:color w:val="auto"/>
        </w:rPr>
      </w:pPr>
    </w:p>
    <w:p>
      <w:pPr>
        <w:ind w:left="583" w:hanging="583"/>
        <w:spacing w:after="0"/>
        <w:tabs>
          <w:tab w:leader="none" w:pos="583" w:val="left"/>
        </w:tabs>
        <w:numPr>
          <w:ilvl w:val="0"/>
          <w:numId w:val="2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Affiliations with Obligor.</w:t>
      </w:r>
    </w:p>
    <w:p>
      <w:pPr>
        <w:spacing w:after="0" w:line="205" w:lineRule="exact"/>
        <w:rPr>
          <w:rFonts w:ascii="Times New Roman" w:cs="Times New Roman" w:eastAsia="Times New Roman" w:hAnsi="Times New Roman"/>
          <w:sz w:val="16"/>
          <w:szCs w:val="16"/>
          <w:b w:val="1"/>
          <w:bCs w:val="1"/>
          <w:color w:val="auto"/>
        </w:rPr>
      </w:pPr>
    </w:p>
    <w:p>
      <w:pPr>
        <w:ind w:left="583" w:right="5760"/>
        <w:spacing w:after="0" w:line="50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If the obligor is an affiliate of the trustee, describe each such affiliation. </w:t>
      </w:r>
      <w:r>
        <w:rPr>
          <w:rFonts w:ascii="Times New Roman" w:cs="Times New Roman" w:eastAsia="Times New Roman" w:hAnsi="Times New Roman"/>
          <w:sz w:val="16"/>
          <w:szCs w:val="16"/>
          <w:color w:val="auto"/>
        </w:rPr>
        <w:t>None.</w:t>
      </w:r>
    </w:p>
    <w:p>
      <w:pPr>
        <w:spacing w:after="0" w:line="1" w:lineRule="exact"/>
        <w:rPr>
          <w:sz w:val="20"/>
          <w:szCs w:val="20"/>
          <w:color w:val="auto"/>
        </w:rPr>
      </w:pPr>
    </w:p>
    <w:p>
      <w:pPr>
        <w:ind w:left="583" w:hanging="583"/>
        <w:spacing w:after="0"/>
        <w:tabs>
          <w:tab w:leader="none" w:pos="583" w:val="left"/>
        </w:tabs>
        <w:numPr>
          <w:ilvl w:val="0"/>
          <w:numId w:val="2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List of Exhibits.</w:t>
      </w:r>
    </w:p>
    <w:p>
      <w:pPr>
        <w:spacing w:after="0" w:line="171" w:lineRule="exact"/>
        <w:rPr>
          <w:rFonts w:ascii="Times New Roman" w:cs="Times New Roman" w:eastAsia="Times New Roman" w:hAnsi="Times New Roman"/>
          <w:sz w:val="16"/>
          <w:szCs w:val="16"/>
          <w:b w:val="1"/>
          <w:bCs w:val="1"/>
          <w:color w:val="auto"/>
        </w:rPr>
      </w:pPr>
    </w:p>
    <w:p>
      <w:pPr>
        <w:ind w:left="583" w:right="20"/>
        <w:spacing w:after="0" w:line="221" w:lineRule="exact"/>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Exhibits identified in parentheses below, on file with the Commission, are incorporated herein by reference as an exhibit hereto, pursuant to Rule 7a</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29 under the Trust Indenture Act of 1939 (the "Act").</w:t>
      </w:r>
    </w:p>
    <w:p>
      <w:pPr>
        <w:spacing w:after="0" w:line="180" w:lineRule="exact"/>
        <w:rPr>
          <w:rFonts w:ascii="Times New Roman" w:cs="Times New Roman" w:eastAsia="Times New Roman" w:hAnsi="Times New Roman"/>
          <w:sz w:val="16"/>
          <w:szCs w:val="16"/>
          <w:b w:val="1"/>
          <w:bCs w:val="1"/>
          <w:color w:val="auto"/>
        </w:rPr>
      </w:pPr>
    </w:p>
    <w:p>
      <w:pPr>
        <w:ind w:left="1163" w:right="180" w:hanging="578"/>
        <w:spacing w:after="0" w:line="262" w:lineRule="auto"/>
        <w:tabs>
          <w:tab w:leader="none" w:pos="1163" w:val="left"/>
        </w:tabs>
        <w:numPr>
          <w:ilvl w:val="1"/>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w:t>
      </w:r>
    </w:p>
    <w:p>
      <w:pPr>
        <w:spacing w:after="0" w:line="319" w:lineRule="exact"/>
        <w:rPr>
          <w:rFonts w:ascii="Times New Roman" w:cs="Times New Roman" w:eastAsia="Times New Roman" w:hAnsi="Times New Roman"/>
          <w:sz w:val="16"/>
          <w:szCs w:val="16"/>
          <w:color w:val="auto"/>
        </w:rPr>
      </w:pPr>
    </w:p>
    <w:p>
      <w:pPr>
        <w:ind w:left="5603" w:hanging="84"/>
        <w:spacing w:after="0"/>
        <w:tabs>
          <w:tab w:leader="none" w:pos="5603" w:val="left"/>
        </w:tabs>
        <w:numPr>
          <w:ilvl w:val="2"/>
          <w:numId w:val="2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5655" cy="152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90" w:name="page291"/>
    <w:bookmarkEnd w:id="290"/>
    <w:p>
      <w:pPr>
        <w:ind w:left="578" w:hanging="578"/>
        <w:spacing w:after="0"/>
        <w:tabs>
          <w:tab w:leader="none" w:pos="578" w:val="left"/>
        </w:tabs>
        <w:numPr>
          <w:ilvl w:val="0"/>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existing By-laws of the Trustee (Exhibit 4 to Form T-1 filed with Registration Statement No. 333-261533).</w:t>
      </w:r>
    </w:p>
    <w:p>
      <w:pPr>
        <w:spacing w:after="0" w:line="206" w:lineRule="exact"/>
        <w:rPr>
          <w:sz w:val="20"/>
          <w:szCs w:val="20"/>
          <w:color w:val="auto"/>
        </w:rPr>
      </w:pPr>
    </w:p>
    <w:p>
      <w:pPr>
        <w:ind w:left="578" w:hanging="578"/>
        <w:spacing w:after="0"/>
        <w:tabs>
          <w:tab w:leader="none" w:pos="578"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consent of the Trustee required by Section 321(b) of the Act (Exhibit 6 to Form T-1 filed with Registration Statement No. 333-229519).</w:t>
      </w:r>
    </w:p>
    <w:p>
      <w:pPr>
        <w:spacing w:after="0" w:line="205" w:lineRule="exact"/>
        <w:rPr>
          <w:rFonts w:ascii="Times New Roman" w:cs="Times New Roman" w:eastAsia="Times New Roman" w:hAnsi="Times New Roman"/>
          <w:sz w:val="16"/>
          <w:szCs w:val="16"/>
          <w:color w:val="auto"/>
        </w:rPr>
      </w:pPr>
    </w:p>
    <w:p>
      <w:pPr>
        <w:ind w:left="578" w:hanging="578"/>
        <w:spacing w:after="0"/>
        <w:tabs>
          <w:tab w:leader="none" w:pos="578"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latest report of condition of the Trustee published pursuant to law or to the requirements of its supervising or examining authority.</w:t>
      </w:r>
    </w:p>
    <w:p>
      <w:pPr>
        <w:spacing w:after="0" w:line="360" w:lineRule="exact"/>
        <w:rPr>
          <w:rFonts w:ascii="Times New Roman" w:cs="Times New Roman" w:eastAsia="Times New Roman" w:hAnsi="Times New Roman"/>
          <w:sz w:val="16"/>
          <w:szCs w:val="16"/>
          <w:color w:val="auto"/>
        </w:rPr>
      </w:pPr>
    </w:p>
    <w:p>
      <w:pPr>
        <w:ind w:left="5018" w:hanging="84"/>
        <w:spacing w:after="0"/>
        <w:tabs>
          <w:tab w:leader="none" w:pos="5018" w:val="left"/>
        </w:tabs>
        <w:numPr>
          <w:ilvl w:val="1"/>
          <w:numId w:val="2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33655</wp:posOffset>
            </wp:positionV>
            <wp:extent cx="7145655" cy="152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9958"/>
          </w:cols>
          <w:pgMar w:left="902" w:top="123" w:right="1039" w:bottom="1440" w:gutter="0" w:footer="0" w:header="0"/>
        </w:sectPr>
      </w:pPr>
    </w:p>
    <w:bookmarkStart w:id="291" w:name="page292"/>
    <w:bookmarkEnd w:id="291"/>
    <w:p>
      <w:pPr>
        <w:jc w:val="center"/>
        <w:spacing w:after="0"/>
        <w:rPr>
          <w:sz w:val="20"/>
          <w:szCs w:val="20"/>
          <w:color w:val="auto"/>
        </w:rPr>
      </w:pPr>
      <w:r>
        <w:rPr>
          <w:rFonts w:ascii="Times New Roman" w:cs="Times New Roman" w:eastAsia="Times New Roman" w:hAnsi="Times New Roman"/>
          <w:sz w:val="16"/>
          <w:szCs w:val="16"/>
          <w:color w:val="auto"/>
        </w:rPr>
        <w:t>SIGNATURE</w:t>
      </w:r>
    </w:p>
    <w:p>
      <w:pPr>
        <w:spacing w:after="0" w:line="206" w:lineRule="exact"/>
        <w:rPr>
          <w:sz w:val="20"/>
          <w:szCs w:val="20"/>
          <w:color w:val="auto"/>
        </w:rPr>
      </w:pPr>
    </w:p>
    <w:p>
      <w:pPr>
        <w:jc w:val="both"/>
        <w:ind w:firstLine="585"/>
        <w:spacing w:after="0" w:line="271" w:lineRule="auto"/>
        <w:rPr>
          <w:sz w:val="20"/>
          <w:szCs w:val="20"/>
          <w:color w:val="auto"/>
        </w:rPr>
      </w:pPr>
      <w:r>
        <w:rPr>
          <w:rFonts w:ascii="Times New Roman" w:cs="Times New Roman" w:eastAsia="Times New Roman" w:hAnsi="Times New Roman"/>
          <w:sz w:val="16"/>
          <w:szCs w:val="16"/>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Pittsburgh, and State of Pennsylvania, on the 2nd day of May, 2025.</w:t>
      </w:r>
    </w:p>
    <w:p>
      <w:pPr>
        <w:spacing w:after="0" w:line="1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THE BANK OF NEW YORK MELLON</w:t>
      </w:r>
    </w:p>
    <w:p>
      <w:pPr>
        <w:spacing w:after="0" w:line="206"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6"/>
          <w:szCs w:val="16"/>
          <w:color w:val="auto"/>
        </w:rPr>
        <w:t>By:</w:t>
        <w:tab/>
        <w:t>/s/ Nathaniel Henkle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25400</wp:posOffset>
            </wp:positionV>
            <wp:extent cx="3279140" cy="152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1">
                      <a:extLst>
                        <a:ext uri="{28A0092B-C50C-407E-A947-70E740481C1C}"/>
                      </a:extLst>
                    </a:blip>
                    <a:srcRect/>
                    <a:stretch>
                      <a:fillRect/>
                    </a:stretch>
                  </pic:blipFill>
                  <pic:spPr bwMode="auto">
                    <a:xfrm>
                      <a:off x="0" y="0"/>
                      <a:ext cx="3279140" cy="15240"/>
                    </a:xfrm>
                    <a:prstGeom prst="rect">
                      <a:avLst/>
                    </a:prstGeom>
                    <a:noFill/>
                  </pic:spPr>
                </pic:pic>
              </a:graphicData>
            </a:graphic>
          </wp:anchor>
        </w:drawing>
      </w:r>
    </w:p>
    <w:p>
      <w:pPr>
        <w:spacing w:after="0" w:line="27" w:lineRule="exact"/>
        <w:rPr>
          <w:sz w:val="20"/>
          <w:szCs w:val="20"/>
          <w:color w:val="auto"/>
        </w:rPr>
      </w:pPr>
    </w:p>
    <w:p>
      <w:pPr>
        <w:ind w:left="6080"/>
        <w:spacing w:after="0"/>
        <w:tabs>
          <w:tab w:leader="none" w:pos="6740" w:val="left"/>
        </w:tabs>
        <w:rPr>
          <w:sz w:val="20"/>
          <w:szCs w:val="20"/>
          <w:color w:val="auto"/>
        </w:rPr>
      </w:pPr>
      <w:r>
        <w:rPr>
          <w:rFonts w:ascii="Times New Roman" w:cs="Times New Roman" w:eastAsia="Times New Roman" w:hAnsi="Times New Roman"/>
          <w:sz w:val="16"/>
          <w:szCs w:val="16"/>
          <w:color w:val="auto"/>
        </w:rPr>
        <w:t>Name:</w:t>
        <w:tab/>
        <w:t>Nathaniel Henkle</w:t>
      </w:r>
    </w:p>
    <w:p>
      <w:pPr>
        <w:spacing w:after="0" w:line="27" w:lineRule="exact"/>
        <w:rPr>
          <w:sz w:val="20"/>
          <w:szCs w:val="20"/>
          <w:color w:val="auto"/>
        </w:rPr>
      </w:pPr>
    </w:p>
    <w:p>
      <w:pPr>
        <w:ind w:left="6080"/>
        <w:spacing w:after="0"/>
        <w:tabs>
          <w:tab w:leader="none" w:pos="674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Agent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2" w:name="page293"/>
    <w:bookmarkEnd w:id="292"/>
    <w:p>
      <w:pPr>
        <w:ind w:left="10620"/>
        <w:spacing w:after="0"/>
        <w:rPr>
          <w:sz w:val="20"/>
          <w:szCs w:val="20"/>
          <w:color w:val="auto"/>
        </w:rPr>
      </w:pPr>
      <w:r>
        <w:rPr>
          <w:rFonts w:ascii="Times New Roman" w:cs="Times New Roman" w:eastAsia="Times New Roman" w:hAnsi="Times New Roman"/>
          <w:sz w:val="16"/>
          <w:szCs w:val="16"/>
          <w:b w:val="1"/>
          <w:bCs w:val="1"/>
          <w:color w:val="auto"/>
        </w:rPr>
        <w:t>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145655"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Report of Condition 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BANK OF NEW YORK MELLON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of 240 Greenwich Street, New York, N.Y. 10286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And Foreign and Domestic Subsidiaries,</w:t>
      </w:r>
    </w:p>
    <w:p>
      <w:pPr>
        <w:spacing w:after="0" w:line="1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a member of the Federal Reserve System, at the close of business December 31, 2024, published in accordance with a call made by the Federal Reserve Bank of this District pursuant to the provisions of the Federal Reserve Act.</w:t>
      </w:r>
    </w:p>
    <w:p>
      <w:pPr>
        <w:spacing w:after="0" w:line="156" w:lineRule="exact"/>
        <w:rPr>
          <w:sz w:val="20"/>
          <w:szCs w:val="20"/>
          <w:color w:val="auto"/>
        </w:rPr>
      </w:pPr>
    </w:p>
    <w:p>
      <w:pPr>
        <w:spacing w:after="0"/>
        <w:tabs>
          <w:tab w:leader="none" w:pos="9360" w:val="left"/>
        </w:tabs>
        <w:rPr>
          <w:sz w:val="20"/>
          <w:szCs w:val="20"/>
          <w:color w:val="auto"/>
        </w:rPr>
      </w:pPr>
      <w:r>
        <w:rPr>
          <w:rFonts w:ascii="Times New Roman" w:cs="Times New Roman" w:eastAsia="Times New Roman" w:hAnsi="Times New Roman"/>
          <w:sz w:val="16"/>
          <w:szCs w:val="16"/>
          <w:b w:val="1"/>
          <w:bCs w:val="1"/>
          <w:color w:val="auto"/>
        </w:rPr>
        <w:t>ASSETS</w:t>
      </w:r>
      <w:r>
        <w:rPr>
          <w:sz w:val="20"/>
          <w:szCs w:val="20"/>
          <w:color w:val="auto"/>
        </w:rPr>
        <w:tab/>
      </w:r>
      <w:r>
        <w:rPr>
          <w:rFonts w:ascii="Times New Roman" w:cs="Times New Roman" w:eastAsia="Times New Roman" w:hAnsi="Times New Roman"/>
          <w:sz w:val="16"/>
          <w:szCs w:val="16"/>
          <w:color w:val="auto"/>
        </w:rPr>
        <w:t>Dollar amounts in thousands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balances due from depository institutions:</w:t>
      </w:r>
    </w:p>
    <w:p>
      <w:pPr>
        <w:spacing w:after="0" w:line="27" w:lineRule="exact"/>
        <w:rPr>
          <w:sz w:val="20"/>
          <w:szCs w:val="20"/>
          <w:color w:val="auto"/>
        </w:rPr>
      </w:pPr>
    </w:p>
    <w:p>
      <w:pPr>
        <w:ind w:left="140"/>
        <w:spacing w:after="0"/>
        <w:tabs>
          <w:tab w:leader="dot" w:pos="10580" w:val="left"/>
        </w:tabs>
        <w:rPr>
          <w:sz w:val="20"/>
          <w:szCs w:val="20"/>
          <w:color w:val="auto"/>
        </w:rPr>
      </w:pPr>
      <w:r>
        <w:rPr>
          <w:rFonts w:ascii="Times New Roman" w:cs="Times New Roman" w:eastAsia="Times New Roman" w:hAnsi="Times New Roman"/>
          <w:sz w:val="16"/>
          <w:szCs w:val="16"/>
          <w:color w:val="auto"/>
        </w:rPr>
        <w:t>Noninterest-bearing balances and currency and coin</w:t>
      </w:r>
      <w:r>
        <w:rPr>
          <w:sz w:val="20"/>
          <w:szCs w:val="20"/>
          <w:color w:val="auto"/>
        </w:rPr>
        <w:tab/>
      </w:r>
      <w:r>
        <w:rPr>
          <w:rFonts w:ascii="Times New Roman" w:cs="Times New Roman" w:eastAsia="Times New Roman" w:hAnsi="Times New Roman"/>
          <w:sz w:val="16"/>
          <w:szCs w:val="16"/>
          <w:color w:val="auto"/>
        </w:rPr>
        <w:t>3,316,000</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Interest-bearing balances</w:t>
      </w:r>
      <w:r>
        <w:rPr>
          <w:sz w:val="20"/>
          <w:szCs w:val="20"/>
          <w:color w:val="auto"/>
        </w:rPr>
        <w:tab/>
      </w:r>
      <w:r>
        <w:rPr>
          <w:rFonts w:ascii="Times New Roman" w:cs="Times New Roman" w:eastAsia="Times New Roman" w:hAnsi="Times New Roman"/>
          <w:sz w:val="16"/>
          <w:szCs w:val="16"/>
          <w:color w:val="auto"/>
        </w:rPr>
        <w:t>96,711,000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Held-to-maturity securities</w:t>
      </w:r>
      <w:r>
        <w:rPr>
          <w:sz w:val="20"/>
          <w:szCs w:val="20"/>
          <w:color w:val="auto"/>
        </w:rPr>
        <w:tab/>
      </w:r>
      <w:r>
        <w:rPr>
          <w:rFonts w:ascii="Times New Roman" w:cs="Times New Roman" w:eastAsia="Times New Roman" w:hAnsi="Times New Roman"/>
          <w:sz w:val="16"/>
          <w:szCs w:val="16"/>
          <w:color w:val="auto"/>
        </w:rPr>
        <w:t>48,596,000</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Available-for-sale debt securities</w:t>
      </w:r>
      <w:r>
        <w:rPr>
          <w:sz w:val="20"/>
          <w:szCs w:val="20"/>
          <w:color w:val="auto"/>
        </w:rPr>
        <w:tab/>
      </w:r>
      <w:r>
        <w:rPr>
          <w:rFonts w:ascii="Times New Roman" w:cs="Times New Roman" w:eastAsia="Times New Roman" w:hAnsi="Times New Roman"/>
          <w:sz w:val="16"/>
          <w:szCs w:val="16"/>
          <w:color w:val="auto"/>
        </w:rPr>
        <w:t>87,787,000</w:t>
      </w:r>
    </w:p>
    <w:p>
      <w:pPr>
        <w:spacing w:after="0" w:line="11" w:lineRule="exact"/>
        <w:rPr>
          <w:sz w:val="20"/>
          <w:szCs w:val="20"/>
          <w:color w:val="auto"/>
        </w:rPr>
      </w:pPr>
    </w:p>
    <w:p>
      <w:pPr>
        <w:ind w:left="140"/>
        <w:spacing w:after="0"/>
        <w:tabs>
          <w:tab w:leader="dot" w:pos="11140" w:val="left"/>
        </w:tabs>
        <w:rPr>
          <w:sz w:val="20"/>
          <w:szCs w:val="20"/>
          <w:color w:val="auto"/>
        </w:rPr>
      </w:pPr>
      <w:r>
        <w:rPr>
          <w:rFonts w:ascii="Times New Roman" w:cs="Times New Roman" w:eastAsia="Times New Roman" w:hAnsi="Times New Roman"/>
          <w:sz w:val="16"/>
          <w:szCs w:val="16"/>
          <w:color w:val="auto"/>
        </w:rPr>
        <w:t>Equity securities with readily determinable fair values not held for trading</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Federal funds sold and securities purchased under agreements to resell:</w:t>
      </w:r>
    </w:p>
    <w:p>
      <w:pPr>
        <w:spacing w:after="0" w:line="11" w:lineRule="exact"/>
        <w:rPr>
          <w:sz w:val="20"/>
          <w:szCs w:val="20"/>
          <w:color w:val="auto"/>
        </w:rPr>
      </w:pPr>
    </w:p>
    <w:p>
      <w:pPr>
        <w:ind w:left="140"/>
        <w:spacing w:after="0"/>
        <w:tabs>
          <w:tab w:leader="dot" w:pos="11140" w:val="left"/>
        </w:tabs>
        <w:rPr>
          <w:sz w:val="20"/>
          <w:szCs w:val="20"/>
          <w:color w:val="auto"/>
        </w:rPr>
      </w:pPr>
      <w:r>
        <w:rPr>
          <w:rFonts w:ascii="Times New Roman" w:cs="Times New Roman" w:eastAsia="Times New Roman" w:hAnsi="Times New Roman"/>
          <w:sz w:val="16"/>
          <w:szCs w:val="16"/>
          <w:color w:val="auto"/>
        </w:rPr>
        <w:t>Federal funds sold in domestic offices</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Securities purchased under agreements to resell</w:t>
      </w:r>
      <w:r>
        <w:rPr>
          <w:sz w:val="20"/>
          <w:szCs w:val="20"/>
          <w:color w:val="auto"/>
        </w:rPr>
        <w:tab/>
      </w:r>
      <w:r>
        <w:rPr>
          <w:rFonts w:ascii="Times New Roman" w:cs="Times New Roman" w:eastAsia="Times New Roman" w:hAnsi="Times New Roman"/>
          <w:sz w:val="16"/>
          <w:szCs w:val="16"/>
          <w:color w:val="auto"/>
        </w:rPr>
        <w:t>24,014,000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Loans and lease financing receivables:</w:t>
      </w:r>
    </w:p>
    <w:p>
      <w:pPr>
        <w:spacing w:after="0" w:line="11" w:lineRule="exact"/>
        <w:rPr>
          <w:sz w:val="20"/>
          <w:szCs w:val="20"/>
          <w:color w:val="auto"/>
        </w:rPr>
      </w:pPr>
    </w:p>
    <w:p>
      <w:pPr>
        <w:ind w:left="140"/>
        <w:spacing w:after="0"/>
        <w:tabs>
          <w:tab w:leader="dot" w:pos="11140" w:val="left"/>
        </w:tabs>
        <w:rPr>
          <w:sz w:val="20"/>
          <w:szCs w:val="20"/>
          <w:color w:val="auto"/>
        </w:rPr>
      </w:pPr>
      <w:r>
        <w:rPr>
          <w:rFonts w:ascii="Times New Roman" w:cs="Times New Roman" w:eastAsia="Times New Roman" w:hAnsi="Times New Roman"/>
          <w:sz w:val="16"/>
          <w:szCs w:val="16"/>
          <w:color w:val="auto"/>
        </w:rPr>
        <w:t>Loans and leases held for sale</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Loans and leases held for investment</w:t>
      </w:r>
      <w:r>
        <w:rPr>
          <w:sz w:val="20"/>
          <w:szCs w:val="20"/>
          <w:color w:val="auto"/>
        </w:rPr>
        <w:tab/>
      </w:r>
      <w:r>
        <w:rPr>
          <w:rFonts w:ascii="Times New Roman" w:cs="Times New Roman" w:eastAsia="Times New Roman" w:hAnsi="Times New Roman"/>
          <w:sz w:val="16"/>
          <w:szCs w:val="16"/>
          <w:color w:val="auto"/>
        </w:rPr>
        <w:t>37,084,000</w:t>
      </w:r>
    </w:p>
    <w:p>
      <w:pPr>
        <w:spacing w:after="0" w:line="11" w:lineRule="exact"/>
        <w:rPr>
          <w:sz w:val="20"/>
          <w:szCs w:val="20"/>
          <w:color w:val="auto"/>
        </w:rPr>
      </w:pPr>
    </w:p>
    <w:p>
      <w:pPr>
        <w:ind w:left="140"/>
        <w:spacing w:after="0"/>
        <w:tabs>
          <w:tab w:leader="dot" w:pos="10700" w:val="left"/>
        </w:tabs>
        <w:rPr>
          <w:sz w:val="20"/>
          <w:szCs w:val="20"/>
          <w:color w:val="auto"/>
        </w:rPr>
      </w:pPr>
      <w:r>
        <w:rPr>
          <w:rFonts w:ascii="Times New Roman" w:cs="Times New Roman" w:eastAsia="Times New Roman" w:hAnsi="Times New Roman"/>
          <w:sz w:val="16"/>
          <w:szCs w:val="16"/>
          <w:color w:val="auto"/>
        </w:rPr>
        <w:t>LESS: Allowance for credit losses on loans and leases</w:t>
      </w:r>
      <w:r>
        <w:rPr>
          <w:sz w:val="20"/>
          <w:szCs w:val="20"/>
          <w:color w:val="auto"/>
        </w:rPr>
        <w:tab/>
      </w:r>
      <w:r>
        <w:rPr>
          <w:rFonts w:ascii="Times New Roman" w:cs="Times New Roman" w:eastAsia="Times New Roman" w:hAnsi="Times New Roman"/>
          <w:sz w:val="16"/>
          <w:szCs w:val="16"/>
          <w:color w:val="auto"/>
        </w:rPr>
        <w:t>272,000</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Loans and leases held for investment, net of allowance</w:t>
      </w:r>
      <w:r>
        <w:rPr>
          <w:sz w:val="20"/>
          <w:szCs w:val="20"/>
          <w:color w:val="auto"/>
        </w:rPr>
        <w:tab/>
      </w:r>
      <w:r>
        <w:rPr>
          <w:rFonts w:ascii="Times New Roman" w:cs="Times New Roman" w:eastAsia="Times New Roman" w:hAnsi="Times New Roman"/>
          <w:sz w:val="16"/>
          <w:szCs w:val="16"/>
          <w:color w:val="auto"/>
        </w:rPr>
        <w:t>36,812,000</w:t>
      </w:r>
    </w:p>
    <w:p>
      <w:pPr>
        <w:spacing w:after="0" w:line="11"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16"/>
          <w:szCs w:val="16"/>
          <w:color w:val="auto"/>
        </w:rPr>
        <w:t>Trading assets</w:t>
      </w:r>
      <w:r>
        <w:rPr>
          <w:sz w:val="20"/>
          <w:szCs w:val="20"/>
          <w:color w:val="auto"/>
        </w:rPr>
        <w:tab/>
      </w:r>
      <w:r>
        <w:rPr>
          <w:rFonts w:ascii="Times New Roman" w:cs="Times New Roman" w:eastAsia="Times New Roman" w:hAnsi="Times New Roman"/>
          <w:sz w:val="16"/>
          <w:szCs w:val="16"/>
          <w:color w:val="auto"/>
        </w:rPr>
        <w:t>7,593,000</w:t>
      </w:r>
    </w:p>
    <w:p>
      <w:pPr>
        <w:spacing w:after="0" w:line="11"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16"/>
          <w:szCs w:val="16"/>
          <w:color w:val="auto"/>
        </w:rPr>
        <w:t>Premises and fixed assets (including right-of-use assets)</w:t>
      </w:r>
      <w:r>
        <w:rPr>
          <w:sz w:val="20"/>
          <w:szCs w:val="20"/>
          <w:color w:val="auto"/>
        </w:rPr>
        <w:tab/>
      </w:r>
      <w:r>
        <w:rPr>
          <w:rFonts w:ascii="Times New Roman" w:cs="Times New Roman" w:eastAsia="Times New Roman" w:hAnsi="Times New Roman"/>
          <w:sz w:val="16"/>
          <w:szCs w:val="16"/>
          <w:color w:val="auto"/>
        </w:rPr>
        <w:t>2,912,000</w:t>
      </w:r>
    </w:p>
    <w:p>
      <w:pPr>
        <w:spacing w:after="0" w:line="11" w:lineRule="exact"/>
        <w:rPr>
          <w:sz w:val="20"/>
          <w:szCs w:val="20"/>
          <w:color w:val="auto"/>
        </w:rPr>
      </w:pPr>
    </w:p>
    <w:p>
      <w:pPr>
        <w:spacing w:after="0"/>
        <w:tabs>
          <w:tab w:leader="dot" w:pos="11140" w:val="left"/>
        </w:tabs>
        <w:rPr>
          <w:sz w:val="20"/>
          <w:szCs w:val="20"/>
          <w:color w:val="auto"/>
        </w:rPr>
      </w:pPr>
      <w:r>
        <w:rPr>
          <w:rFonts w:ascii="Times New Roman" w:cs="Times New Roman" w:eastAsia="Times New Roman" w:hAnsi="Times New Roman"/>
          <w:sz w:val="16"/>
          <w:szCs w:val="16"/>
          <w:color w:val="auto"/>
        </w:rPr>
        <w:t>Other real estate owned</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16"/>
          <w:szCs w:val="16"/>
          <w:color w:val="auto"/>
        </w:rPr>
        <w:t>Investments in unconsolidated subsidiaries and associated companies</w:t>
      </w:r>
      <w:r>
        <w:rPr>
          <w:sz w:val="20"/>
          <w:szCs w:val="20"/>
          <w:color w:val="auto"/>
        </w:rPr>
        <w:tab/>
      </w:r>
      <w:r>
        <w:rPr>
          <w:rFonts w:ascii="Times New Roman" w:cs="Times New Roman" w:eastAsia="Times New Roman" w:hAnsi="Times New Roman"/>
          <w:sz w:val="16"/>
          <w:szCs w:val="16"/>
          <w:color w:val="auto"/>
        </w:rPr>
        <w:t>2,021,000</w:t>
      </w:r>
    </w:p>
    <w:p>
      <w:pPr>
        <w:spacing w:after="0" w:line="11" w:lineRule="exact"/>
        <w:rPr>
          <w:sz w:val="20"/>
          <w:szCs w:val="20"/>
          <w:color w:val="auto"/>
        </w:rPr>
      </w:pPr>
    </w:p>
    <w:p>
      <w:pPr>
        <w:spacing w:after="0"/>
        <w:tabs>
          <w:tab w:leader="dot" w:pos="11140" w:val="left"/>
        </w:tabs>
        <w:rPr>
          <w:sz w:val="20"/>
          <w:szCs w:val="20"/>
          <w:color w:val="auto"/>
        </w:rPr>
      </w:pPr>
      <w:r>
        <w:rPr>
          <w:rFonts w:ascii="Times New Roman" w:cs="Times New Roman" w:eastAsia="Times New Roman" w:hAnsi="Times New Roman"/>
          <w:sz w:val="16"/>
          <w:szCs w:val="16"/>
          <w:color w:val="auto"/>
        </w:rPr>
        <w:t>Direct and indirect investments in real estate ventures</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16"/>
          <w:szCs w:val="16"/>
          <w:color w:val="auto"/>
        </w:rPr>
        <w:t>Intangible assets</w:t>
      </w:r>
      <w:r>
        <w:rPr>
          <w:sz w:val="20"/>
          <w:szCs w:val="20"/>
          <w:color w:val="auto"/>
        </w:rPr>
        <w:tab/>
      </w:r>
      <w:r>
        <w:rPr>
          <w:rFonts w:ascii="Times New Roman" w:cs="Times New Roman" w:eastAsia="Times New Roman" w:hAnsi="Times New Roman"/>
          <w:sz w:val="16"/>
          <w:szCs w:val="16"/>
          <w:color w:val="auto"/>
        </w:rPr>
        <w:t>7,329,000</w:t>
      </w:r>
    </w:p>
    <w:p>
      <w:pPr>
        <w:spacing w:after="0" w:line="11" w:lineRule="exact"/>
        <w:rPr>
          <w:sz w:val="20"/>
          <w:szCs w:val="20"/>
          <w:color w:val="auto"/>
        </w:rPr>
      </w:pPr>
    </w:p>
    <w:p>
      <w:pPr>
        <w:spacing w:after="0"/>
        <w:tabs>
          <w:tab w:leader="dot" w:pos="10500" w:val="left"/>
        </w:tabs>
        <w:rPr>
          <w:sz w:val="20"/>
          <w:szCs w:val="20"/>
          <w:color w:val="auto"/>
        </w:rPr>
      </w:pPr>
      <w:r>
        <w:rPr>
          <w:rFonts w:ascii="Times New Roman" w:cs="Times New Roman" w:eastAsia="Times New Roman" w:hAnsi="Times New Roman"/>
          <w:sz w:val="16"/>
          <w:szCs w:val="16"/>
          <w:color w:val="auto"/>
        </w:rPr>
        <w:t>Other assets</w:t>
      </w:r>
      <w:r>
        <w:rPr>
          <w:sz w:val="20"/>
          <w:szCs w:val="20"/>
          <w:color w:val="auto"/>
        </w:rPr>
        <w:tab/>
      </w:r>
      <w:r>
        <w:rPr>
          <w:rFonts w:ascii="Times New Roman" w:cs="Times New Roman" w:eastAsia="Times New Roman" w:hAnsi="Times New Roman"/>
          <w:sz w:val="16"/>
          <w:szCs w:val="16"/>
          <w:color w:val="auto"/>
        </w:rPr>
        <w:t>18,864,000</w:t>
      </w:r>
    </w:p>
    <w:p>
      <w:pPr>
        <w:spacing w:after="0" w:line="23" w:lineRule="exact"/>
        <w:rPr>
          <w:sz w:val="20"/>
          <w:szCs w:val="20"/>
          <w:color w:val="auto"/>
        </w:rPr>
      </w:pPr>
    </w:p>
    <w:p>
      <w:pPr>
        <w:spacing w:after="0"/>
        <w:tabs>
          <w:tab w:leader="dot" w:pos="10420" w:val="left"/>
        </w:tabs>
        <w:rPr>
          <w:sz w:val="20"/>
          <w:szCs w:val="20"/>
          <w:color w:val="auto"/>
        </w:rPr>
      </w:pPr>
      <w:r>
        <w:rPr>
          <w:rFonts w:ascii="Times New Roman" w:cs="Times New Roman" w:eastAsia="Times New Roman" w:hAnsi="Times New Roman"/>
          <w:sz w:val="16"/>
          <w:szCs w:val="16"/>
          <w:color w:val="auto"/>
        </w:rPr>
        <w:t>Total assets</w:t>
      </w:r>
      <w:r>
        <w:rPr>
          <w:sz w:val="20"/>
          <w:szCs w:val="20"/>
          <w:color w:val="auto"/>
        </w:rPr>
        <w:tab/>
      </w:r>
      <w:r>
        <w:rPr>
          <w:rFonts w:ascii="Times New Roman" w:cs="Times New Roman" w:eastAsia="Times New Roman" w:hAnsi="Times New Roman"/>
          <w:sz w:val="16"/>
          <w:szCs w:val="16"/>
          <w:color w:val="auto"/>
        </w:rPr>
        <w:t>335,955,000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6432550</wp:posOffset>
            </wp:positionH>
            <wp:positionV relativeFrom="paragraph">
              <wp:posOffset>30480</wp:posOffset>
            </wp:positionV>
            <wp:extent cx="711200"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4">
                      <a:extLst>
                        <a:ext uri="{28A0092B-C50C-407E-A947-70E740481C1C}"/>
                      </a:extLst>
                    </a:blip>
                    <a:srcRect/>
                    <a:stretch>
                      <a:fillRect/>
                    </a:stretch>
                  </pic:blipFill>
                  <pic:spPr bwMode="auto">
                    <a:xfrm>
                      <a:off x="0" y="0"/>
                      <a:ext cx="711200" cy="7620"/>
                    </a:xfrm>
                    <a:prstGeom prst="rect">
                      <a:avLst/>
                    </a:prstGeom>
                    <a:noFill/>
                  </pic:spPr>
                </pic:pic>
              </a:graphicData>
            </a:graphic>
          </wp:anchor>
        </w:drawing>
        <w:drawing>
          <wp:anchor simplePos="0" relativeHeight="251657728" behindDoc="1" locked="0" layoutInCell="0" allowOverlap="1">
            <wp:simplePos x="0" y="0"/>
            <wp:positionH relativeFrom="column">
              <wp:posOffset>6432550</wp:posOffset>
            </wp:positionH>
            <wp:positionV relativeFrom="paragraph">
              <wp:posOffset>53975</wp:posOffset>
            </wp:positionV>
            <wp:extent cx="711200"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5">
                      <a:extLst>
                        <a:ext uri="{28A0092B-C50C-407E-A947-70E740481C1C}"/>
                      </a:extLst>
                    </a:blip>
                    <a:srcRect/>
                    <a:stretch>
                      <a:fillRect/>
                    </a:stretch>
                  </pic:blipFill>
                  <pic:spPr bwMode="auto">
                    <a:xfrm>
                      <a:off x="0" y="0"/>
                      <a:ext cx="711200" cy="7620"/>
                    </a:xfrm>
                    <a:prstGeom prst="rect">
                      <a:avLst/>
                    </a:prstGeom>
                    <a:noFill/>
                  </pic:spPr>
                </pic:pic>
              </a:graphicData>
            </a:graphic>
          </wp:anchor>
        </w:drawing>
        <w:drawing>
          <wp:anchor simplePos="0" relativeHeight="251657728" behindDoc="1" locked="0" layoutInCell="0" allowOverlap="1">
            <wp:simplePos x="0" y="0"/>
            <wp:positionH relativeFrom="column">
              <wp:posOffset>6432550</wp:posOffset>
            </wp:positionH>
            <wp:positionV relativeFrom="paragraph">
              <wp:posOffset>-115570</wp:posOffset>
            </wp:positionV>
            <wp:extent cx="711200" cy="152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6">
                      <a:extLst>
                        <a:ext uri="{28A0092B-C50C-407E-A947-70E740481C1C}"/>
                      </a:extLst>
                    </a:blip>
                    <a:srcRect/>
                    <a:stretch>
                      <a:fillRect/>
                    </a:stretch>
                  </pic:blipFill>
                  <pic:spPr bwMode="auto">
                    <a:xfrm>
                      <a:off x="0" y="0"/>
                      <a:ext cx="711200" cy="15240"/>
                    </a:xfrm>
                    <a:prstGeom prst="rect">
                      <a:avLst/>
                    </a:prstGeom>
                    <a:noFill/>
                  </pic:spPr>
                </pic:pic>
              </a:graphicData>
            </a:graphic>
          </wp:anchor>
        </w:drawing>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Deposits:</w:t>
      </w:r>
    </w:p>
    <w:p>
      <w:pPr>
        <w:spacing w:after="0" w:line="11" w:lineRule="exact"/>
        <w:rPr>
          <w:sz w:val="20"/>
          <w:szCs w:val="20"/>
          <w:color w:val="auto"/>
        </w:rPr>
      </w:pPr>
    </w:p>
    <w:p>
      <w:pPr>
        <w:ind w:left="140"/>
        <w:spacing w:after="0"/>
        <w:tabs>
          <w:tab w:leader="dot" w:pos="10420" w:val="left"/>
        </w:tabs>
        <w:rPr>
          <w:sz w:val="20"/>
          <w:szCs w:val="20"/>
          <w:color w:val="auto"/>
        </w:rPr>
      </w:pPr>
      <w:r>
        <w:rPr>
          <w:rFonts w:ascii="Times New Roman" w:cs="Times New Roman" w:eastAsia="Times New Roman" w:hAnsi="Times New Roman"/>
          <w:sz w:val="16"/>
          <w:szCs w:val="16"/>
          <w:color w:val="auto"/>
        </w:rPr>
        <w:t>In domestic offices</w:t>
      </w:r>
      <w:r>
        <w:rPr>
          <w:sz w:val="20"/>
          <w:szCs w:val="20"/>
          <w:color w:val="auto"/>
        </w:rPr>
        <w:tab/>
      </w:r>
      <w:r>
        <w:rPr>
          <w:rFonts w:ascii="Times New Roman" w:cs="Times New Roman" w:eastAsia="Times New Roman" w:hAnsi="Times New Roman"/>
          <w:sz w:val="16"/>
          <w:szCs w:val="16"/>
          <w:color w:val="auto"/>
        </w:rPr>
        <w:t>194,168,000</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Noninterest-bearing</w:t>
      </w:r>
      <w:r>
        <w:rPr>
          <w:sz w:val="20"/>
          <w:szCs w:val="20"/>
          <w:color w:val="auto"/>
        </w:rPr>
        <w:tab/>
      </w:r>
      <w:r>
        <w:rPr>
          <w:rFonts w:ascii="Times New Roman" w:cs="Times New Roman" w:eastAsia="Times New Roman" w:hAnsi="Times New Roman"/>
          <w:sz w:val="16"/>
          <w:szCs w:val="16"/>
          <w:color w:val="auto"/>
        </w:rPr>
        <w:t>61,444,000</w:t>
      </w:r>
    </w:p>
    <w:p>
      <w:pPr>
        <w:spacing w:after="0" w:line="11" w:lineRule="exact"/>
        <w:rPr>
          <w:sz w:val="20"/>
          <w:szCs w:val="20"/>
          <w:color w:val="auto"/>
        </w:rPr>
      </w:pPr>
    </w:p>
    <w:p>
      <w:pPr>
        <w:ind w:left="140"/>
        <w:spacing w:after="0"/>
        <w:tabs>
          <w:tab w:leader="dot" w:pos="10420" w:val="left"/>
        </w:tabs>
        <w:rPr>
          <w:sz w:val="20"/>
          <w:szCs w:val="20"/>
          <w:color w:val="auto"/>
        </w:rPr>
      </w:pPr>
      <w:r>
        <w:rPr>
          <w:rFonts w:ascii="Times New Roman" w:cs="Times New Roman" w:eastAsia="Times New Roman" w:hAnsi="Times New Roman"/>
          <w:sz w:val="16"/>
          <w:szCs w:val="16"/>
          <w:color w:val="auto"/>
        </w:rPr>
        <w:t>Interest-bearing</w:t>
      </w:r>
      <w:r>
        <w:rPr>
          <w:sz w:val="20"/>
          <w:szCs w:val="20"/>
          <w:color w:val="auto"/>
        </w:rPr>
        <w:tab/>
      </w:r>
      <w:r>
        <w:rPr>
          <w:rFonts w:ascii="Times New Roman" w:cs="Times New Roman" w:eastAsia="Times New Roman" w:hAnsi="Times New Roman"/>
          <w:sz w:val="16"/>
          <w:szCs w:val="16"/>
          <w:color w:val="auto"/>
        </w:rPr>
        <w:t>132,724,000</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In foreign offices, Edge and Agreement subsidiaries, and IBFs</w:t>
      </w:r>
      <w:r>
        <w:rPr>
          <w:sz w:val="20"/>
          <w:szCs w:val="20"/>
          <w:color w:val="auto"/>
        </w:rPr>
        <w:tab/>
      </w:r>
      <w:r>
        <w:rPr>
          <w:rFonts w:ascii="Times New Roman" w:cs="Times New Roman" w:eastAsia="Times New Roman" w:hAnsi="Times New Roman"/>
          <w:sz w:val="16"/>
          <w:szCs w:val="16"/>
          <w:color w:val="auto"/>
        </w:rPr>
        <w:t>97,210,000</w:t>
      </w:r>
    </w:p>
    <w:p>
      <w:pPr>
        <w:spacing w:after="0" w:line="11" w:lineRule="exact"/>
        <w:rPr>
          <w:sz w:val="20"/>
          <w:szCs w:val="20"/>
          <w:color w:val="auto"/>
        </w:rPr>
      </w:pPr>
    </w:p>
    <w:p>
      <w:pPr>
        <w:ind w:left="140"/>
        <w:spacing w:after="0"/>
        <w:tabs>
          <w:tab w:leader="dot" w:pos="10580" w:val="left"/>
        </w:tabs>
        <w:rPr>
          <w:sz w:val="20"/>
          <w:szCs w:val="20"/>
          <w:color w:val="auto"/>
        </w:rPr>
      </w:pPr>
      <w:r>
        <w:rPr>
          <w:rFonts w:ascii="Times New Roman" w:cs="Times New Roman" w:eastAsia="Times New Roman" w:hAnsi="Times New Roman"/>
          <w:sz w:val="16"/>
          <w:szCs w:val="16"/>
          <w:color w:val="auto"/>
        </w:rPr>
        <w:t>Noninterest-bearing</w:t>
      </w:r>
      <w:r>
        <w:rPr>
          <w:sz w:val="20"/>
          <w:szCs w:val="20"/>
          <w:color w:val="auto"/>
        </w:rPr>
        <w:tab/>
      </w:r>
      <w:r>
        <w:rPr>
          <w:rFonts w:ascii="Times New Roman" w:cs="Times New Roman" w:eastAsia="Times New Roman" w:hAnsi="Times New Roman"/>
          <w:sz w:val="16"/>
          <w:szCs w:val="16"/>
          <w:color w:val="auto"/>
        </w:rPr>
        <w:t>3,557,000</w:t>
      </w:r>
    </w:p>
    <w:p>
      <w:pPr>
        <w:spacing w:after="0" w:line="11" w:lineRule="exact"/>
        <w:rPr>
          <w:sz w:val="20"/>
          <w:szCs w:val="20"/>
          <w:color w:val="auto"/>
        </w:rPr>
      </w:pPr>
    </w:p>
    <w:p>
      <w:pPr>
        <w:ind w:left="140"/>
        <w:spacing w:after="0"/>
        <w:tabs>
          <w:tab w:leader="dot" w:pos="10500" w:val="left"/>
        </w:tabs>
        <w:rPr>
          <w:sz w:val="20"/>
          <w:szCs w:val="20"/>
          <w:color w:val="auto"/>
        </w:rPr>
      </w:pPr>
      <w:r>
        <w:rPr>
          <w:rFonts w:ascii="Times New Roman" w:cs="Times New Roman" w:eastAsia="Times New Roman" w:hAnsi="Times New Roman"/>
          <w:sz w:val="16"/>
          <w:szCs w:val="16"/>
          <w:color w:val="auto"/>
        </w:rPr>
        <w:t>Interest-bearing</w:t>
      </w:r>
      <w:r>
        <w:rPr>
          <w:sz w:val="20"/>
          <w:szCs w:val="20"/>
          <w:color w:val="auto"/>
        </w:rPr>
        <w:tab/>
      </w:r>
      <w:r>
        <w:rPr>
          <w:rFonts w:ascii="Times New Roman" w:cs="Times New Roman" w:eastAsia="Times New Roman" w:hAnsi="Times New Roman"/>
          <w:sz w:val="16"/>
          <w:szCs w:val="16"/>
          <w:color w:val="auto"/>
        </w:rPr>
        <w:t>93,653,000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Federal funds purchased and securities sold under agreements to repurchase:</w:t>
      </w:r>
    </w:p>
    <w:p>
      <w:pPr>
        <w:spacing w:after="0" w:line="11" w:lineRule="exact"/>
        <w:rPr>
          <w:sz w:val="20"/>
          <w:szCs w:val="20"/>
          <w:color w:val="auto"/>
        </w:rPr>
      </w:pPr>
    </w:p>
    <w:p>
      <w:pPr>
        <w:ind w:left="140"/>
        <w:spacing w:after="0"/>
        <w:tabs>
          <w:tab w:leader="dot" w:pos="11140" w:val="left"/>
        </w:tabs>
        <w:rPr>
          <w:sz w:val="20"/>
          <w:szCs w:val="20"/>
          <w:color w:val="auto"/>
        </w:rPr>
      </w:pPr>
      <w:r>
        <w:rPr>
          <w:rFonts w:ascii="Times New Roman" w:cs="Times New Roman" w:eastAsia="Times New Roman" w:hAnsi="Times New Roman"/>
          <w:sz w:val="16"/>
          <w:szCs w:val="16"/>
          <w:color w:val="auto"/>
        </w:rPr>
        <w:t>Federal funds purchased in domestic offices</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ind w:left="140"/>
        <w:spacing w:after="0"/>
        <w:tabs>
          <w:tab w:leader="dot" w:pos="10580" w:val="left"/>
        </w:tabs>
        <w:rPr>
          <w:sz w:val="20"/>
          <w:szCs w:val="20"/>
          <w:color w:val="auto"/>
        </w:rPr>
      </w:pPr>
      <w:r>
        <w:rPr>
          <w:rFonts w:ascii="Times New Roman" w:cs="Times New Roman" w:eastAsia="Times New Roman" w:hAnsi="Times New Roman"/>
          <w:sz w:val="16"/>
          <w:szCs w:val="16"/>
          <w:color w:val="auto"/>
        </w:rPr>
        <w:t>Securities sold under agreements to repurchase</w:t>
      </w:r>
      <w:r>
        <w:rPr>
          <w:sz w:val="20"/>
          <w:szCs w:val="20"/>
          <w:color w:val="auto"/>
        </w:rPr>
        <w:tab/>
      </w:r>
      <w:r>
        <w:rPr>
          <w:rFonts w:ascii="Times New Roman" w:cs="Times New Roman" w:eastAsia="Times New Roman" w:hAnsi="Times New Roman"/>
          <w:sz w:val="16"/>
          <w:szCs w:val="16"/>
          <w:color w:val="auto"/>
        </w:rPr>
        <w:t>2,499,000</w:t>
      </w:r>
    </w:p>
    <w:p>
      <w:pPr>
        <w:spacing w:after="0" w:line="11"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16"/>
          <w:szCs w:val="16"/>
          <w:color w:val="auto"/>
        </w:rPr>
        <w:t>Trading liabilities</w:t>
      </w:r>
      <w:r>
        <w:rPr>
          <w:sz w:val="20"/>
          <w:szCs w:val="20"/>
          <w:color w:val="auto"/>
        </w:rPr>
        <w:tab/>
      </w:r>
      <w:r>
        <w:rPr>
          <w:rFonts w:ascii="Times New Roman" w:cs="Times New Roman" w:eastAsia="Times New Roman" w:hAnsi="Times New Roman"/>
          <w:sz w:val="16"/>
          <w:szCs w:val="16"/>
          <w:color w:val="auto"/>
        </w:rPr>
        <w:t>2,911,000</w:t>
      </w:r>
    </w:p>
    <w:p>
      <w:pPr>
        <w:spacing w:after="0" w:line="11" w:lineRule="exact"/>
        <w:rPr>
          <w:sz w:val="20"/>
          <w:szCs w:val="20"/>
          <w:color w:val="auto"/>
        </w:rPr>
      </w:pPr>
    </w:p>
    <w:p>
      <w:pPr>
        <w:spacing w:after="0"/>
        <w:tabs>
          <w:tab w:leader="none" w:pos="10580" w:val="left"/>
        </w:tabs>
        <w:rPr>
          <w:sz w:val="20"/>
          <w:szCs w:val="20"/>
          <w:color w:val="auto"/>
        </w:rPr>
      </w:pPr>
      <w:r>
        <w:rPr>
          <w:rFonts w:ascii="Times New Roman" w:cs="Times New Roman" w:eastAsia="Times New Roman" w:hAnsi="Times New Roman"/>
          <w:sz w:val="16"/>
          <w:szCs w:val="16"/>
          <w:color w:val="auto"/>
        </w:rPr>
        <w:t>Other borrowed money:</w:t>
      </w:r>
      <w:r>
        <w:rPr>
          <w:sz w:val="20"/>
          <w:szCs w:val="20"/>
          <w:color w:val="auto"/>
        </w:rPr>
        <w:tab/>
      </w:r>
      <w:r>
        <w:rPr>
          <w:rFonts w:ascii="Times New Roman" w:cs="Times New Roman" w:eastAsia="Times New Roman" w:hAnsi="Times New Roman"/>
          <w:sz w:val="16"/>
          <w:szCs w:val="16"/>
          <w:color w:val="auto"/>
        </w:rPr>
        <w:t>3,031,000</w:t>
      </w:r>
    </w:p>
    <w:p>
      <w:pPr>
        <w:spacing w:after="0" w:line="11" w:lineRule="exact"/>
        <w:rPr>
          <w:sz w:val="20"/>
          <w:szCs w:val="20"/>
          <w:color w:val="auto"/>
        </w:rPr>
      </w:pPr>
    </w:p>
    <w:p>
      <w:pPr>
        <w:ind w:left="140"/>
        <w:spacing w:after="0"/>
        <w:tabs>
          <w:tab w:leader="none" w:pos="2300" w:val="left"/>
        </w:tabs>
        <w:rPr>
          <w:sz w:val="20"/>
          <w:szCs w:val="20"/>
          <w:color w:val="auto"/>
        </w:rPr>
      </w:pPr>
      <w:r>
        <w:rPr>
          <w:rFonts w:ascii="Times New Roman" w:cs="Times New Roman" w:eastAsia="Times New Roman" w:hAnsi="Times New Roman"/>
          <w:sz w:val="16"/>
          <w:szCs w:val="16"/>
          <w:color w:val="auto"/>
        </w:rPr>
        <w:t>(includes mortgage indebtedness)</w:t>
        <w:tab/>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1" w:lineRule="exact"/>
        <w:rPr>
          <w:sz w:val="20"/>
          <w:szCs w:val="20"/>
          <w:color w:val="auto"/>
        </w:rPr>
      </w:pPr>
    </w:p>
    <w:p>
      <w:pPr>
        <w:spacing w:after="0"/>
        <w:tabs>
          <w:tab w:leader="dot" w:pos="11140" w:val="left"/>
        </w:tabs>
        <w:rPr>
          <w:sz w:val="20"/>
          <w:szCs w:val="20"/>
          <w:color w:val="auto"/>
        </w:rPr>
      </w:pPr>
      <w:r>
        <w:rPr>
          <w:rFonts w:ascii="Times New Roman" w:cs="Times New Roman" w:eastAsia="Times New Roman" w:hAnsi="Times New Roman"/>
          <w:sz w:val="16"/>
          <w:szCs w:val="16"/>
          <w:color w:val="auto"/>
        </w:rPr>
        <w:t>Subordinated notes and debentures</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16"/>
          <w:szCs w:val="16"/>
          <w:color w:val="auto"/>
        </w:rPr>
        <w:t>Other liabilities</w:t>
      </w:r>
      <w:r>
        <w:rPr>
          <w:sz w:val="20"/>
          <w:szCs w:val="20"/>
          <w:color w:val="auto"/>
        </w:rPr>
        <w:tab/>
      </w:r>
      <w:r>
        <w:rPr>
          <w:rFonts w:ascii="Times New Roman" w:cs="Times New Roman" w:eastAsia="Times New Roman" w:hAnsi="Times New Roman"/>
          <w:sz w:val="16"/>
          <w:szCs w:val="16"/>
          <w:color w:val="auto"/>
        </w:rPr>
        <w:t>8,176,000</w:t>
      </w:r>
    </w:p>
    <w:p>
      <w:pPr>
        <w:spacing w:after="0" w:line="11" w:lineRule="exact"/>
        <w:rPr>
          <w:sz w:val="20"/>
          <w:szCs w:val="20"/>
          <w:color w:val="auto"/>
        </w:rPr>
      </w:pPr>
    </w:p>
    <w:p>
      <w:pPr>
        <w:spacing w:after="0"/>
        <w:tabs>
          <w:tab w:leader="dot" w:pos="10420" w:val="left"/>
        </w:tabs>
        <w:rPr>
          <w:sz w:val="20"/>
          <w:szCs w:val="20"/>
          <w:color w:val="auto"/>
        </w:rPr>
      </w:pPr>
      <w:r>
        <w:rPr>
          <w:rFonts w:ascii="Times New Roman" w:cs="Times New Roman" w:eastAsia="Times New Roman" w:hAnsi="Times New Roman"/>
          <w:sz w:val="16"/>
          <w:szCs w:val="16"/>
          <w:color w:val="auto"/>
        </w:rPr>
        <w:t>Total liabilities</w:t>
      </w:r>
      <w:r>
        <w:rPr>
          <w:sz w:val="20"/>
          <w:szCs w:val="20"/>
          <w:color w:val="auto"/>
        </w:rPr>
        <w:tab/>
      </w:r>
      <w:r>
        <w:rPr>
          <w:rFonts w:ascii="Times New Roman" w:cs="Times New Roman" w:eastAsia="Times New Roman" w:hAnsi="Times New Roman"/>
          <w:sz w:val="16"/>
          <w:szCs w:val="16"/>
          <w:color w:val="auto"/>
        </w:rPr>
        <w:t>307,995,000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6432550</wp:posOffset>
            </wp:positionH>
            <wp:positionV relativeFrom="paragraph">
              <wp:posOffset>22860</wp:posOffset>
            </wp:positionV>
            <wp:extent cx="711200"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8">
                      <a:extLst>
                        <a:ext uri="{28A0092B-C50C-407E-A947-70E740481C1C}"/>
                      </a:extLst>
                    </a:blip>
                    <a:srcRect/>
                    <a:stretch>
                      <a:fillRect/>
                    </a:stretch>
                  </pic:blipFill>
                  <pic:spPr bwMode="auto">
                    <a:xfrm>
                      <a:off x="0" y="0"/>
                      <a:ext cx="711200" cy="7620"/>
                    </a:xfrm>
                    <a:prstGeom prst="rect">
                      <a:avLst/>
                    </a:prstGeom>
                    <a:noFill/>
                  </pic:spPr>
                </pic:pic>
              </a:graphicData>
            </a:graphic>
          </wp:anchor>
        </w:drawing>
        <w:drawing>
          <wp:anchor simplePos="0" relativeHeight="251657728" behindDoc="1" locked="0" layoutInCell="0" allowOverlap="1">
            <wp:simplePos x="0" y="0"/>
            <wp:positionH relativeFrom="column">
              <wp:posOffset>6432550</wp:posOffset>
            </wp:positionH>
            <wp:positionV relativeFrom="paragraph">
              <wp:posOffset>45720</wp:posOffset>
            </wp:positionV>
            <wp:extent cx="711200"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9">
                      <a:extLst>
                        <a:ext uri="{28A0092B-C50C-407E-A947-70E740481C1C}"/>
                      </a:extLst>
                    </a:blip>
                    <a:srcRect/>
                    <a:stretch>
                      <a:fillRect/>
                    </a:stretch>
                  </pic:blipFill>
                  <pic:spPr bwMode="auto">
                    <a:xfrm>
                      <a:off x="0" y="0"/>
                      <a:ext cx="711200" cy="7620"/>
                    </a:xfrm>
                    <a:prstGeom prst="rect">
                      <a:avLst/>
                    </a:prstGeom>
                    <a:noFill/>
                  </pic:spPr>
                </pic:pic>
              </a:graphicData>
            </a:graphic>
          </wp:anchor>
        </w:drawing>
        <w:drawing>
          <wp:anchor simplePos="0" relativeHeight="251657728" behindDoc="1" locked="0" layoutInCell="0" allowOverlap="1">
            <wp:simplePos x="0" y="0"/>
            <wp:positionH relativeFrom="column">
              <wp:posOffset>6432550</wp:posOffset>
            </wp:positionH>
            <wp:positionV relativeFrom="paragraph">
              <wp:posOffset>-115570</wp:posOffset>
            </wp:positionV>
            <wp:extent cx="711200" cy="152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0">
                      <a:extLst>
                        <a:ext uri="{28A0092B-C50C-407E-A947-70E740481C1C}"/>
                      </a:extLst>
                    </a:blip>
                    <a:srcRect/>
                    <a:stretch>
                      <a:fillRect/>
                    </a:stretch>
                  </pic:blipFill>
                  <pic:spPr bwMode="auto">
                    <a:xfrm>
                      <a:off x="0" y="0"/>
                      <a:ext cx="711200" cy="1524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CAPITAL</w:t>
      </w:r>
    </w:p>
    <w:p>
      <w:pPr>
        <w:spacing w:after="0" w:line="29" w:lineRule="exact"/>
        <w:rPr>
          <w:sz w:val="20"/>
          <w:szCs w:val="20"/>
          <w:color w:val="auto"/>
        </w:rPr>
      </w:pPr>
    </w:p>
    <w:p>
      <w:pPr>
        <w:spacing w:after="0"/>
        <w:tabs>
          <w:tab w:leader="dot" w:pos="11140" w:val="left"/>
        </w:tabs>
        <w:rPr>
          <w:sz w:val="20"/>
          <w:szCs w:val="20"/>
          <w:color w:val="auto"/>
        </w:rPr>
      </w:pPr>
      <w:r>
        <w:rPr>
          <w:rFonts w:ascii="Times New Roman" w:cs="Times New Roman" w:eastAsia="Times New Roman" w:hAnsi="Times New Roman"/>
          <w:sz w:val="16"/>
          <w:szCs w:val="16"/>
          <w:color w:val="auto"/>
        </w:rPr>
        <w:t>Perpetual preferred stock and related surplus</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16"/>
          <w:szCs w:val="16"/>
          <w:color w:val="auto"/>
        </w:rPr>
        <w:t>Common stock</w:t>
      </w:r>
      <w:r>
        <w:rPr>
          <w:sz w:val="20"/>
          <w:szCs w:val="20"/>
          <w:color w:val="auto"/>
        </w:rPr>
        <w:tab/>
      </w:r>
      <w:r>
        <w:rPr>
          <w:rFonts w:ascii="Times New Roman" w:cs="Times New Roman" w:eastAsia="Times New Roman" w:hAnsi="Times New Roman"/>
          <w:sz w:val="16"/>
          <w:szCs w:val="16"/>
          <w:color w:val="auto"/>
        </w:rPr>
        <w:t>1,135,000</w:t>
      </w:r>
    </w:p>
    <w:p>
      <w:pPr>
        <w:spacing w:after="0" w:line="11" w:lineRule="exact"/>
        <w:rPr>
          <w:sz w:val="20"/>
          <w:szCs w:val="20"/>
          <w:color w:val="auto"/>
        </w:rPr>
      </w:pPr>
    </w:p>
    <w:p>
      <w:pPr>
        <w:spacing w:after="0"/>
        <w:tabs>
          <w:tab w:leader="dot" w:pos="10500" w:val="left"/>
        </w:tabs>
        <w:rPr>
          <w:sz w:val="20"/>
          <w:szCs w:val="20"/>
          <w:color w:val="auto"/>
        </w:rPr>
      </w:pPr>
      <w:r>
        <w:rPr>
          <w:rFonts w:ascii="Times New Roman" w:cs="Times New Roman" w:eastAsia="Times New Roman" w:hAnsi="Times New Roman"/>
          <w:sz w:val="16"/>
          <w:szCs w:val="16"/>
          <w:color w:val="auto"/>
        </w:rPr>
        <w:t>Surplus (exclude all surplus related to preferred stock)</w:t>
      </w:r>
      <w:r>
        <w:rPr>
          <w:sz w:val="20"/>
          <w:szCs w:val="20"/>
          <w:color w:val="auto"/>
        </w:rPr>
        <w:tab/>
      </w:r>
      <w:r>
        <w:rPr>
          <w:rFonts w:ascii="Times New Roman" w:cs="Times New Roman" w:eastAsia="Times New Roman" w:hAnsi="Times New Roman"/>
          <w:sz w:val="16"/>
          <w:szCs w:val="16"/>
          <w:color w:val="auto"/>
        </w:rPr>
        <w:t>12,511,000</w:t>
      </w:r>
    </w:p>
    <w:p>
      <w:pPr>
        <w:spacing w:after="0" w:line="11" w:lineRule="exact"/>
        <w:rPr>
          <w:sz w:val="20"/>
          <w:szCs w:val="20"/>
          <w:color w:val="auto"/>
        </w:rPr>
      </w:pPr>
    </w:p>
    <w:p>
      <w:pPr>
        <w:spacing w:after="0"/>
        <w:tabs>
          <w:tab w:leader="dot" w:pos="10500" w:val="left"/>
        </w:tabs>
        <w:rPr>
          <w:sz w:val="20"/>
          <w:szCs w:val="20"/>
          <w:color w:val="auto"/>
        </w:rPr>
      </w:pPr>
      <w:r>
        <w:rPr>
          <w:rFonts w:ascii="Times New Roman" w:cs="Times New Roman" w:eastAsia="Times New Roman" w:hAnsi="Times New Roman"/>
          <w:sz w:val="16"/>
          <w:szCs w:val="16"/>
          <w:color w:val="auto"/>
        </w:rPr>
        <w:t>Retained earnings</w:t>
      </w:r>
      <w:r>
        <w:rPr>
          <w:sz w:val="20"/>
          <w:szCs w:val="20"/>
          <w:color w:val="auto"/>
        </w:rPr>
        <w:tab/>
      </w:r>
      <w:r>
        <w:rPr>
          <w:rFonts w:ascii="Times New Roman" w:cs="Times New Roman" w:eastAsia="Times New Roman" w:hAnsi="Times New Roman"/>
          <w:sz w:val="16"/>
          <w:szCs w:val="16"/>
          <w:color w:val="auto"/>
        </w:rPr>
        <w:t>17,415,000</w:t>
      </w:r>
    </w:p>
    <w:p>
      <w:pPr>
        <w:spacing w:after="0" w:line="11" w:lineRule="exact"/>
        <w:rPr>
          <w:sz w:val="20"/>
          <w:szCs w:val="20"/>
          <w:color w:val="auto"/>
        </w:rPr>
      </w:pPr>
    </w:p>
    <w:p>
      <w:pPr>
        <w:spacing w:after="0"/>
        <w:tabs>
          <w:tab w:leader="dot" w:pos="10520" w:val="left"/>
        </w:tabs>
        <w:rPr>
          <w:sz w:val="20"/>
          <w:szCs w:val="20"/>
          <w:color w:val="auto"/>
        </w:rPr>
      </w:pPr>
      <w:r>
        <w:rPr>
          <w:rFonts w:ascii="Times New Roman" w:cs="Times New Roman" w:eastAsia="Times New Roman" w:hAnsi="Times New Roman"/>
          <w:sz w:val="16"/>
          <w:szCs w:val="16"/>
          <w:color w:val="auto"/>
        </w:rPr>
        <w:t>Accumulated other comprehensive income</w:t>
      </w:r>
      <w:r>
        <w:rPr>
          <w:sz w:val="20"/>
          <w:szCs w:val="20"/>
          <w:color w:val="auto"/>
        </w:rPr>
        <w:tab/>
      </w:r>
      <w:r>
        <w:rPr>
          <w:rFonts w:ascii="Times New Roman" w:cs="Times New Roman" w:eastAsia="Times New Roman" w:hAnsi="Times New Roman"/>
          <w:sz w:val="16"/>
          <w:szCs w:val="16"/>
          <w:color w:val="auto"/>
        </w:rPr>
        <w:t>-3,101,000</w:t>
      </w:r>
    </w:p>
    <w:p>
      <w:pPr>
        <w:spacing w:after="0" w:line="11" w:lineRule="exact"/>
        <w:rPr>
          <w:sz w:val="20"/>
          <w:szCs w:val="20"/>
          <w:color w:val="auto"/>
        </w:rPr>
      </w:pPr>
    </w:p>
    <w:p>
      <w:pPr>
        <w:spacing w:after="0"/>
        <w:tabs>
          <w:tab w:leader="dot" w:pos="11140" w:val="left"/>
        </w:tabs>
        <w:rPr>
          <w:sz w:val="20"/>
          <w:szCs w:val="20"/>
          <w:color w:val="auto"/>
        </w:rPr>
      </w:pPr>
      <w:r>
        <w:rPr>
          <w:rFonts w:ascii="Times New Roman" w:cs="Times New Roman" w:eastAsia="Times New Roman" w:hAnsi="Times New Roman"/>
          <w:sz w:val="16"/>
          <w:szCs w:val="16"/>
          <w:color w:val="auto"/>
        </w:rPr>
        <w:t>Other equity capital components</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spacing w:after="0"/>
        <w:tabs>
          <w:tab w:leader="dot" w:pos="10500" w:val="left"/>
        </w:tabs>
        <w:rPr>
          <w:sz w:val="20"/>
          <w:szCs w:val="20"/>
          <w:color w:val="auto"/>
        </w:rPr>
      </w:pPr>
      <w:r>
        <w:rPr>
          <w:rFonts w:ascii="Times New Roman" w:cs="Times New Roman" w:eastAsia="Times New Roman" w:hAnsi="Times New Roman"/>
          <w:sz w:val="16"/>
          <w:szCs w:val="16"/>
          <w:color w:val="auto"/>
        </w:rPr>
        <w:t>Total bank equity capital</w:t>
      </w:r>
      <w:r>
        <w:rPr>
          <w:sz w:val="20"/>
          <w:szCs w:val="20"/>
          <w:color w:val="auto"/>
        </w:rPr>
        <w:tab/>
      </w:r>
      <w:r>
        <w:rPr>
          <w:rFonts w:ascii="Times New Roman" w:cs="Times New Roman" w:eastAsia="Times New Roman" w:hAnsi="Times New Roman"/>
          <w:sz w:val="16"/>
          <w:szCs w:val="16"/>
          <w:color w:val="auto"/>
        </w:rPr>
        <w:t>27,960,000</w:t>
      </w:r>
    </w:p>
    <w:p>
      <w:pPr>
        <w:spacing w:after="0" w:line="11" w:lineRule="exact"/>
        <w:rPr>
          <w:sz w:val="20"/>
          <w:szCs w:val="20"/>
          <w:color w:val="auto"/>
        </w:rPr>
      </w:pPr>
    </w:p>
    <w:p>
      <w:pPr>
        <w:spacing w:after="0"/>
        <w:tabs>
          <w:tab w:leader="dot" w:pos="11140" w:val="left"/>
        </w:tabs>
        <w:rPr>
          <w:sz w:val="20"/>
          <w:szCs w:val="20"/>
          <w:color w:val="auto"/>
        </w:rPr>
      </w:pPr>
      <w:r>
        <w:rPr>
          <w:rFonts w:ascii="Times New Roman" w:cs="Times New Roman" w:eastAsia="Times New Roman" w:hAnsi="Times New Roman"/>
          <w:sz w:val="16"/>
          <w:szCs w:val="16"/>
          <w:color w:val="auto"/>
        </w:rPr>
        <w:t>Noncontrolling (minority) interests in consolidated subsidiaries</w:t>
      </w:r>
      <w:r>
        <w:rPr>
          <w:sz w:val="20"/>
          <w:szCs w:val="20"/>
          <w:color w:val="auto"/>
        </w:rPr>
        <w:tab/>
      </w:r>
      <w:r>
        <w:rPr>
          <w:rFonts w:ascii="Times New Roman" w:cs="Times New Roman" w:eastAsia="Times New Roman" w:hAnsi="Times New Roman"/>
          <w:sz w:val="16"/>
          <w:szCs w:val="16"/>
          <w:color w:val="auto"/>
        </w:rPr>
        <w:t>0</w:t>
      </w:r>
    </w:p>
    <w:p>
      <w:pPr>
        <w:spacing w:after="0" w:line="11" w:lineRule="exact"/>
        <w:rPr>
          <w:sz w:val="20"/>
          <w:szCs w:val="20"/>
          <w:color w:val="auto"/>
        </w:rPr>
      </w:pPr>
    </w:p>
    <w:p>
      <w:pPr>
        <w:spacing w:after="0"/>
        <w:tabs>
          <w:tab w:leader="dot" w:pos="10500" w:val="left"/>
        </w:tabs>
        <w:rPr>
          <w:sz w:val="20"/>
          <w:szCs w:val="20"/>
          <w:color w:val="auto"/>
        </w:rPr>
      </w:pPr>
      <w:r>
        <w:rPr>
          <w:rFonts w:ascii="Times New Roman" w:cs="Times New Roman" w:eastAsia="Times New Roman" w:hAnsi="Times New Roman"/>
          <w:sz w:val="16"/>
          <w:szCs w:val="16"/>
          <w:color w:val="auto"/>
        </w:rPr>
        <w:t>Total equity capital</w:t>
      </w:r>
      <w:r>
        <w:rPr>
          <w:sz w:val="20"/>
          <w:szCs w:val="20"/>
          <w:color w:val="auto"/>
        </w:rPr>
        <w:tab/>
      </w:r>
      <w:r>
        <w:rPr>
          <w:rFonts w:ascii="Times New Roman" w:cs="Times New Roman" w:eastAsia="Times New Roman" w:hAnsi="Times New Roman"/>
          <w:sz w:val="16"/>
          <w:szCs w:val="16"/>
          <w:color w:val="auto"/>
        </w:rPr>
        <w:t>27,960,000</w:t>
      </w:r>
    </w:p>
    <w:p>
      <w:pPr>
        <w:spacing w:after="0" w:line="11" w:lineRule="exact"/>
        <w:rPr>
          <w:sz w:val="20"/>
          <w:szCs w:val="20"/>
          <w:color w:val="auto"/>
        </w:rPr>
      </w:pPr>
    </w:p>
    <w:p>
      <w:pPr>
        <w:spacing w:after="0"/>
        <w:tabs>
          <w:tab w:leader="dot" w:pos="10420" w:val="left"/>
        </w:tabs>
        <w:rPr>
          <w:sz w:val="20"/>
          <w:szCs w:val="20"/>
          <w:color w:val="auto"/>
        </w:rPr>
      </w:pPr>
      <w:r>
        <w:rPr>
          <w:rFonts w:ascii="Times New Roman" w:cs="Times New Roman" w:eastAsia="Times New Roman" w:hAnsi="Times New Roman"/>
          <w:sz w:val="16"/>
          <w:szCs w:val="16"/>
          <w:color w:val="auto"/>
        </w:rPr>
        <w:t>Total liabilities and equity capital</w:t>
      </w:r>
      <w:r>
        <w:rPr>
          <w:sz w:val="20"/>
          <w:szCs w:val="20"/>
          <w:color w:val="auto"/>
        </w:rPr>
        <w:tab/>
      </w:r>
      <w:r>
        <w:rPr>
          <w:rFonts w:ascii="Times New Roman" w:cs="Times New Roman" w:eastAsia="Times New Roman" w:hAnsi="Times New Roman"/>
          <w:sz w:val="16"/>
          <w:szCs w:val="16"/>
          <w:color w:val="auto"/>
        </w:rPr>
        <w:t>335,955,000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6432550</wp:posOffset>
            </wp:positionH>
            <wp:positionV relativeFrom="paragraph">
              <wp:posOffset>22860</wp:posOffset>
            </wp:positionV>
            <wp:extent cx="711200"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1">
                      <a:extLst>
                        <a:ext uri="{28A0092B-C50C-407E-A947-70E740481C1C}"/>
                      </a:extLst>
                    </a:blip>
                    <a:srcRect/>
                    <a:stretch>
                      <a:fillRect/>
                    </a:stretch>
                  </pic:blipFill>
                  <pic:spPr bwMode="auto">
                    <a:xfrm>
                      <a:off x="0" y="0"/>
                      <a:ext cx="711200" cy="7620"/>
                    </a:xfrm>
                    <a:prstGeom prst="rect">
                      <a:avLst/>
                    </a:prstGeom>
                    <a:noFill/>
                  </pic:spPr>
                </pic:pic>
              </a:graphicData>
            </a:graphic>
          </wp:anchor>
        </w:drawing>
        <w:drawing>
          <wp:anchor simplePos="0" relativeHeight="251657728" behindDoc="1" locked="0" layoutInCell="0" allowOverlap="1">
            <wp:simplePos x="0" y="0"/>
            <wp:positionH relativeFrom="column">
              <wp:posOffset>6432550</wp:posOffset>
            </wp:positionH>
            <wp:positionV relativeFrom="paragraph">
              <wp:posOffset>45720</wp:posOffset>
            </wp:positionV>
            <wp:extent cx="711200"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2">
                      <a:extLst>
                        <a:ext uri="{28A0092B-C50C-407E-A947-70E740481C1C}"/>
                      </a:extLst>
                    </a:blip>
                    <a:srcRect/>
                    <a:stretch>
                      <a:fillRect/>
                    </a:stretch>
                  </pic:blipFill>
                  <pic:spPr bwMode="auto">
                    <a:xfrm>
                      <a:off x="0" y="0"/>
                      <a:ext cx="711200" cy="7620"/>
                    </a:xfrm>
                    <a:prstGeom prst="rect">
                      <a:avLst/>
                    </a:prstGeom>
                    <a:noFill/>
                  </pic:spPr>
                </pic:pic>
              </a:graphicData>
            </a:graphic>
          </wp:anchor>
        </w:drawing>
        <w:drawing>
          <wp:anchor simplePos="0" relativeHeight="251657728" behindDoc="1" locked="0" layoutInCell="0" allowOverlap="1">
            <wp:simplePos x="0" y="0"/>
            <wp:positionH relativeFrom="column">
              <wp:posOffset>6432550</wp:posOffset>
            </wp:positionH>
            <wp:positionV relativeFrom="paragraph">
              <wp:posOffset>-115570</wp:posOffset>
            </wp:positionV>
            <wp:extent cx="711200" cy="152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3">
                      <a:extLst>
                        <a:ext uri="{28A0092B-C50C-407E-A947-70E740481C1C}"/>
                      </a:extLst>
                    </a:blip>
                    <a:srcRect/>
                    <a:stretch>
                      <a:fillRect/>
                    </a:stretch>
                  </pic:blipFill>
                  <pic:spPr bwMode="auto">
                    <a:xfrm>
                      <a:off x="0" y="0"/>
                      <a:ext cx="711200" cy="15240"/>
                    </a:xfrm>
                    <a:prstGeom prst="rect">
                      <a:avLst/>
                    </a:prstGeom>
                    <a:noFill/>
                  </pic:spPr>
                </pic:pic>
              </a:graphicData>
            </a:graphic>
          </wp:anchor>
        </w:drawing>
      </w:r>
    </w:p>
    <w:p>
      <w:pPr>
        <w:spacing w:after="0" w:line="3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5655" cy="152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94" w:name="page295"/>
    <w:bookmarkEnd w:id="294"/>
    <w:p>
      <w:pPr>
        <w:ind w:right="20" w:firstLine="585"/>
        <w:spacing w:after="0" w:line="288" w:lineRule="auto"/>
        <w:rPr>
          <w:sz w:val="20"/>
          <w:szCs w:val="20"/>
          <w:color w:val="auto"/>
        </w:rPr>
      </w:pPr>
      <w:r>
        <w:rPr>
          <w:rFonts w:ascii="Times New Roman" w:cs="Times New Roman" w:eastAsia="Times New Roman" w:hAnsi="Times New Roman"/>
          <w:sz w:val="16"/>
          <w:szCs w:val="16"/>
          <w:color w:val="auto"/>
        </w:rPr>
        <w:t>I, Dermot McDonogh, Chief Financial Officer of the above-named bank do hereby declare that this Report of Condition is true and correct to the best of my knowledge and belief.</w:t>
      </w:r>
    </w:p>
    <w:p>
      <w:pPr>
        <w:spacing w:after="0" w:line="143"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6"/>
          <w:szCs w:val="16"/>
          <w:color w:val="auto"/>
        </w:rPr>
        <w:t>Dermot McDonogh</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90" w:lineRule="exact"/>
        <w:rPr>
          <w:sz w:val="20"/>
          <w:szCs w:val="20"/>
          <w:color w:val="auto"/>
        </w:rPr>
      </w:pPr>
    </w:p>
    <w:p>
      <w:pPr>
        <w:ind w:right="20" w:firstLine="585"/>
        <w:spacing w:after="0" w:line="288" w:lineRule="auto"/>
        <w:rPr>
          <w:sz w:val="20"/>
          <w:szCs w:val="20"/>
          <w:color w:val="auto"/>
        </w:rPr>
      </w:pPr>
      <w:r>
        <w:rPr>
          <w:rFonts w:ascii="Times New Roman" w:cs="Times New Roman" w:eastAsia="Times New Roman" w:hAnsi="Times New Roman"/>
          <w:sz w:val="16"/>
          <w:szCs w:val="16"/>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1073150</wp:posOffset>
            </wp:positionH>
            <wp:positionV relativeFrom="paragraph">
              <wp:posOffset>348615</wp:posOffset>
            </wp:positionV>
            <wp:extent cx="170180" cy="5492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5">
                      <a:extLst>
                        <a:ext uri="{28A0092B-C50C-407E-A947-70E740481C1C}"/>
                      </a:extLst>
                    </a:blip>
                    <a:srcRect/>
                    <a:stretch>
                      <a:fillRect/>
                    </a:stretch>
                  </pic:blipFill>
                  <pic:spPr bwMode="auto">
                    <a:xfrm>
                      <a:off x="0" y="0"/>
                      <a:ext cx="170180" cy="549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Robin A. Vince</w:t>
      </w:r>
    </w:p>
    <w:p>
      <w:pPr>
        <w:spacing w:after="0" w:line="27" w:lineRule="exact"/>
        <w:rPr>
          <w:sz w:val="20"/>
          <w:szCs w:val="20"/>
          <w:color w:val="auto"/>
        </w:rPr>
      </w:pPr>
    </w:p>
    <w:p>
      <w:pPr>
        <w:spacing w:after="0"/>
        <w:tabs>
          <w:tab w:leader="none" w:pos="3360" w:val="left"/>
        </w:tabs>
        <w:rPr>
          <w:sz w:val="20"/>
          <w:szCs w:val="20"/>
          <w:color w:val="auto"/>
        </w:rPr>
      </w:pPr>
      <w:r>
        <w:rPr>
          <w:rFonts w:ascii="Times New Roman" w:cs="Times New Roman" w:eastAsia="Times New Roman" w:hAnsi="Times New Roman"/>
          <w:sz w:val="16"/>
          <w:szCs w:val="16"/>
          <w:color w:val="auto"/>
        </w:rPr>
        <w:t>Jeffrey A. Goldstein</w:t>
      </w:r>
      <w:r>
        <w:rPr>
          <w:sz w:val="20"/>
          <w:szCs w:val="20"/>
          <w:color w:val="auto"/>
        </w:rPr>
        <w:tab/>
      </w:r>
      <w:r>
        <w:rPr>
          <w:rFonts w:ascii="Times New Roman" w:cs="Times New Roman" w:eastAsia="Times New Roman" w:hAnsi="Times New Roman"/>
          <w:sz w:val="16"/>
          <w:szCs w:val="16"/>
          <w:color w:val="auto"/>
        </w:rPr>
        <w:t>Directors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Joseph J. Echevarria</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11260"/>
          </w:cols>
          <w:pgMar w:left="320" w:top="123" w:right="319" w:bottom="1440" w:gutter="0" w:footer="0" w:header="0"/>
        </w:sectPr>
      </w:pPr>
    </w:p>
    <w:bookmarkStart w:id="295" w:name="page296"/>
    <w:bookmarkEnd w:id="295"/>
    <w:p>
      <w:pPr>
        <w:ind w:left="10343"/>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5655" cy="311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6">
                      <a:extLst>
                        <a:ext uri="{28A0092B-C50C-407E-A947-70E740481C1C}"/>
                      </a:extLst>
                    </a:blip>
                    <a:srcRect/>
                    <a:stretch>
                      <a:fillRect/>
                    </a:stretch>
                  </pic:blipFill>
                  <pic:spPr bwMode="auto">
                    <a:xfrm>
                      <a:off x="0" y="0"/>
                      <a:ext cx="7145655" cy="31115"/>
                    </a:xfrm>
                    <a:prstGeom prst="rect">
                      <a:avLst/>
                    </a:prstGeom>
                    <a:noFill/>
                  </pic:spPr>
                </pic:pic>
              </a:graphicData>
            </a:graphic>
          </wp:anchor>
        </w:drawing>
        <w:t>Exhibit 107.1</w:t>
      </w:r>
    </w:p>
    <w:p>
      <w:pPr>
        <w:spacing w:after="0" w:line="206"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Calculation of Filing Fee Tables</w:t>
      </w:r>
    </w:p>
    <w:p>
      <w:pPr>
        <w:spacing w:after="0" w:line="206"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Form S-3</w:t>
      </w:r>
    </w:p>
    <w:p>
      <w:pPr>
        <w:spacing w:after="0" w:line="29"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6"/>
          <w:szCs w:val="16"/>
          <w:color w:val="auto"/>
        </w:rPr>
        <w:t>(Form Type)</w:t>
      </w:r>
    </w:p>
    <w:p>
      <w:pPr>
        <w:spacing w:after="0" w:line="188"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Viatris Inc.</w:t>
      </w:r>
    </w:p>
    <w:p>
      <w:pPr>
        <w:spacing w:after="0" w:line="29"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8"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Mylan Inc.</w:t>
      </w:r>
    </w:p>
    <w:p>
      <w:pPr>
        <w:spacing w:after="0" w:line="29"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8"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Mylan II B.V.</w:t>
      </w:r>
    </w:p>
    <w:p>
      <w:pPr>
        <w:spacing w:after="0" w:line="29"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8"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Utah Acquisition Sub Inc.</w:t>
      </w:r>
    </w:p>
    <w:p>
      <w:pPr>
        <w:spacing w:after="0" w:line="29"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8"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Table 1: Newly Registered and Carry Forward Securities</w:t>
      </w:r>
    </w:p>
    <w:p>
      <w:pPr>
        <w:spacing w:after="0" w:line="204" w:lineRule="exact"/>
        <w:rPr>
          <w:sz w:val="20"/>
          <w:szCs w:val="20"/>
          <w:color w:val="auto"/>
        </w:rPr>
      </w:pPr>
    </w:p>
    <w:tbl>
      <w:tblPr>
        <w:tblLayout w:type="fixed"/>
        <w:tblInd w:w="13" w:type="dxa"/>
        <w:tblCellMar>
          <w:top w:w="0" w:type="dxa"/>
          <w:left w:w="0" w:type="dxa"/>
          <w:bottom w:w="0" w:type="dxa"/>
          <w:right w:w="0" w:type="dxa"/>
        </w:tblCellMar>
      </w:tblPr>
      <w:tr>
        <w:trPr>
          <w:trHeight w:val="189"/>
        </w:trPr>
        <w:tc>
          <w:tcPr>
            <w:tcW w:w="960" w:type="dxa"/>
            <w:vAlign w:val="bottom"/>
            <w:tcBorders>
              <w:top w:val="single" w:sz="8" w:color="auto"/>
              <w:left w:val="single" w:sz="8" w:color="auto"/>
              <w:right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spacing w:after="0"/>
              <w:rPr>
                <w:sz w:val="16"/>
                <w:szCs w:val="16"/>
                <w:color w:val="auto"/>
              </w:rPr>
            </w:pPr>
          </w:p>
        </w:tc>
        <w:tc>
          <w:tcPr>
            <w:tcW w:w="900" w:type="dxa"/>
            <w:vAlign w:val="bottom"/>
            <w:tcBorders>
              <w:top w:val="single" w:sz="8" w:color="auto"/>
              <w:right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60" w:type="dxa"/>
            <w:vAlign w:val="bottom"/>
            <w:tcBorders>
              <w:top w:val="single" w:sz="8" w:color="auto"/>
              <w:right w:val="single" w:sz="8" w:color="auto"/>
            </w:tcBorders>
          </w:tcPr>
          <w:p>
            <w:pPr>
              <w:spacing w:after="0"/>
              <w:rPr>
                <w:sz w:val="16"/>
                <w:szCs w:val="16"/>
                <w:color w:val="auto"/>
              </w:rPr>
            </w:pPr>
          </w:p>
        </w:tc>
        <w:tc>
          <w:tcPr>
            <w:tcW w:w="900" w:type="dxa"/>
            <w:vAlign w:val="bottom"/>
            <w:tcBorders>
              <w:top w:val="single" w:sz="8" w:color="auto"/>
              <w:right w:val="single" w:sz="8" w:color="auto"/>
            </w:tcBorders>
          </w:tcPr>
          <w:p>
            <w:pPr>
              <w:spacing w:after="0"/>
              <w:rPr>
                <w:sz w:val="16"/>
                <w:szCs w:val="16"/>
                <w:color w:val="auto"/>
              </w:rPr>
            </w:pPr>
          </w:p>
        </w:tc>
        <w:tc>
          <w:tcPr>
            <w:tcW w:w="940" w:type="dxa"/>
            <w:vAlign w:val="bottom"/>
            <w:tcBorders>
              <w:top w:val="single" w:sz="8" w:color="auto"/>
              <w:right w:val="single" w:sz="8" w:color="auto"/>
            </w:tcBorders>
          </w:tcPr>
          <w:p>
            <w:pPr>
              <w:spacing w:after="0"/>
              <w:rPr>
                <w:sz w:val="16"/>
                <w:szCs w:val="16"/>
                <w:color w:val="auto"/>
              </w:rPr>
            </w:pPr>
          </w:p>
        </w:tc>
        <w:tc>
          <w:tcPr>
            <w:tcW w:w="880" w:type="dxa"/>
            <w:vAlign w:val="bottom"/>
            <w:tcBorders>
              <w:top w:val="single" w:sz="8" w:color="auto"/>
              <w:right w:val="single" w:sz="8" w:color="auto"/>
            </w:tcBorders>
          </w:tcPr>
          <w:p>
            <w:pPr>
              <w:spacing w:after="0"/>
              <w:rPr>
                <w:sz w:val="16"/>
                <w:szCs w:val="16"/>
                <w:color w:val="auto"/>
              </w:rPr>
            </w:pPr>
          </w:p>
        </w:tc>
        <w:tc>
          <w:tcPr>
            <w:tcW w:w="540" w:type="dxa"/>
            <w:vAlign w:val="bottom"/>
            <w:tcBorders>
              <w:top w:val="single" w:sz="8" w:color="auto"/>
              <w:right w:val="single" w:sz="8" w:color="auto"/>
            </w:tcBorders>
          </w:tcPr>
          <w:p>
            <w:pPr>
              <w:spacing w:after="0"/>
              <w:rPr>
                <w:sz w:val="16"/>
                <w:szCs w:val="16"/>
                <w:color w:val="auto"/>
              </w:rPr>
            </w:pPr>
          </w:p>
        </w:tc>
        <w:tc>
          <w:tcPr>
            <w:tcW w:w="1040" w:type="dxa"/>
            <w:vAlign w:val="bottom"/>
            <w:tcBorders>
              <w:top w:val="single" w:sz="8" w:color="auto"/>
              <w:right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spacing w:after="0"/>
              <w:rPr>
                <w:sz w:val="16"/>
                <w:szCs w:val="16"/>
                <w:color w:val="auto"/>
              </w:rPr>
            </w:pP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Filing Fee</w:t>
            </w:r>
          </w:p>
        </w:tc>
        <w:tc>
          <w:tcPr>
            <w:tcW w:w="0" w:type="dxa"/>
            <w:vAlign w:val="bottom"/>
          </w:tcPr>
          <w:p>
            <w:pPr>
              <w:spacing w:after="0"/>
              <w:rPr>
                <w:sz w:val="1"/>
                <w:szCs w:val="1"/>
                <w:color w:val="auto"/>
              </w:rPr>
            </w:pPr>
          </w:p>
        </w:tc>
      </w:tr>
      <w:tr>
        <w:trPr>
          <w:trHeight w:val="195"/>
        </w:trPr>
        <w:tc>
          <w:tcPr>
            <w:tcW w:w="960" w:type="dxa"/>
            <w:vAlign w:val="bottom"/>
            <w:tcBorders>
              <w:left w:val="single" w:sz="8" w:color="auto"/>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Previously</w:t>
            </w:r>
          </w:p>
        </w:tc>
        <w:tc>
          <w:tcPr>
            <w:tcW w:w="0" w:type="dxa"/>
            <w:vAlign w:val="bottom"/>
          </w:tcPr>
          <w:p>
            <w:pPr>
              <w:spacing w:after="0"/>
              <w:rPr>
                <w:sz w:val="1"/>
                <w:szCs w:val="1"/>
                <w:color w:val="auto"/>
              </w:rPr>
            </w:pPr>
          </w:p>
        </w:tc>
      </w:tr>
      <w:tr>
        <w:trPr>
          <w:trHeight w:val="195"/>
        </w:trPr>
        <w:tc>
          <w:tcPr>
            <w:tcW w:w="960" w:type="dxa"/>
            <w:vAlign w:val="bottom"/>
            <w:tcBorders>
              <w:left w:val="single" w:sz="8" w:color="auto"/>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Borders>
              <w:right w:val="single" w:sz="8" w:color="auto"/>
            </w:tcBorders>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9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88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Carry</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0" w:type="dxa"/>
            <w:vAlign w:val="bottom"/>
          </w:tcPr>
          <w:p>
            <w:pPr>
              <w:spacing w:after="0"/>
              <w:rPr>
                <w:sz w:val="1"/>
                <w:szCs w:val="1"/>
                <w:color w:val="auto"/>
              </w:rPr>
            </w:pPr>
          </w:p>
        </w:tc>
      </w:tr>
      <w:tr>
        <w:trPr>
          <w:trHeight w:val="97"/>
        </w:trPr>
        <w:tc>
          <w:tcPr>
            <w:tcW w:w="96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54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Carry</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Carry</w:t>
            </w:r>
          </w:p>
        </w:tc>
        <w:tc>
          <w:tcPr>
            <w:tcW w:w="8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Connection</w:t>
            </w:r>
          </w:p>
        </w:tc>
        <w:tc>
          <w:tcPr>
            <w:tcW w:w="0" w:type="dxa"/>
            <w:vAlign w:val="bottom"/>
          </w:tcPr>
          <w:p>
            <w:pPr>
              <w:spacing w:after="0"/>
              <w:rPr>
                <w:sz w:val="1"/>
                <w:szCs w:val="1"/>
                <w:color w:val="auto"/>
              </w:rPr>
            </w:pPr>
          </w:p>
        </w:tc>
      </w:tr>
      <w:tr>
        <w:trPr>
          <w:trHeight w:val="97"/>
        </w:trPr>
        <w:tc>
          <w:tcPr>
            <w:tcW w:w="96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Borders>
              <w:right w:val="single" w:sz="8" w:color="auto"/>
            </w:tcBorders>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Calculation</w:t>
            </w:r>
          </w:p>
        </w:tc>
        <w:tc>
          <w:tcPr>
            <w:tcW w:w="9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880" w:type="dxa"/>
            <w:vAlign w:val="bottom"/>
            <w:tcBorders>
              <w:right w:val="single" w:sz="8" w:color="auto"/>
            </w:tcBorders>
            <w:vMerge w:val="continue"/>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80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Forward</w:t>
            </w: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6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Security</w:t>
            </w:r>
          </w:p>
        </w:tc>
        <w:tc>
          <w:tcPr>
            <w:tcW w:w="60" w:type="dxa"/>
            <w:vAlign w:val="bottom"/>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94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104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Forward</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Forward</w:t>
            </w:r>
          </w:p>
        </w:tc>
        <w:tc>
          <w:tcPr>
            <w:tcW w:w="8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with</w:t>
            </w:r>
          </w:p>
        </w:tc>
        <w:tc>
          <w:tcPr>
            <w:tcW w:w="0" w:type="dxa"/>
            <w:vAlign w:val="bottom"/>
          </w:tcPr>
          <w:p>
            <w:pPr>
              <w:spacing w:after="0"/>
              <w:rPr>
                <w:sz w:val="1"/>
                <w:szCs w:val="1"/>
                <w:color w:val="auto"/>
              </w:rPr>
            </w:pPr>
          </w:p>
        </w:tc>
      </w:tr>
      <w:tr>
        <w:trPr>
          <w:trHeight w:val="97"/>
        </w:trPr>
        <w:tc>
          <w:tcPr>
            <w:tcW w:w="96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Borders>
              <w:right w:val="single" w:sz="8" w:color="auto"/>
            </w:tcBorders>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 Carry</w:t>
            </w:r>
          </w:p>
        </w:tc>
        <w:tc>
          <w:tcPr>
            <w:tcW w:w="90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880" w:type="dxa"/>
            <w:vAlign w:val="bottom"/>
            <w:tcBorders>
              <w:right w:val="single" w:sz="8" w:color="auto"/>
            </w:tcBorders>
            <w:vMerge w:val="continue"/>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80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6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Type</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 Title</w:t>
            </w:r>
          </w:p>
        </w:tc>
        <w:tc>
          <w:tcPr>
            <w:tcW w:w="60" w:type="dxa"/>
            <w:vAlign w:val="bottom"/>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Registered</w:t>
            </w:r>
          </w:p>
        </w:tc>
        <w:tc>
          <w:tcPr>
            <w:tcW w:w="94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04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File</w:t>
            </w:r>
          </w:p>
        </w:tc>
        <w:tc>
          <w:tcPr>
            <w:tcW w:w="8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Unsold</w:t>
            </w:r>
          </w:p>
        </w:tc>
        <w:tc>
          <w:tcPr>
            <w:tcW w:w="0" w:type="dxa"/>
            <w:vAlign w:val="bottom"/>
          </w:tcPr>
          <w:p>
            <w:pPr>
              <w:spacing w:after="0"/>
              <w:rPr>
                <w:sz w:val="1"/>
                <w:szCs w:val="1"/>
                <w:color w:val="auto"/>
              </w:rPr>
            </w:pPr>
          </w:p>
        </w:tc>
      </w:tr>
      <w:tr>
        <w:trPr>
          <w:trHeight w:val="97"/>
        </w:trPr>
        <w:tc>
          <w:tcPr>
            <w:tcW w:w="96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Borders>
              <w:right w:val="single" w:sz="8" w:color="auto"/>
            </w:tcBorders>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Forward</w:t>
            </w:r>
          </w:p>
        </w:tc>
        <w:tc>
          <w:tcPr>
            <w:tcW w:w="90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880" w:type="dxa"/>
            <w:vAlign w:val="bottom"/>
            <w:tcBorders>
              <w:right w:val="single" w:sz="8" w:color="auto"/>
            </w:tcBorders>
            <w:vMerge w:val="continue"/>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80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6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54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Type</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0" w:type="dxa"/>
            <w:vAlign w:val="bottom"/>
          </w:tcPr>
          <w:p>
            <w:pPr>
              <w:spacing w:after="0"/>
              <w:rPr>
                <w:sz w:val="1"/>
                <w:szCs w:val="1"/>
                <w:color w:val="auto"/>
              </w:rPr>
            </w:pPr>
          </w:p>
        </w:tc>
      </w:tr>
      <w:tr>
        <w:trPr>
          <w:trHeight w:val="97"/>
        </w:trPr>
        <w:tc>
          <w:tcPr>
            <w:tcW w:w="96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Borders>
              <w:right w:val="single" w:sz="8" w:color="auto"/>
            </w:tcBorders>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Rule</w:t>
            </w:r>
          </w:p>
        </w:tc>
        <w:tc>
          <w:tcPr>
            <w:tcW w:w="9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Unit</w:t>
            </w:r>
          </w:p>
        </w:tc>
        <w:tc>
          <w:tcPr>
            <w:tcW w:w="880" w:type="dxa"/>
            <w:vAlign w:val="bottom"/>
            <w:tcBorders>
              <w:right w:val="single" w:sz="8" w:color="auto"/>
            </w:tcBorders>
            <w:vMerge w:val="continue"/>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960" w:type="dxa"/>
            <w:vAlign w:val="bottom"/>
            <w:tcBorders>
              <w:left w:val="single" w:sz="8" w:color="auto"/>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 be</w:t>
            </w:r>
          </w:p>
        </w:tc>
        <w:tc>
          <w:tcPr>
            <w:tcW w:w="0" w:type="dxa"/>
            <w:vAlign w:val="bottom"/>
          </w:tcPr>
          <w:p>
            <w:pPr>
              <w:spacing w:after="0"/>
              <w:rPr>
                <w:sz w:val="1"/>
                <w:szCs w:val="1"/>
                <w:color w:val="auto"/>
              </w:rPr>
            </w:pPr>
          </w:p>
        </w:tc>
      </w:tr>
      <w:tr>
        <w:trPr>
          <w:trHeight w:val="80"/>
        </w:trPr>
        <w:tc>
          <w:tcPr>
            <w:tcW w:w="960" w:type="dxa"/>
            <w:vAlign w:val="bottom"/>
            <w:tcBorders>
              <w:left w:val="single" w:sz="8" w:color="auto"/>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960" w:type="dxa"/>
            <w:vAlign w:val="bottom"/>
            <w:tcBorders>
              <w:left w:val="single" w:sz="8" w:color="auto"/>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Carried</w:t>
            </w:r>
          </w:p>
        </w:tc>
        <w:tc>
          <w:tcPr>
            <w:tcW w:w="0" w:type="dxa"/>
            <w:vAlign w:val="bottom"/>
          </w:tcPr>
          <w:p>
            <w:pPr>
              <w:spacing w:after="0"/>
              <w:rPr>
                <w:sz w:val="1"/>
                <w:szCs w:val="1"/>
                <w:color w:val="auto"/>
              </w:rPr>
            </w:pPr>
          </w:p>
        </w:tc>
      </w:tr>
      <w:tr>
        <w:trPr>
          <w:trHeight w:val="213"/>
        </w:trPr>
        <w:tc>
          <w:tcPr>
            <w:tcW w:w="960" w:type="dxa"/>
            <w:vAlign w:val="bottom"/>
            <w:tcBorders>
              <w:left w:val="single" w:sz="8" w:color="auto"/>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Forward</w:t>
            </w:r>
          </w:p>
        </w:tc>
        <w:tc>
          <w:tcPr>
            <w:tcW w:w="0" w:type="dxa"/>
            <w:vAlign w:val="bottom"/>
          </w:tcPr>
          <w:p>
            <w:pPr>
              <w:spacing w:after="0"/>
              <w:rPr>
                <w:sz w:val="1"/>
                <w:szCs w:val="1"/>
                <w:color w:val="auto"/>
              </w:rPr>
            </w:pPr>
          </w:p>
        </w:tc>
      </w:tr>
      <w:tr>
        <w:trPr>
          <w:trHeight w:val="223"/>
        </w:trPr>
        <w:tc>
          <w:tcPr>
            <w:tcW w:w="96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360" w:type="dxa"/>
            <w:vAlign w:val="bottom"/>
            <w:gridSpan w:val="3"/>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Newly Registered Securities</w:t>
            </w: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960" w:type="dxa"/>
            <w:vAlign w:val="bottom"/>
            <w:tcBorders>
              <w:left w:val="single" w:sz="8" w:color="auto"/>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960" w:type="dxa"/>
            <w:vAlign w:val="bottom"/>
            <w:tcBorders>
              <w:left w:val="single" w:sz="8" w:color="auto"/>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rPr>
              <w:t>Debt</w:t>
            </w:r>
          </w:p>
        </w:tc>
        <w:tc>
          <w:tcPr>
            <w:tcW w:w="60" w:type="dxa"/>
            <w:vAlign w:val="bottom"/>
          </w:tcPr>
          <w:p>
            <w:pPr>
              <w:spacing w:after="0"/>
              <w:rPr>
                <w:sz w:val="14"/>
                <w:szCs w:val="14"/>
                <w:color w:val="auto"/>
              </w:rPr>
            </w:pPr>
          </w:p>
        </w:tc>
        <w:tc>
          <w:tcPr>
            <w:tcW w:w="960" w:type="dxa"/>
            <w:vAlign w:val="bottom"/>
            <w:tcBorders>
              <w:right w:val="single" w:sz="8" w:color="auto"/>
            </w:tcBorders>
          </w:tcPr>
          <w:p>
            <w:pPr>
              <w:jc w:val="center"/>
              <w:ind w:right="19"/>
              <w:spacing w:after="0" w:line="171" w:lineRule="exact"/>
              <w:rPr>
                <w:sz w:val="20"/>
                <w:szCs w:val="20"/>
                <w:color w:val="auto"/>
              </w:rPr>
            </w:pPr>
            <w:r>
              <w:rPr>
                <w:rFonts w:ascii="Times New Roman" w:cs="Times New Roman" w:eastAsia="Times New Roman" w:hAnsi="Times New Roman"/>
                <w:sz w:val="16"/>
                <w:szCs w:val="16"/>
                <w:color w:val="auto"/>
              </w:rPr>
              <w:t>Rule 456(b)</w:t>
            </w:r>
          </w:p>
        </w:tc>
        <w:tc>
          <w:tcPr>
            <w:tcW w:w="90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60" w:type="dxa"/>
            <w:vAlign w:val="bottom"/>
            <w:tcBorders>
              <w:left w:val="single" w:sz="8" w:color="auto"/>
              <w:right w:val="single" w:sz="8" w:color="auto"/>
            </w:tcBorders>
          </w:tcPr>
          <w:p>
            <w:pPr>
              <w:spacing w:after="0"/>
              <w:rPr>
                <w:sz w:val="16"/>
                <w:szCs w:val="16"/>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Debt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Securities</w:t>
            </w:r>
          </w:p>
        </w:tc>
        <w:tc>
          <w:tcPr>
            <w:tcW w:w="60" w:type="dxa"/>
            <w:vAlign w:val="bottom"/>
          </w:tcPr>
          <w:p>
            <w:pPr>
              <w:spacing w:after="0"/>
              <w:rPr>
                <w:sz w:val="16"/>
                <w:szCs w:val="16"/>
                <w:color w:val="auto"/>
              </w:rPr>
            </w:pPr>
          </w:p>
        </w:tc>
        <w:tc>
          <w:tcPr>
            <w:tcW w:w="960" w:type="dxa"/>
            <w:vAlign w:val="bottom"/>
            <w:tcBorders>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and Rule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960" w:type="dxa"/>
            <w:vAlign w:val="bottom"/>
            <w:tcBorders>
              <w:left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457(r) (2)</w:t>
            </w:r>
          </w:p>
        </w:tc>
        <w:tc>
          <w:tcPr>
            <w:tcW w:w="90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960" w:type="dxa"/>
            <w:vAlign w:val="bottom"/>
            <w:tcBorders>
              <w:left w:val="single" w:sz="8" w:color="auto"/>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rPr>
              <w:t>Common</w:t>
            </w:r>
          </w:p>
        </w:tc>
        <w:tc>
          <w:tcPr>
            <w:tcW w:w="6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60" w:type="dxa"/>
            <w:vAlign w:val="bottom"/>
            <w:tcBorders>
              <w:left w:val="single" w:sz="8" w:color="auto"/>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Stock, par</w:t>
            </w:r>
          </w:p>
        </w:tc>
        <w:tc>
          <w:tcPr>
            <w:tcW w:w="60" w:type="dxa"/>
            <w:vAlign w:val="bottom"/>
          </w:tcPr>
          <w:p>
            <w:pPr>
              <w:spacing w:after="0"/>
              <w:rPr>
                <w:sz w:val="16"/>
                <w:szCs w:val="16"/>
                <w:color w:val="auto"/>
              </w:rPr>
            </w:pPr>
          </w:p>
        </w:tc>
        <w:tc>
          <w:tcPr>
            <w:tcW w:w="960" w:type="dxa"/>
            <w:vAlign w:val="bottom"/>
            <w:tcBorders>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Rule 456(b)</w:t>
            </w:r>
          </w:p>
        </w:tc>
        <w:tc>
          <w:tcPr>
            <w:tcW w:w="9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60" w:type="dxa"/>
            <w:vAlign w:val="bottom"/>
            <w:tcBorders>
              <w:left w:val="single" w:sz="8" w:color="auto"/>
              <w:right w:val="single" w:sz="8" w:color="auto"/>
            </w:tcBorders>
          </w:tcPr>
          <w:p>
            <w:pPr>
              <w:spacing w:after="0"/>
              <w:rPr>
                <w:sz w:val="16"/>
                <w:szCs w:val="16"/>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Equity</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value</w:t>
            </w:r>
          </w:p>
        </w:tc>
        <w:tc>
          <w:tcPr>
            <w:tcW w:w="60" w:type="dxa"/>
            <w:vAlign w:val="bottom"/>
          </w:tcPr>
          <w:p>
            <w:pPr>
              <w:spacing w:after="0"/>
              <w:rPr>
                <w:sz w:val="16"/>
                <w:szCs w:val="16"/>
                <w:color w:val="auto"/>
              </w:rPr>
            </w:pPr>
          </w:p>
        </w:tc>
        <w:tc>
          <w:tcPr>
            <w:tcW w:w="960" w:type="dxa"/>
            <w:vAlign w:val="bottom"/>
            <w:tcBorders>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and Rule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60" w:type="dxa"/>
            <w:vAlign w:val="bottom"/>
            <w:tcBorders>
              <w:left w:val="single" w:sz="8" w:color="auto"/>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$0.01 per</w:t>
            </w:r>
          </w:p>
        </w:tc>
        <w:tc>
          <w:tcPr>
            <w:tcW w:w="60" w:type="dxa"/>
            <w:vAlign w:val="bottom"/>
          </w:tcPr>
          <w:p>
            <w:pPr>
              <w:spacing w:after="0"/>
              <w:rPr>
                <w:sz w:val="16"/>
                <w:szCs w:val="16"/>
                <w:color w:val="auto"/>
              </w:rPr>
            </w:pPr>
          </w:p>
        </w:tc>
        <w:tc>
          <w:tcPr>
            <w:tcW w:w="960" w:type="dxa"/>
            <w:vAlign w:val="bottom"/>
            <w:tcBorders>
              <w:right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457(r) (2)</w:t>
            </w:r>
          </w:p>
        </w:tc>
        <w:tc>
          <w:tcPr>
            <w:tcW w:w="9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960" w:type="dxa"/>
            <w:vAlign w:val="bottom"/>
            <w:tcBorders>
              <w:left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share (1)</w:t>
            </w: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960" w:type="dxa"/>
            <w:vAlign w:val="bottom"/>
            <w:tcBorders>
              <w:left w:val="single" w:sz="8" w:color="auto"/>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rPr>
              <w:t>Preferred</w:t>
            </w:r>
          </w:p>
        </w:tc>
        <w:tc>
          <w:tcPr>
            <w:tcW w:w="6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60" w:type="dxa"/>
            <w:vAlign w:val="bottom"/>
            <w:tcBorders>
              <w:left w:val="single" w:sz="8" w:color="auto"/>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Stock, par</w:t>
            </w:r>
          </w:p>
        </w:tc>
        <w:tc>
          <w:tcPr>
            <w:tcW w:w="60" w:type="dxa"/>
            <w:vAlign w:val="bottom"/>
          </w:tcPr>
          <w:p>
            <w:pPr>
              <w:spacing w:after="0"/>
              <w:rPr>
                <w:sz w:val="16"/>
                <w:szCs w:val="16"/>
                <w:color w:val="auto"/>
              </w:rPr>
            </w:pPr>
          </w:p>
        </w:tc>
        <w:tc>
          <w:tcPr>
            <w:tcW w:w="960" w:type="dxa"/>
            <w:vAlign w:val="bottom"/>
            <w:tcBorders>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Rule 456(b)</w:t>
            </w:r>
          </w:p>
        </w:tc>
        <w:tc>
          <w:tcPr>
            <w:tcW w:w="9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60" w:type="dxa"/>
            <w:vAlign w:val="bottom"/>
            <w:tcBorders>
              <w:left w:val="single" w:sz="8" w:color="auto"/>
              <w:right w:val="single" w:sz="8" w:color="auto"/>
            </w:tcBorders>
          </w:tcPr>
          <w:p>
            <w:pPr>
              <w:spacing w:after="0"/>
              <w:rPr>
                <w:sz w:val="16"/>
                <w:szCs w:val="16"/>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Equity</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value</w:t>
            </w:r>
          </w:p>
        </w:tc>
        <w:tc>
          <w:tcPr>
            <w:tcW w:w="60" w:type="dxa"/>
            <w:vAlign w:val="bottom"/>
          </w:tcPr>
          <w:p>
            <w:pPr>
              <w:spacing w:after="0"/>
              <w:rPr>
                <w:sz w:val="16"/>
                <w:szCs w:val="16"/>
                <w:color w:val="auto"/>
              </w:rPr>
            </w:pPr>
          </w:p>
        </w:tc>
        <w:tc>
          <w:tcPr>
            <w:tcW w:w="960" w:type="dxa"/>
            <w:vAlign w:val="bottom"/>
            <w:tcBorders>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and Rule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Fees to be</w:t>
            </w:r>
          </w:p>
        </w:tc>
        <w:tc>
          <w:tcPr>
            <w:tcW w:w="7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$0.01 per</w:t>
            </w:r>
          </w:p>
        </w:tc>
        <w:tc>
          <w:tcPr>
            <w:tcW w:w="60" w:type="dxa"/>
            <w:vAlign w:val="bottom"/>
          </w:tcPr>
          <w:p>
            <w:pPr>
              <w:spacing w:after="0"/>
              <w:rPr>
                <w:sz w:val="16"/>
                <w:szCs w:val="16"/>
                <w:color w:val="auto"/>
              </w:rPr>
            </w:pPr>
          </w:p>
        </w:tc>
        <w:tc>
          <w:tcPr>
            <w:tcW w:w="960" w:type="dxa"/>
            <w:vAlign w:val="bottom"/>
            <w:tcBorders>
              <w:right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457(r) (2)</w:t>
            </w:r>
          </w:p>
        </w:tc>
        <w:tc>
          <w:tcPr>
            <w:tcW w:w="9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960" w:type="dxa"/>
            <w:vAlign w:val="bottom"/>
            <w:tcBorders>
              <w:left w:val="single" w:sz="8" w:color="auto"/>
              <w:right w:val="single" w:sz="8" w:color="auto"/>
            </w:tcBorders>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share (1)</w:t>
            </w:r>
          </w:p>
        </w:tc>
        <w:tc>
          <w:tcPr>
            <w:tcW w:w="6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9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Paid</w:t>
            </w:r>
          </w:p>
        </w:tc>
        <w:tc>
          <w:tcPr>
            <w:tcW w:w="78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vMerge w:val="continue"/>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94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960" w:type="dxa"/>
            <w:vAlign w:val="bottom"/>
            <w:tcBorders>
              <w:left w:val="single" w:sz="8" w:color="auto"/>
              <w:right w:val="single" w:sz="8" w:color="auto"/>
            </w:tcBorders>
            <w:vMerge w:val="continue"/>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Warrants</w:t>
            </w:r>
          </w:p>
        </w:tc>
        <w:tc>
          <w:tcPr>
            <w:tcW w:w="60" w:type="dxa"/>
            <w:vAlign w:val="bottom"/>
          </w:tcPr>
          <w:p>
            <w:pPr>
              <w:spacing w:after="0"/>
              <w:rPr>
                <w:sz w:val="7"/>
                <w:szCs w:val="7"/>
                <w:color w:val="auto"/>
              </w:rPr>
            </w:pPr>
          </w:p>
        </w:tc>
        <w:tc>
          <w:tcPr>
            <w:tcW w:w="960" w:type="dxa"/>
            <w:vAlign w:val="bottom"/>
            <w:tcBorders>
              <w:right w:val="single" w:sz="8" w:color="auto"/>
            </w:tcBorders>
            <w:vMerge w:val="restart"/>
          </w:tcPr>
          <w:p>
            <w:pPr>
              <w:jc w:val="center"/>
              <w:ind w:right="19"/>
              <w:spacing w:after="0" w:line="171" w:lineRule="exact"/>
              <w:rPr>
                <w:sz w:val="20"/>
                <w:szCs w:val="20"/>
                <w:color w:val="auto"/>
              </w:rPr>
            </w:pPr>
            <w:r>
              <w:rPr>
                <w:rFonts w:ascii="Times New Roman" w:cs="Times New Roman" w:eastAsia="Times New Roman" w:hAnsi="Times New Roman"/>
                <w:sz w:val="16"/>
                <w:szCs w:val="16"/>
                <w:color w:val="auto"/>
              </w:rPr>
              <w:t>Rule 456(b)</w:t>
            </w:r>
          </w:p>
        </w:tc>
        <w:tc>
          <w:tcPr>
            <w:tcW w:w="900" w:type="dxa"/>
            <w:vAlign w:val="bottom"/>
            <w:tcBorders>
              <w:right w:val="single" w:sz="8" w:color="auto"/>
            </w:tcBorders>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960" w:type="dxa"/>
            <w:vAlign w:val="bottom"/>
            <w:tcBorders>
              <w:left w:val="single" w:sz="8" w:color="auto"/>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96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Borders>
              <w:right w:val="single" w:sz="8" w:color="auto"/>
            </w:tcBorders>
            <w:vMerge w:val="restart"/>
          </w:tcPr>
          <w:p>
            <w:pPr>
              <w:jc w:val="center"/>
              <w:ind w:right="19"/>
              <w:spacing w:after="0"/>
              <w:rPr>
                <w:sz w:val="20"/>
                <w:szCs w:val="20"/>
                <w:color w:val="auto"/>
              </w:rPr>
            </w:pPr>
            <w:r>
              <w:rPr>
                <w:rFonts w:ascii="Times New Roman" w:cs="Times New Roman" w:eastAsia="Times New Roman" w:hAnsi="Times New Roman"/>
                <w:sz w:val="16"/>
                <w:szCs w:val="16"/>
                <w:color w:val="auto"/>
              </w:rPr>
              <w:t>and Rule</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(2)</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80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6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 (4)</w:t>
            </w:r>
          </w:p>
        </w:tc>
        <w:tc>
          <w:tcPr>
            <w:tcW w:w="60" w:type="dxa"/>
            <w:vAlign w:val="bottom"/>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960" w:type="dxa"/>
            <w:vAlign w:val="bottom"/>
            <w:tcBorders>
              <w:left w:val="single" w:sz="8" w:color="auto"/>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Borders>
              <w:right w:val="single" w:sz="8" w:color="auto"/>
            </w:tcBorders>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rPr>
              <w:t>457(r) (2)</w:t>
            </w:r>
          </w:p>
        </w:tc>
        <w:tc>
          <w:tcPr>
            <w:tcW w:w="9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960" w:type="dxa"/>
            <w:vAlign w:val="bottom"/>
            <w:tcBorders>
              <w:left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vMerge w:val="continue"/>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94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960" w:type="dxa"/>
            <w:vAlign w:val="bottom"/>
            <w:tcBorders>
              <w:left w:val="single" w:sz="8" w:color="auto"/>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Rights (1)</w:t>
            </w:r>
          </w:p>
        </w:tc>
        <w:tc>
          <w:tcPr>
            <w:tcW w:w="60" w:type="dxa"/>
            <w:vAlign w:val="bottom"/>
          </w:tcPr>
          <w:p>
            <w:pPr>
              <w:spacing w:after="0"/>
              <w:rPr>
                <w:sz w:val="14"/>
                <w:szCs w:val="14"/>
                <w:color w:val="auto"/>
              </w:rPr>
            </w:pPr>
          </w:p>
        </w:tc>
        <w:tc>
          <w:tcPr>
            <w:tcW w:w="960" w:type="dxa"/>
            <w:vAlign w:val="bottom"/>
            <w:tcBorders>
              <w:right w:val="single" w:sz="8" w:color="auto"/>
            </w:tcBorders>
          </w:tcPr>
          <w:p>
            <w:pPr>
              <w:jc w:val="center"/>
              <w:ind w:right="19"/>
              <w:spacing w:after="0" w:line="171" w:lineRule="exact"/>
              <w:rPr>
                <w:sz w:val="20"/>
                <w:szCs w:val="20"/>
                <w:color w:val="auto"/>
              </w:rPr>
            </w:pPr>
            <w:r>
              <w:rPr>
                <w:rFonts w:ascii="Times New Roman" w:cs="Times New Roman" w:eastAsia="Times New Roman" w:hAnsi="Times New Roman"/>
                <w:sz w:val="16"/>
                <w:szCs w:val="16"/>
                <w:color w:val="auto"/>
              </w:rPr>
              <w:t>Rule 456(b)</w:t>
            </w:r>
          </w:p>
        </w:tc>
        <w:tc>
          <w:tcPr>
            <w:tcW w:w="90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96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Borders>
              <w:right w:val="single" w:sz="8" w:color="auto"/>
            </w:tcBorders>
            <w:vMerge w:val="restart"/>
          </w:tcPr>
          <w:p>
            <w:pPr>
              <w:jc w:val="center"/>
              <w:ind w:right="19"/>
              <w:spacing w:after="0"/>
              <w:rPr>
                <w:sz w:val="20"/>
                <w:szCs w:val="20"/>
                <w:color w:val="auto"/>
              </w:rPr>
            </w:pPr>
            <w:r>
              <w:rPr>
                <w:rFonts w:ascii="Times New Roman" w:cs="Times New Roman" w:eastAsia="Times New Roman" w:hAnsi="Times New Roman"/>
                <w:sz w:val="16"/>
                <w:szCs w:val="16"/>
                <w:color w:val="auto"/>
              </w:rPr>
              <w:t>and Rule</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(2)</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80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6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960" w:type="dxa"/>
            <w:vAlign w:val="bottom"/>
            <w:tcBorders>
              <w:left w:val="single" w:sz="8" w:color="auto"/>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Borders>
              <w:right w:val="single" w:sz="8" w:color="auto"/>
            </w:tcBorders>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rPr>
              <w:t>457(r) (2)</w:t>
            </w:r>
          </w:p>
        </w:tc>
        <w:tc>
          <w:tcPr>
            <w:tcW w:w="9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960" w:type="dxa"/>
            <w:vAlign w:val="bottom"/>
            <w:tcBorders>
              <w:left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vMerge w:val="continue"/>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94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960" w:type="dxa"/>
            <w:vAlign w:val="bottom"/>
            <w:tcBorders>
              <w:left w:val="single" w:sz="8" w:color="auto"/>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right w:val="single" w:sz="8" w:color="auto"/>
            </w:tcBorders>
          </w:tcPr>
          <w:p>
            <w:pPr>
              <w:jc w:val="center"/>
              <w:ind w:right="19"/>
              <w:spacing w:after="0" w:line="171" w:lineRule="exact"/>
              <w:rPr>
                <w:sz w:val="20"/>
                <w:szCs w:val="20"/>
                <w:color w:val="auto"/>
              </w:rPr>
            </w:pPr>
            <w:r>
              <w:rPr>
                <w:rFonts w:ascii="Times New Roman" w:cs="Times New Roman" w:eastAsia="Times New Roman" w:hAnsi="Times New Roman"/>
                <w:sz w:val="16"/>
                <w:szCs w:val="16"/>
                <w:color w:val="auto"/>
              </w:rPr>
              <w:t>Rule 456(b)</w:t>
            </w:r>
          </w:p>
        </w:tc>
        <w:tc>
          <w:tcPr>
            <w:tcW w:w="90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60" w:type="dxa"/>
            <w:vAlign w:val="bottom"/>
            <w:tcBorders>
              <w:left w:val="single" w:sz="8" w:color="auto"/>
              <w:right w:val="single" w:sz="8" w:color="auto"/>
            </w:tcBorders>
          </w:tcPr>
          <w:p>
            <w:pPr>
              <w:spacing w:after="0"/>
              <w:rPr>
                <w:sz w:val="16"/>
                <w:szCs w:val="16"/>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Units (1)</w:t>
            </w:r>
          </w:p>
        </w:tc>
        <w:tc>
          <w:tcPr>
            <w:tcW w:w="60" w:type="dxa"/>
            <w:vAlign w:val="bottom"/>
          </w:tcPr>
          <w:p>
            <w:pPr>
              <w:spacing w:after="0"/>
              <w:rPr>
                <w:sz w:val="16"/>
                <w:szCs w:val="16"/>
                <w:color w:val="auto"/>
              </w:rPr>
            </w:pPr>
          </w:p>
        </w:tc>
        <w:tc>
          <w:tcPr>
            <w:tcW w:w="960" w:type="dxa"/>
            <w:vAlign w:val="bottom"/>
            <w:tcBorders>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and Rule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960" w:type="dxa"/>
            <w:vAlign w:val="bottom"/>
            <w:tcBorders>
              <w:left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457(r) (2)</w:t>
            </w:r>
          </w:p>
        </w:tc>
        <w:tc>
          <w:tcPr>
            <w:tcW w:w="90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960" w:type="dxa"/>
            <w:vAlign w:val="bottom"/>
            <w:tcBorders>
              <w:left w:val="single" w:sz="8" w:color="auto"/>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Guarantees</w:t>
            </w:r>
          </w:p>
        </w:tc>
        <w:tc>
          <w:tcPr>
            <w:tcW w:w="60" w:type="dxa"/>
            <w:vAlign w:val="bottom"/>
          </w:tcPr>
          <w:p>
            <w:pPr>
              <w:spacing w:after="0"/>
              <w:rPr>
                <w:sz w:val="14"/>
                <w:szCs w:val="14"/>
                <w:color w:val="auto"/>
              </w:rPr>
            </w:pPr>
          </w:p>
        </w:tc>
        <w:tc>
          <w:tcPr>
            <w:tcW w:w="960" w:type="dxa"/>
            <w:vAlign w:val="bottom"/>
            <w:tcBorders>
              <w:right w:val="single" w:sz="8" w:color="auto"/>
            </w:tcBorders>
          </w:tcPr>
          <w:p>
            <w:pPr>
              <w:jc w:val="center"/>
              <w:ind w:right="19"/>
              <w:spacing w:after="0" w:line="171" w:lineRule="exact"/>
              <w:rPr>
                <w:sz w:val="20"/>
                <w:szCs w:val="20"/>
                <w:color w:val="auto"/>
              </w:rPr>
            </w:pPr>
            <w:r>
              <w:rPr>
                <w:rFonts w:ascii="Times New Roman" w:cs="Times New Roman" w:eastAsia="Times New Roman" w:hAnsi="Times New Roman"/>
                <w:sz w:val="16"/>
                <w:szCs w:val="16"/>
                <w:color w:val="auto"/>
              </w:rPr>
              <w:t>Rule 456(b)</w:t>
            </w:r>
          </w:p>
        </w:tc>
        <w:tc>
          <w:tcPr>
            <w:tcW w:w="90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96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Borders>
              <w:right w:val="single" w:sz="8" w:color="auto"/>
            </w:tcBorders>
            <w:vMerge w:val="restart"/>
          </w:tcPr>
          <w:p>
            <w:pPr>
              <w:jc w:val="center"/>
              <w:ind w:right="19"/>
              <w:spacing w:after="0"/>
              <w:rPr>
                <w:sz w:val="20"/>
                <w:szCs w:val="20"/>
                <w:color w:val="auto"/>
              </w:rPr>
            </w:pPr>
            <w:r>
              <w:rPr>
                <w:rFonts w:ascii="Times New Roman" w:cs="Times New Roman" w:eastAsia="Times New Roman" w:hAnsi="Times New Roman"/>
                <w:sz w:val="16"/>
                <w:szCs w:val="16"/>
                <w:color w:val="auto"/>
              </w:rPr>
              <w:t>and Rule</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(2)</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80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6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 (5)</w:t>
            </w:r>
          </w:p>
        </w:tc>
        <w:tc>
          <w:tcPr>
            <w:tcW w:w="60" w:type="dxa"/>
            <w:vAlign w:val="bottom"/>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960" w:type="dxa"/>
            <w:vAlign w:val="bottom"/>
            <w:tcBorders>
              <w:left w:val="single" w:sz="8" w:color="auto"/>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Borders>
              <w:right w:val="single" w:sz="8" w:color="auto"/>
            </w:tcBorders>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rPr>
              <w:t>457(r) (2)</w:t>
            </w:r>
          </w:p>
        </w:tc>
        <w:tc>
          <w:tcPr>
            <w:tcW w:w="9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960" w:type="dxa"/>
            <w:vAlign w:val="bottom"/>
            <w:tcBorders>
              <w:left w:val="single" w:sz="8" w:color="auto"/>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vMerge w:val="continue"/>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94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96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w w:val="99"/>
              </w:rPr>
              <w:t>Fees</w:t>
            </w:r>
          </w:p>
        </w:tc>
        <w:tc>
          <w:tcPr>
            <w:tcW w:w="7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Previously</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60" w:type="dxa"/>
            <w:vAlign w:val="bottom"/>
          </w:tcPr>
          <w:p>
            <w:pPr>
              <w:spacing w:after="0"/>
              <w:rPr>
                <w:sz w:val="16"/>
                <w:szCs w:val="16"/>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Paid</w:t>
            </w:r>
          </w:p>
        </w:tc>
        <w:tc>
          <w:tcPr>
            <w:tcW w:w="78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60" w:type="dxa"/>
            <w:vAlign w:val="bottom"/>
            <w:tcBorders>
              <w:left w:val="single" w:sz="8" w:color="auto"/>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Carry Forward Securities</w:t>
            </w:r>
          </w:p>
        </w:tc>
        <w:tc>
          <w:tcPr>
            <w:tcW w:w="10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Carry</w:t>
            </w:r>
          </w:p>
        </w:tc>
        <w:tc>
          <w:tcPr>
            <w:tcW w:w="7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Forward</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60" w:type="dxa"/>
            <w:vAlign w:val="bottom"/>
          </w:tcPr>
          <w:p>
            <w:pPr>
              <w:spacing w:after="0"/>
              <w:rPr>
                <w:sz w:val="24"/>
                <w:szCs w:val="24"/>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94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390"/>
        </w:trPr>
        <w:tc>
          <w:tcPr>
            <w:tcW w:w="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7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960" w:type="dxa"/>
            <w:vAlign w:val="bottom"/>
            <w:tcBorders>
              <w:left w:val="single" w:sz="8" w:color="auto"/>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Total Offering Amounts</w:t>
            </w:r>
          </w:p>
        </w:tc>
        <w:tc>
          <w:tcPr>
            <w:tcW w:w="96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60" w:type="dxa"/>
            <w:vAlign w:val="bottom"/>
            <w:tcBorders>
              <w:left w:val="single" w:sz="8" w:color="auto"/>
              <w:bottom w:val="single" w:sz="8" w:color="auto"/>
              <w:right w:val="single" w:sz="8" w:color="auto"/>
            </w:tcBorders>
          </w:tcPr>
          <w:p>
            <w:pPr>
              <w:spacing w:after="0"/>
              <w:rPr>
                <w:sz w:val="18"/>
                <w:szCs w:val="18"/>
                <w:color w:val="auto"/>
              </w:rPr>
            </w:pPr>
          </w:p>
        </w:tc>
        <w:tc>
          <w:tcPr>
            <w:tcW w:w="27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Total Fees Previously Paid</w:t>
            </w:r>
          </w:p>
        </w:tc>
        <w:tc>
          <w:tcPr>
            <w:tcW w:w="90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60" w:type="dxa"/>
            <w:vAlign w:val="bottom"/>
            <w:tcBorders>
              <w:left w:val="single" w:sz="8" w:color="auto"/>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Total Fee Offsets</w:t>
            </w:r>
          </w:p>
        </w:tc>
        <w:tc>
          <w:tcPr>
            <w:tcW w:w="96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60" w:type="dxa"/>
            <w:vAlign w:val="bottom"/>
            <w:tcBorders>
              <w:left w:val="single" w:sz="8" w:color="auto"/>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Net Fee Due</w:t>
            </w:r>
          </w:p>
        </w:tc>
        <w:tc>
          <w:tcPr>
            <w:tcW w:w="96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283" w:right="220" w:hanging="283"/>
        <w:spacing w:after="0" w:line="271" w:lineRule="auto"/>
        <w:tabs>
          <w:tab w:leader="none" w:pos="339" w:val="left"/>
        </w:tabs>
        <w:numPr>
          <w:ilvl w:val="0"/>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securities registered under this registration statement may be sold separately, together or as units consisting of two or more constituent securities registered hereunder with the other securities registered hereunder. Separate consideration may or may not be received for any securities issued upon the conversion, redemption, exchange, exercise or settlement of any securities registered hereunder.</w:t>
      </w:r>
    </w:p>
    <w:p>
      <w:pPr>
        <w:spacing w:after="0" w:line="156" w:lineRule="exact"/>
        <w:rPr>
          <w:rFonts w:ascii="Times New Roman" w:cs="Times New Roman" w:eastAsia="Times New Roman" w:hAnsi="Times New Roman"/>
          <w:sz w:val="16"/>
          <w:szCs w:val="16"/>
          <w:color w:val="auto"/>
        </w:rPr>
      </w:pPr>
    </w:p>
    <w:p>
      <w:pPr>
        <w:ind w:left="283" w:right="180" w:hanging="283"/>
        <w:spacing w:after="0" w:line="262" w:lineRule="auto"/>
        <w:tabs>
          <w:tab w:leader="none" w:pos="342" w:val="left"/>
        </w:tabs>
        <w:numPr>
          <w:ilvl w:val="0"/>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Rules 456(b) and 457(r) under the Securities Act of 1933, as amended (the “Securities Act”), the registrants are deferring payment of all registration fees. In connection with the securities offered hereby, the registrants will pay “pay-as-you-go registration fees” in accordance with Rule 456(b). The registrants will calculate the registration fee applicable to an offer of securities pursuant to this registration statement based on the fee payment rate in effect on the date of such fee payment. Pursuant to Rule 457(n) under the Securities Act, no additional filing fee is payable in respect of the guarantees registered hereunder. The guarantees will not trade separately from the debt securities of which they are guarantees.</w:t>
      </w:r>
    </w:p>
    <w:p>
      <w:pPr>
        <w:sectPr>
          <w:pgSz w:w="11900" w:h="16838" w:orient="portrait"/>
          <w:cols w:equalWidth="0" w:num="1">
            <w:col w:w="11343"/>
          </w:cols>
          <w:pgMar w:left="317" w:top="267" w:right="239" w:bottom="0" w:gutter="0" w:footer="0" w:header="0"/>
        </w:sectPr>
      </w:pPr>
    </w:p>
    <w:bookmarkStart w:id="296" w:name="page297"/>
    <w:bookmarkEnd w:id="296"/>
    <w:p>
      <w:pPr>
        <w:ind w:left="283" w:hanging="283"/>
        <w:spacing w:after="0" w:line="271" w:lineRule="auto"/>
        <w:tabs>
          <w:tab w:leader="none" w:pos="333"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indeterminate aggregate initial offering price or number of securities of each identified class is being registered as may from time to time be issued at indeterminate prices and as may be issued upon conversion, redemption, exchange, exercise or settlement of any securities registered hereunder, including under any applicable antidilution provisions.</w:t>
      </w:r>
    </w:p>
    <w:p>
      <w:pPr>
        <w:spacing w:after="0" w:line="156" w:lineRule="exact"/>
        <w:rPr>
          <w:rFonts w:ascii="Times New Roman" w:cs="Times New Roman" w:eastAsia="Times New Roman" w:hAnsi="Times New Roman"/>
          <w:sz w:val="16"/>
          <w:szCs w:val="16"/>
          <w:color w:val="auto"/>
        </w:rPr>
      </w:pPr>
    </w:p>
    <w:p>
      <w:pPr>
        <w:ind w:left="343" w:hanging="343"/>
        <w:spacing w:after="0"/>
        <w:tabs>
          <w:tab w:leader="none" w:pos="343"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Representing rights to purchase debt securities, common stock or preferred stock.</w:t>
      </w:r>
    </w:p>
    <w:p>
      <w:pPr>
        <w:spacing w:after="0" w:line="205" w:lineRule="exact"/>
        <w:rPr>
          <w:rFonts w:ascii="Times New Roman" w:cs="Times New Roman" w:eastAsia="Times New Roman" w:hAnsi="Times New Roman"/>
          <w:sz w:val="16"/>
          <w:szCs w:val="16"/>
          <w:color w:val="auto"/>
        </w:rPr>
      </w:pPr>
    </w:p>
    <w:p>
      <w:pPr>
        <w:ind w:left="283" w:right="160" w:hanging="283"/>
        <w:spacing w:after="0" w:line="288" w:lineRule="auto"/>
        <w:tabs>
          <w:tab w:leader="none" w:pos="342"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Mylan Inc., Mylan II B.V. and Utah Acquisition Sub Inc. may fully and unconditionally guarantee the payment of principal of, and premium (if any) and interest on, the debt securities of Viatris Inc. No separate consideration will be received for the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302260</wp:posOffset>
            </wp:positionV>
            <wp:extent cx="7145655" cy="152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sectPr>
      <w:pgSz w:w="11900" w:h="16838" w:orient="portrait"/>
      <w:cols w:equalWidth="0" w:num="1">
        <w:col w:w="11203"/>
      </w:cols>
      <w:pgMar w:left="317" w:top="12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6DE806"/>
    <w:multiLevelType w:val="hybridMultilevel"/>
    <w:lvl w:ilvl="0">
      <w:lvlJc w:val="left"/>
      <w:lvlText w:val="(%1)"/>
      <w:numFmt w:val="decimal"/>
      <w:start w:val="724"/>
    </w:lvl>
  </w:abstractNum>
  <w:abstractNum w:abstractNumId="1">
    <w:nsid w:val="1816F8C4"/>
    <w:multiLevelType w:val="hybridMultilevel"/>
    <w:lvl w:ilvl="0">
      <w:lvlJc w:val="left"/>
      <w:lvlText w:val="•"/>
      <w:numFmt w:val="bullet"/>
      <w:start w:val="1"/>
    </w:lvl>
  </w:abstractNum>
  <w:abstractNum w:abstractNumId="2">
    <w:nsid w:val="37DF2233"/>
    <w:multiLevelType w:val="hybridMultilevel"/>
    <w:lvl w:ilvl="0">
      <w:lvlJc w:val="left"/>
      <w:lvlText w:val="•"/>
      <w:numFmt w:val="bullet"/>
      <w:start w:val="1"/>
    </w:lvl>
  </w:abstractNum>
  <w:abstractNum w:abstractNumId="3">
    <w:nsid w:val="7AB49DAF"/>
    <w:multiLevelType w:val="hybridMultilevel"/>
    <w:lvl w:ilvl="0">
      <w:lvlJc w:val="left"/>
      <w:lvlText w:val="•"/>
      <w:numFmt w:val="bullet"/>
      <w:start w:val="1"/>
    </w:lvl>
  </w:abstractNum>
  <w:abstractNum w:abstractNumId="4">
    <w:nsid w:val="759F82CD"/>
    <w:multiLevelType w:val="hybridMultilevel"/>
    <w:lvl w:ilvl="0">
      <w:lvlJc w:val="left"/>
      <w:lvlText w:val="•"/>
      <w:numFmt w:val="bullet"/>
      <w:start w:val="1"/>
    </w:lvl>
  </w:abstractNum>
  <w:abstractNum w:abstractNumId="5">
    <w:nsid w:val="61E74EA3"/>
    <w:multiLevelType w:val="hybridMultilevel"/>
    <w:lvl w:ilvl="0">
      <w:lvlJc w:val="left"/>
      <w:lvlText w:val="(%1)"/>
      <w:numFmt w:val="lowerRoman"/>
      <w:start w:val="3"/>
    </w:lvl>
  </w:abstractNum>
  <w:abstractNum w:abstractNumId="6">
    <w:nsid w:val="597B4D84"/>
    <w:multiLevelType w:val="hybridMultilevel"/>
    <w:lvl w:ilvl="0">
      <w:lvlJc w:val="left"/>
      <w:lvlText w:val="•"/>
      <w:numFmt w:val="bullet"/>
      <w:start w:val="1"/>
    </w:lvl>
  </w:abstractNum>
  <w:abstractNum w:abstractNumId="7">
    <w:nsid w:val="F819E7F"/>
    <w:multiLevelType w:val="hybridMultilevel"/>
    <w:lvl w:ilvl="0">
      <w:lvlJc w:val="left"/>
      <w:lvlText w:val="•"/>
      <w:numFmt w:val="bullet"/>
      <w:start w:val="1"/>
    </w:lvl>
  </w:abstractNum>
  <w:abstractNum w:abstractNumId="8">
    <w:nsid w:val="57C7D42D"/>
    <w:multiLevelType w:val="hybridMultilevel"/>
    <w:lvl w:ilvl="0">
      <w:lvlJc w:val="left"/>
      <w:lvlText w:val="•"/>
      <w:numFmt w:val="bullet"/>
      <w:start w:val="1"/>
    </w:lvl>
  </w:abstractNum>
  <w:abstractNum w:abstractNumId="9">
    <w:nsid w:val="312167AD"/>
    <w:multiLevelType w:val="hybridMultilevel"/>
    <w:lvl w:ilvl="0">
      <w:lvlJc w:val="left"/>
      <w:lvlText w:val="(%1)"/>
      <w:numFmt w:val="decimal"/>
      <w:start w:val="1"/>
    </w:lvl>
  </w:abstractNum>
  <w:abstractNum w:abstractNumId="10">
    <w:nsid w:val="631B64D4"/>
    <w:multiLevelType w:val="hybridMultilevel"/>
    <w:lvl w:ilvl="0">
      <w:lvlJc w:val="left"/>
      <w:lvlText w:val="(%1)"/>
      <w:numFmt w:val="decimal"/>
      <w:start w:val="1"/>
    </w:lvl>
  </w:abstractNum>
  <w:abstractNum w:abstractNumId="11">
    <w:nsid w:val="78B5E776"/>
    <w:multiLevelType w:val="hybridMultilevel"/>
    <w:lvl w:ilvl="0">
      <w:lvlJc w:val="left"/>
      <w:lvlText w:val="(%1)"/>
      <w:numFmt w:val="decimal"/>
      <w:start w:val="8"/>
    </w:lvl>
  </w:abstractNum>
  <w:abstractNum w:abstractNumId="12">
    <w:nsid w:val="75486E47"/>
    <w:multiLevelType w:val="hybridMultilevel"/>
    <w:lvl w:ilvl="0">
      <w:lvlJc w:val="left"/>
      <w:lvlText w:val="•"/>
      <w:numFmt w:val="bullet"/>
      <w:start w:val="1"/>
    </w:lvl>
  </w:abstractNum>
  <w:abstractNum w:abstractNumId="13">
    <w:nsid w:val="6E534CDE"/>
    <w:multiLevelType w:val="hybridMultilevel"/>
    <w:lvl w:ilvl="0">
      <w:lvlJc w:val="left"/>
      <w:lvlText w:val="•"/>
      <w:numFmt w:val="bullet"/>
      <w:start w:val="1"/>
    </w:lvl>
  </w:abstractNum>
  <w:abstractNum w:abstractNumId="14">
    <w:nsid w:val="1A0DDE32"/>
    <w:multiLevelType w:val="hybridMultilevel"/>
    <w:lvl w:ilvl="0">
      <w:lvlJc w:val="left"/>
      <w:lvlText w:val="•"/>
      <w:numFmt w:val="bullet"/>
      <w:start w:val="1"/>
    </w:lvl>
  </w:abstractNum>
  <w:abstractNum w:abstractNumId="15">
    <w:nsid w:val="65968C1C"/>
    <w:multiLevelType w:val="hybridMultilevel"/>
    <w:lvl w:ilvl="0">
      <w:lvlJc w:val="left"/>
      <w:lvlText w:val="•"/>
      <w:numFmt w:val="bullet"/>
      <w:start w:val="1"/>
    </w:lvl>
  </w:abstractNum>
  <w:abstractNum w:abstractNumId="16">
    <w:nsid w:val="46263DEC"/>
    <w:multiLevelType w:val="hybridMultilevel"/>
    <w:lvl w:ilvl="0">
      <w:lvlJc w:val="left"/>
      <w:lvlText w:val="•"/>
      <w:numFmt w:val="bullet"/>
      <w:start w:val="1"/>
    </w:lvl>
  </w:abstractNum>
  <w:abstractNum w:abstractNumId="17">
    <w:nsid w:val="260D8C4A"/>
    <w:multiLevelType w:val="hybridMultilevel"/>
    <w:lvl w:ilvl="0">
      <w:lvlJc w:val="left"/>
      <w:lvlText w:val="•"/>
      <w:numFmt w:val="bullet"/>
      <w:start w:val="1"/>
    </w:lvl>
  </w:abstractNum>
  <w:abstractNum w:abstractNumId="18">
    <w:nsid w:val="73D4D3C4"/>
    <w:multiLevelType w:val="hybridMultilevel"/>
    <w:lvl w:ilvl="0">
      <w:lvlJc w:val="left"/>
      <w:lvlText w:val="•"/>
      <w:numFmt w:val="bullet"/>
      <w:start w:val="1"/>
    </w:lvl>
  </w:abstractNum>
  <w:abstractNum w:abstractNumId="19">
    <w:nsid w:val="746F2E30"/>
    <w:multiLevelType w:val="hybridMultilevel"/>
    <w:lvl w:ilvl="0">
      <w:lvlJc w:val="left"/>
      <w:lvlText w:val="•"/>
      <w:numFmt w:val="bullet"/>
      <w:start w:val="1"/>
    </w:lvl>
  </w:abstractNum>
  <w:abstractNum w:abstractNumId="20">
    <w:nsid w:val="6FDE8AF6"/>
    <w:multiLevelType w:val="hybridMultilevel"/>
    <w:lvl w:ilvl="0">
      <w:lvlJc w:val="left"/>
      <w:lvlText w:val="•"/>
      <w:numFmt w:val="bullet"/>
      <w:start w:val="1"/>
    </w:lvl>
  </w:abstractNum>
  <w:abstractNum w:abstractNumId="21">
    <w:nsid w:val="3FC32E20"/>
    <w:multiLevelType w:val="hybridMultilevel"/>
    <w:lvl w:ilvl="0">
      <w:lvlJc w:val="left"/>
      <w:lvlText w:val="•"/>
      <w:numFmt w:val="bullet"/>
      <w:start w:val="1"/>
    </w:lvl>
  </w:abstractNum>
  <w:abstractNum w:abstractNumId="22">
    <w:nsid w:val="49C0E823"/>
    <w:multiLevelType w:val="hybridMultilevel"/>
    <w:lvl w:ilvl="0">
      <w:lvlJc w:val="left"/>
      <w:lvlText w:val="•"/>
      <w:numFmt w:val="bullet"/>
      <w:start w:val="1"/>
    </w:lvl>
  </w:abstractNum>
  <w:abstractNum w:abstractNumId="23">
    <w:nsid w:val="14D53685"/>
    <w:multiLevelType w:val="hybridMultilevel"/>
    <w:lvl w:ilvl="0">
      <w:lvlJc w:val="left"/>
      <w:lvlText w:val="•"/>
      <w:numFmt w:val="bullet"/>
      <w:start w:val="1"/>
    </w:lvl>
  </w:abstractNum>
  <w:abstractNum w:abstractNumId="24">
    <w:nsid w:val="230F856C"/>
    <w:multiLevelType w:val="hybridMultilevel"/>
    <w:lvl w:ilvl="0">
      <w:lvlJc w:val="left"/>
      <w:lvlText w:val="•"/>
      <w:numFmt w:val="bullet"/>
      <w:start w:val="1"/>
    </w:lvl>
  </w:abstractNum>
  <w:abstractNum w:abstractNumId="25">
    <w:nsid w:val="6EAA85FB"/>
    <w:multiLevelType w:val="hybridMultilevel"/>
    <w:lvl w:ilvl="0">
      <w:lvlJc w:val="left"/>
      <w:lvlText w:val="•"/>
      <w:numFmt w:val="bullet"/>
      <w:start w:val="1"/>
    </w:lvl>
  </w:abstractNum>
  <w:abstractNum w:abstractNumId="26">
    <w:nsid w:val="3F06ECB2"/>
    <w:multiLevelType w:val="hybridMultilevel"/>
    <w:lvl w:ilvl="0">
      <w:lvlJc w:val="left"/>
      <w:lvlText w:val="•"/>
      <w:numFmt w:val="bullet"/>
      <w:start w:val="1"/>
    </w:lvl>
  </w:abstractNum>
  <w:abstractNum w:abstractNumId="27">
    <w:nsid w:val="3B594807"/>
    <w:multiLevelType w:val="hybridMultilevel"/>
    <w:lvl w:ilvl="0">
      <w:lvlJc w:val="left"/>
      <w:lvlText w:val="•"/>
      <w:numFmt w:val="bullet"/>
      <w:start w:val="1"/>
    </w:lvl>
  </w:abstractNum>
  <w:abstractNum w:abstractNumId="28">
    <w:nsid w:val="6CAA2304"/>
    <w:multiLevelType w:val="hybridMultilevel"/>
    <w:lvl w:ilvl="0">
      <w:lvlJc w:val="left"/>
      <w:lvlText w:val="•"/>
      <w:numFmt w:val="bullet"/>
      <w:start w:val="1"/>
    </w:lvl>
  </w:abstractNum>
  <w:abstractNum w:abstractNumId="29">
    <w:nsid w:val="3F7C2FF4"/>
    <w:multiLevelType w:val="hybridMultilevel"/>
    <w:lvl w:ilvl="0">
      <w:lvlJc w:val="left"/>
      <w:lvlText w:val="(%1)"/>
      <w:numFmt w:val="lowerRoman"/>
      <w:start w:val="1"/>
    </w:lvl>
  </w:abstractNum>
  <w:abstractNum w:abstractNumId="30">
    <w:nsid w:val="25413BEC"/>
    <w:multiLevelType w:val="hybridMultilevel"/>
    <w:lvl w:ilvl="0">
      <w:lvlJc w:val="left"/>
      <w:lvlText w:val="*"/>
      <w:numFmt w:val="bullet"/>
      <w:start w:val="1"/>
    </w:lvl>
  </w:abstractNum>
  <w:abstractNum w:abstractNumId="31">
    <w:nsid w:val="17180B0B"/>
    <w:multiLevelType w:val="hybridMultilevel"/>
    <w:lvl w:ilvl="0">
      <w:lvlJc w:val="left"/>
      <w:lvlText w:val="**"/>
      <w:numFmt w:val="bullet"/>
      <w:start w:val="1"/>
    </w:lvl>
  </w:abstractNum>
  <w:abstractNum w:abstractNumId="32">
    <w:nsid w:val="579328B9"/>
    <w:multiLevelType w:val="hybridMultilevel"/>
    <w:lvl w:ilvl="0">
      <w:lvlJc w:val="left"/>
      <w:lvlText w:val="*"/>
      <w:numFmt w:val="bullet"/>
      <w:start w:val="1"/>
    </w:lvl>
  </w:abstractNum>
  <w:abstractNum w:abstractNumId="33">
    <w:nsid w:val="5D205E2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4">
    <w:nsid w:val="11CCA8BA"/>
    <w:multiLevelType w:val="hybridMultilevel"/>
    <w:lvl w:ilvl="0">
      <w:lvlJc w:val="left"/>
      <w:lvlText w:val="(%1)"/>
      <w:numFmt w:val="decimal"/>
      <w:start w:val="2"/>
    </w:lvl>
    <w:lvl w:ilvl="1">
      <w:lvlJc w:val="left"/>
      <w:lvlText w:val="(%2)"/>
      <w:numFmt w:val="lowerRoman"/>
      <w:start w:val="1"/>
    </w:lvl>
  </w:abstractNum>
  <w:abstractNum w:abstractNumId="35">
    <w:nsid w:val="4D32AB86"/>
    <w:multiLevelType w:val="hybridMultilevel"/>
    <w:lvl w:ilvl="0">
      <w:lvlJc w:val="left"/>
      <w:lvlText w:val="(%1)"/>
      <w:numFmt w:val="decimal"/>
      <w:start w:val="7"/>
    </w:lvl>
    <w:lvl w:ilvl="1">
      <w:lvlJc w:val="left"/>
      <w:lvlText w:val="(%2)"/>
      <w:numFmt w:val="lowerRoman"/>
      <w:start w:val="1"/>
    </w:lvl>
  </w:abstractNum>
  <w:abstractNum w:abstractNumId="36">
    <w:nsid w:val="3F07ACC3"/>
    <w:multiLevelType w:val="hybridMultilevel"/>
    <w:lvl w:ilvl="0">
      <w:lvlJc w:val="left"/>
      <w:lvlText w:val="(%1)"/>
      <w:numFmt w:val="lowerLetter"/>
      <w:start w:val="1"/>
    </w:lvl>
  </w:abstractNum>
  <w:abstractNum w:abstractNumId="37">
    <w:nsid w:val="6B47F63E"/>
    <w:multiLevelType w:val="hybridMultilevel"/>
    <w:lvl w:ilvl="0">
      <w:lvlJc w:val="left"/>
      <w:lvlText w:val="(%1)"/>
      <w:numFmt w:val="decimal"/>
      <w:start w:val="1"/>
    </w:lvl>
  </w:abstractNum>
  <w:abstractNum w:abstractNumId="38">
    <w:nsid w:val="5CB44A05"/>
    <w:multiLevelType w:val="hybridMultilevel"/>
    <w:lvl w:ilvl="0">
      <w:lvlJc w:val="left"/>
      <w:lvlText w:val="(%1)"/>
      <w:numFmt w:val="decimal"/>
      <w:start w:val="1"/>
    </w:lvl>
  </w:abstractNum>
  <w:abstractNum w:abstractNumId="39">
    <w:nsid w:val="16CF80F1"/>
    <w:multiLevelType w:val="hybridMultilevel"/>
    <w:lvl w:ilvl="0">
      <w:lvlJc w:val="left"/>
      <w:lvlText w:val="(%1)"/>
      <w:numFmt w:val="decimal"/>
      <w:start w:val="1"/>
    </w:lvl>
  </w:abstractNum>
  <w:abstractNum w:abstractNumId="40">
    <w:nsid w:val="1C695DEC"/>
    <w:multiLevelType w:val="hybridMultilevel"/>
    <w:lvl w:ilvl="0">
      <w:lvlJc w:val="left"/>
      <w:lvlText w:val="(%1)"/>
      <w:numFmt w:val="decimal"/>
      <w:start w:val="2"/>
    </w:lvl>
  </w:abstractNum>
  <w:abstractNum w:abstractNumId="41">
    <w:nsid w:val="3FCFAED9"/>
    <w:multiLevelType w:val="hybridMultilevel"/>
    <w:lvl w:ilvl="0">
      <w:lvlJc w:val="left"/>
      <w:lvlText w:val="(%1)"/>
      <w:numFmt w:val="decimal"/>
      <w:start w:val="1"/>
    </w:lvl>
  </w:abstractNum>
  <w:abstractNum w:abstractNumId="42">
    <w:nsid w:val="F856867"/>
    <w:multiLevelType w:val="hybridMultilevel"/>
    <w:lvl w:ilvl="0">
      <w:lvlJc w:val="left"/>
      <w:lvlText w:val="(%1)"/>
      <w:numFmt w:val="decimal"/>
      <w:start w:val="1"/>
    </w:lvl>
    <w:lvl w:ilvl="1">
      <w:lvlJc w:val="left"/>
      <w:lvlText w:val="(%2)"/>
      <w:numFmt w:val="upperLetter"/>
      <w:start w:val="1"/>
    </w:lvl>
  </w:abstractNum>
  <w:abstractNum w:abstractNumId="43">
    <w:nsid w:val="11B1CC33"/>
    <w:multiLevelType w:val="hybridMultilevel"/>
    <w:lvl w:ilvl="0">
      <w:lvlJc w:val="left"/>
      <w:lvlText w:val="(%1)"/>
      <w:numFmt w:val="decimal"/>
      <w:start w:val="3"/>
    </w:lvl>
  </w:abstractNum>
  <w:abstractNum w:abstractNumId="44">
    <w:nsid w:val="2E22FBB7"/>
    <w:multiLevelType w:val="hybridMultilevel"/>
    <w:lvl w:ilvl="0">
      <w:lvlJc w:val="left"/>
      <w:lvlText w:val="(%1)"/>
      <w:numFmt w:val="decimal"/>
      <w:start w:val="1"/>
    </w:lvl>
  </w:abstractNum>
  <w:abstractNum w:abstractNumId="45">
    <w:nsid w:val="29934699"/>
    <w:multiLevelType w:val="hybridMultilevel"/>
    <w:lvl w:ilvl="0">
      <w:lvlJc w:val="left"/>
      <w:lvlText w:val="(%1)"/>
      <w:numFmt w:val="decimal"/>
      <w:start w:val="2"/>
    </w:lvl>
  </w:abstractNum>
  <w:abstractNum w:abstractNumId="46">
    <w:nsid w:val="77485850"/>
    <w:multiLevelType w:val="hybridMultilevel"/>
    <w:lvl w:ilvl="0">
      <w:lvlJc w:val="left"/>
      <w:lvlText w:val="(%1)"/>
      <w:numFmt w:val="lowerRoman"/>
      <w:start w:val="2"/>
    </w:lvl>
  </w:abstractNum>
  <w:abstractNum w:abstractNumId="47">
    <w:nsid w:val="744939A3"/>
    <w:multiLevelType w:val="hybridMultilevel"/>
    <w:lvl w:ilvl="0">
      <w:lvlJc w:val="left"/>
      <w:lvlText w:val="(%1)"/>
      <w:numFmt w:val="decimal"/>
      <w:start w:val="1"/>
    </w:lvl>
  </w:abstractNum>
  <w:abstractNum w:abstractNumId="48">
    <w:nsid w:val="4FA0D2E3"/>
    <w:multiLevelType w:val="hybridMultilevel"/>
    <w:lvl w:ilvl="0">
      <w:lvlJc w:val="left"/>
      <w:lvlText w:val="(%1)"/>
      <w:numFmt w:val="lowerLetter"/>
      <w:start w:val="1"/>
    </w:lvl>
  </w:abstractNum>
  <w:abstractNum w:abstractNumId="49">
    <w:nsid w:val="6B1D2C14"/>
    <w:multiLevelType w:val="hybridMultilevel"/>
    <w:lvl w:ilvl="0">
      <w:lvlJc w:val="left"/>
      <w:lvlText w:val="(%1)"/>
      <w:numFmt w:val="lowerLetter"/>
      <w:start w:val="1"/>
    </w:lvl>
  </w:abstractNum>
  <w:abstractNum w:abstractNumId="50">
    <w:nsid w:val="68B867D3"/>
    <w:multiLevelType w:val="hybridMultilevel"/>
    <w:lvl w:ilvl="0">
      <w:lvlJc w:val="left"/>
      <w:lvlText w:val="(%1)"/>
      <w:numFmt w:val="lowerLetter"/>
      <w:start w:val="9"/>
    </w:lvl>
  </w:abstractNum>
  <w:abstractNum w:abstractNumId="51">
    <w:nsid w:val="3F7F5DD9"/>
    <w:multiLevelType w:val="hybridMultilevel"/>
    <w:lvl w:ilvl="0">
      <w:lvlJc w:val="left"/>
      <w:lvlText w:val="(%1)"/>
      <w:numFmt w:val="lowerLetter"/>
      <w:start w:val="27"/>
    </w:lvl>
  </w:abstractNum>
  <w:abstractNum w:abstractNumId="52">
    <w:nsid w:val="2AE05A34"/>
    <w:multiLevelType w:val="hybridMultilevel"/>
    <w:lvl w:ilvl="0">
      <w:lvlJc w:val="left"/>
      <w:lvlText w:val="(%1)"/>
      <w:numFmt w:val="lowerLetter"/>
      <w:start w:val="1"/>
    </w:lvl>
  </w:abstractNum>
  <w:abstractNum w:abstractNumId="53">
    <w:nsid w:val="32794FF7"/>
    <w:multiLevelType w:val="hybridMultilevel"/>
    <w:lvl w:ilvl="0">
      <w:lvlJc w:val="left"/>
      <w:lvlText w:val="(%1)"/>
      <w:numFmt w:val="decimal"/>
      <w:start w:val="1"/>
    </w:lvl>
  </w:abstractNum>
  <w:abstractNum w:abstractNumId="54">
    <w:nsid w:val="5454945E"/>
    <w:multiLevelType w:val="hybridMultilevel"/>
    <w:lvl w:ilvl="0">
      <w:lvlJc w:val="left"/>
      <w:lvlText w:val="(%1)"/>
      <w:numFmt w:val="decimal"/>
      <w:start w:val="3"/>
    </w:lvl>
  </w:abstractNum>
  <w:abstractNum w:abstractNumId="55">
    <w:nsid w:val="4DEFDFA0"/>
    <w:multiLevelType w:val="hybridMultilevel"/>
    <w:lvl w:ilvl="0">
      <w:lvlJc w:val="left"/>
      <w:lvlText w:val="(%1)"/>
      <w:numFmt w:val="lowerLetter"/>
      <w:start w:val="7"/>
    </w:lvl>
  </w:abstractNum>
  <w:abstractNum w:abstractNumId="56">
    <w:nsid w:val="2123D5F2"/>
    <w:multiLevelType w:val="hybridMultilevel"/>
    <w:lvl w:ilvl="0">
      <w:lvlJc w:val="left"/>
      <w:lvlText w:val="(%1)"/>
      <w:numFmt w:val="lowerLetter"/>
      <w:start w:val="1"/>
    </w:lvl>
  </w:abstractNum>
  <w:abstractNum w:abstractNumId="57">
    <w:nsid w:val="135B8110"/>
    <w:multiLevelType w:val="hybridMultilevel"/>
    <w:lvl w:ilvl="0">
      <w:lvlJc w:val="left"/>
      <w:lvlText w:val="(%1)"/>
      <w:numFmt w:val="lowerLetter"/>
      <w:start w:val="2"/>
    </w:lvl>
  </w:abstractNum>
  <w:abstractNum w:abstractNumId="58">
    <w:nsid w:val="94927A8"/>
    <w:multiLevelType w:val="hybridMultilevel"/>
    <w:lvl w:ilvl="0">
      <w:lvlJc w:val="left"/>
      <w:lvlText w:val="(%1)"/>
      <w:numFmt w:val="lowerLetter"/>
      <w:start w:val="1"/>
    </w:lvl>
  </w:abstractNum>
  <w:abstractNum w:abstractNumId="59">
    <w:nsid w:val="DCDF8F6"/>
    <w:multiLevelType w:val="hybridMultilevel"/>
    <w:lvl w:ilvl="0">
      <w:lvlJc w:val="left"/>
      <w:lvlText w:val="(%1)"/>
      <w:numFmt w:val="lowerLetter"/>
      <w:start w:val="1"/>
    </w:lvl>
  </w:abstractNum>
  <w:abstractNum w:abstractNumId="60">
    <w:nsid w:val="52D7B105"/>
    <w:multiLevelType w:val="hybridMultilevel"/>
    <w:lvl w:ilvl="0">
      <w:lvlJc w:val="left"/>
      <w:lvlText w:val="(%1)"/>
      <w:numFmt w:val="lowerLetter"/>
      <w:start w:val="2"/>
    </w:lvl>
  </w:abstractNum>
  <w:abstractNum w:abstractNumId="61">
    <w:nsid w:val="2E8A6394"/>
    <w:multiLevelType w:val="hybridMultilevel"/>
    <w:lvl w:ilvl="0">
      <w:lvlJc w:val="left"/>
      <w:lvlText w:val="(%1)"/>
      <w:numFmt w:val="decimal"/>
      <w:start w:val="1"/>
    </w:lvl>
  </w:abstractNum>
  <w:abstractNum w:abstractNumId="62">
    <w:nsid w:val="24E60401"/>
    <w:multiLevelType w:val="hybridMultilevel"/>
    <w:lvl w:ilvl="0">
      <w:lvlJc w:val="left"/>
      <w:lvlText w:val="(%1)"/>
      <w:numFmt w:val="decimal"/>
      <w:start w:val="2"/>
    </w:lvl>
    <w:lvl w:ilvl="1">
      <w:lvlJc w:val="left"/>
      <w:lvlText w:val="(%2)"/>
      <w:numFmt w:val="upperLetter"/>
      <w:start w:val="1"/>
    </w:lvl>
  </w:abstractNum>
  <w:abstractNum w:abstractNumId="63">
    <w:nsid w:val="2A6AD9BE"/>
    <w:multiLevelType w:val="hybridMultilevel"/>
    <w:lvl w:ilvl="0">
      <w:lvlJc w:val="left"/>
      <w:lvlText w:val="%1"/>
      <w:numFmt w:val="lowerLetter"/>
      <w:start w:val="1"/>
    </w:lvl>
    <w:lvl w:ilvl="1">
      <w:lvlJc w:val="left"/>
      <w:lvlText w:val="(%2)"/>
      <w:numFmt w:val="decimal"/>
      <w:start w:val="5"/>
    </w:lvl>
  </w:abstractNum>
  <w:abstractNum w:abstractNumId="64">
    <w:nsid w:val="BAAC1B4"/>
    <w:multiLevelType w:val="hybridMultilevel"/>
    <w:lvl w:ilvl="0">
      <w:lvlJc w:val="left"/>
      <w:lvlText w:val="(%1)"/>
      <w:numFmt w:val="lowerLetter"/>
      <w:start w:val="6"/>
    </w:lvl>
    <w:lvl w:ilvl="1">
      <w:lvlJc w:val="left"/>
      <w:lvlText w:val="%2"/>
      <w:numFmt w:val="decimal"/>
      <w:start w:val="1"/>
    </w:lvl>
  </w:abstractNum>
  <w:abstractNum w:abstractNumId="65">
    <w:nsid w:val="36B2ACBC"/>
    <w:multiLevelType w:val="hybridMultilevel"/>
    <w:lvl w:ilvl="0">
      <w:lvlJc w:val="left"/>
      <w:lvlText w:val="(%1)"/>
      <w:numFmt w:val="lowerLetter"/>
      <w:start w:val="1"/>
    </w:lvl>
    <w:lvl w:ilvl="1">
      <w:lvlJc w:val="left"/>
      <w:lvlText w:val="(%2)"/>
      <w:numFmt w:val="lowerLetter"/>
      <w:start w:val="9"/>
    </w:lvl>
  </w:abstractNum>
  <w:abstractNum w:abstractNumId="66">
    <w:nsid w:val="779D8544"/>
    <w:multiLevelType w:val="hybridMultilevel"/>
    <w:lvl w:ilvl="0">
      <w:lvlJc w:val="left"/>
      <w:lvlText w:val="(%1)"/>
      <w:numFmt w:val="lowerRoman"/>
      <w:start w:val="2"/>
    </w:lvl>
  </w:abstractNum>
  <w:abstractNum w:abstractNumId="67">
    <w:nsid w:val="4AB26E78"/>
    <w:multiLevelType w:val="hybridMultilevel"/>
    <w:lvl w:ilvl="0">
      <w:lvlJc w:val="left"/>
      <w:lvlText w:val="(%1)"/>
      <w:numFmt w:val="lowerLetter"/>
      <w:start w:val="1"/>
    </w:lvl>
  </w:abstractNum>
  <w:abstractNum w:abstractNumId="68">
    <w:nsid w:val="21FAA2FA"/>
    <w:multiLevelType w:val="hybridMultilevel"/>
    <w:lvl w:ilvl="0">
      <w:lvlJc w:val="left"/>
      <w:lvlText w:val="(%1)"/>
      <w:numFmt w:val="decimal"/>
      <w:start w:val="1"/>
    </w:lvl>
  </w:abstractNum>
  <w:abstractNum w:abstractNumId="69">
    <w:nsid w:val="5451CF49"/>
    <w:multiLevelType w:val="hybridMultilevel"/>
    <w:lvl w:ilvl="0">
      <w:lvlJc w:val="left"/>
      <w:lvlText w:val="(%1)"/>
      <w:numFmt w:val="decimal"/>
      <w:start w:val="5"/>
    </w:lvl>
  </w:abstractNum>
  <w:abstractNum w:abstractNumId="70">
    <w:nsid w:val="6181EF69"/>
    <w:multiLevelType w:val="hybridMultilevel"/>
    <w:lvl w:ilvl="0">
      <w:lvlJc w:val="left"/>
      <w:lvlText w:val="(%1)"/>
      <w:numFmt w:val="lowerLetter"/>
      <w:start w:val="1"/>
    </w:lvl>
  </w:abstractNum>
  <w:abstractNum w:abstractNumId="71">
    <w:nsid w:val="3E6400E6"/>
    <w:multiLevelType w:val="hybridMultilevel"/>
    <w:lvl w:ilvl="0">
      <w:lvlJc w:val="left"/>
      <w:lvlText w:val="(%1)"/>
      <w:numFmt w:val="lowerLetter"/>
      <w:start w:val="1"/>
    </w:lvl>
  </w:abstractNum>
  <w:abstractNum w:abstractNumId="72">
    <w:nsid w:val="14217E23"/>
    <w:multiLevelType w:val="hybridMultilevel"/>
    <w:lvl w:ilvl="0">
      <w:lvlJc w:val="left"/>
      <w:lvlText w:val="(%1)"/>
      <w:numFmt w:val="lowerLetter"/>
      <w:start w:val="1"/>
    </w:lvl>
    <w:lvl w:ilvl="1">
      <w:lvlJc w:val="left"/>
      <w:lvlText w:val="(%2)"/>
      <w:numFmt w:val="decimal"/>
      <w:start w:val="1"/>
    </w:lvl>
  </w:abstractNum>
  <w:abstractNum w:abstractNumId="73">
    <w:nsid w:val="710757D0"/>
    <w:multiLevelType w:val="hybridMultilevel"/>
    <w:lvl w:ilvl="0">
      <w:lvlJc w:val="left"/>
      <w:lvlText w:val="(%1)"/>
      <w:numFmt w:val="decimal"/>
      <w:start w:val="1"/>
    </w:lvl>
  </w:abstractNum>
  <w:abstractNum w:abstractNumId="74">
    <w:nsid w:val="5015CD1A"/>
    <w:multiLevelType w:val="hybridMultilevel"/>
    <w:lvl w:ilvl="0">
      <w:lvlJc w:val="left"/>
      <w:lvlText w:val="(%1)"/>
      <w:numFmt w:val="decimal"/>
      <w:start w:val="5"/>
    </w:lvl>
    <w:lvl w:ilvl="1">
      <w:lvlJc w:val="left"/>
      <w:lvlText w:val="(%2)"/>
      <w:numFmt w:val="upperLetter"/>
      <w:start w:val="1"/>
    </w:lvl>
  </w:abstractNum>
  <w:abstractNum w:abstractNumId="75">
    <w:nsid w:val="424479DA"/>
    <w:multiLevelType w:val="hybridMultilevel"/>
    <w:lvl w:ilvl="0">
      <w:lvlJc w:val="left"/>
      <w:lvlText w:val="(%1)"/>
      <w:numFmt w:val="decimal"/>
      <w:start w:val="9"/>
    </w:lvl>
    <w:lvl w:ilvl="1">
      <w:lvlJc w:val="left"/>
      <w:lvlText w:val="(%2)"/>
      <w:numFmt w:val="upperLetter"/>
      <w:start w:val="1"/>
    </w:lvl>
  </w:abstractNum>
  <w:abstractNum w:abstractNumId="76">
    <w:nsid w:val="1A9A9E69"/>
    <w:multiLevelType w:val="hybridMultilevel"/>
    <w:lvl w:ilvl="0">
      <w:lvlJc w:val="left"/>
      <w:lvlText w:val="(%1)"/>
      <w:numFmt w:val="decimal"/>
      <w:start w:val="10"/>
    </w:lvl>
  </w:abstractNum>
  <w:abstractNum w:abstractNumId="77">
    <w:nsid w:val="475E256A"/>
    <w:multiLevelType w:val="hybridMultilevel"/>
    <w:lvl w:ilvl="0">
      <w:lvlJc w:val="left"/>
      <w:lvlText w:val="(%1)"/>
      <w:numFmt w:val="decimal"/>
      <w:start w:val="1"/>
    </w:lvl>
  </w:abstractNum>
  <w:abstractNum w:abstractNumId="78">
    <w:nsid w:val="368DB37E"/>
    <w:multiLevelType w:val="hybridMultilevel"/>
    <w:lvl w:ilvl="0">
      <w:lvlJc w:val="left"/>
      <w:lvlText w:val="(%1)"/>
      <w:numFmt w:val="lowerLetter"/>
      <w:start w:val="1"/>
    </w:lvl>
    <w:lvl w:ilvl="1">
      <w:lvlJc w:val="left"/>
      <w:lvlText w:val="(%2)"/>
      <w:numFmt w:val="decimal"/>
      <w:start w:val="1"/>
    </w:lvl>
  </w:abstractNum>
  <w:abstractNum w:abstractNumId="79">
    <w:nsid w:val="6A3B714C"/>
    <w:multiLevelType w:val="hybridMultilevel"/>
    <w:lvl w:ilvl="0">
      <w:lvlJc w:val="left"/>
      <w:lvlText w:val="(%1)"/>
      <w:numFmt w:val="lowerLetter"/>
      <w:start w:val="4"/>
    </w:lvl>
  </w:abstractNum>
  <w:abstractNum w:abstractNumId="80">
    <w:nsid w:val="327B517E"/>
    <w:multiLevelType w:val="hybridMultilevel"/>
    <w:lvl w:ilvl="0">
      <w:lvlJc w:val="left"/>
      <w:lvlText w:val="(%1)"/>
      <w:numFmt w:val="lowerLetter"/>
      <w:start w:val="1"/>
    </w:lvl>
  </w:abstractNum>
  <w:abstractNum w:abstractNumId="81">
    <w:nsid w:val="1F461B51"/>
    <w:multiLevelType w:val="hybridMultilevel"/>
    <w:lvl w:ilvl="0">
      <w:lvlJc w:val="left"/>
      <w:lvlText w:val="(%1)"/>
      <w:numFmt w:val="lowerLetter"/>
      <w:start w:val="10"/>
    </w:lvl>
  </w:abstractNum>
  <w:abstractNum w:abstractNumId="82">
    <w:nsid w:val="29BACF25"/>
    <w:multiLevelType w:val="hybridMultilevel"/>
    <w:lvl w:ilvl="0">
      <w:lvlJc w:val="left"/>
      <w:lvlText w:val="(%1)"/>
      <w:numFmt w:val="lowerLetter"/>
      <w:start w:val="1"/>
    </w:lvl>
  </w:abstractNum>
  <w:abstractNum w:abstractNumId="83">
    <w:nsid w:val="5D5BABB3"/>
    <w:multiLevelType w:val="hybridMultilevel"/>
    <w:lvl w:ilvl="0">
      <w:lvlJc w:val="left"/>
      <w:lvlText w:val="(%1)"/>
      <w:numFmt w:val="lowerLetter"/>
      <w:start w:val="1"/>
    </w:lvl>
    <w:lvl w:ilvl="1">
      <w:lvlJc w:val="left"/>
      <w:lvlText w:val="(%2)"/>
      <w:numFmt w:val="decimal"/>
      <w:start w:val="1"/>
    </w:lvl>
  </w:abstractNum>
  <w:abstractNum w:abstractNumId="84">
    <w:nsid w:val="51BF6B48"/>
    <w:multiLevelType w:val="hybridMultilevel"/>
    <w:lvl w:ilvl="0">
      <w:lvlJc w:val="left"/>
      <w:lvlText w:val="(%1)"/>
      <w:numFmt w:val="decimal"/>
      <w:start w:val="1"/>
    </w:lvl>
  </w:abstractNum>
  <w:abstractNum w:abstractNumId="85">
    <w:nsid w:val="7E0F6384"/>
    <w:multiLevelType w:val="hybridMultilevel"/>
    <w:lvl w:ilvl="0">
      <w:lvlJc w:val="left"/>
      <w:lvlText w:val="(%1)"/>
      <w:numFmt w:val="decimal"/>
      <w:start w:val="4"/>
    </w:lvl>
  </w:abstractNum>
  <w:abstractNum w:abstractNumId="86">
    <w:nsid w:val="2B4B8B53"/>
    <w:multiLevelType w:val="hybridMultilevel"/>
    <w:lvl w:ilvl="0">
      <w:lvlJc w:val="left"/>
      <w:lvlText w:val="(%1)"/>
      <w:numFmt w:val="lowerLetter"/>
      <w:start w:val="1"/>
    </w:lvl>
    <w:lvl w:ilvl="1">
      <w:lvlJc w:val="left"/>
      <w:lvlText w:val="(%2)"/>
      <w:numFmt w:val="decimal"/>
      <w:start w:val="1"/>
    </w:lvl>
  </w:abstractNum>
  <w:abstractNum w:abstractNumId="87">
    <w:nsid w:val="72E3413A"/>
    <w:multiLevelType w:val="hybridMultilevel"/>
    <w:lvl w:ilvl="0">
      <w:lvlJc w:val="left"/>
      <w:lvlText w:val="(%1)"/>
      <w:numFmt w:val="lowerLetter"/>
      <w:start w:val="5"/>
    </w:lvl>
  </w:abstractNum>
  <w:abstractNum w:abstractNumId="88">
    <w:nsid w:val="116AE49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89">
    <w:nsid w:val="3494B2FB"/>
    <w:multiLevelType w:val="hybridMultilevel"/>
    <w:lvl w:ilvl="0">
      <w:lvlJc w:val="left"/>
      <w:lvlText w:val="(%1)"/>
      <w:numFmt w:val="lowerLetter"/>
      <w:start w:val="2"/>
    </w:lvl>
    <w:lvl w:ilvl="1">
      <w:lvlJc w:val="left"/>
      <w:lvlText w:val="(%2)"/>
      <w:numFmt w:val="decimal"/>
      <w:start w:val="1"/>
    </w:lvl>
  </w:abstractNum>
  <w:abstractNum w:abstractNumId="90">
    <w:nsid w:val="B13A31"/>
    <w:multiLevelType w:val="hybridMultilevel"/>
    <w:lvl w:ilvl="0">
      <w:lvlJc w:val="left"/>
      <w:lvlText w:val="(%1)"/>
      <w:numFmt w:val="lowerLetter"/>
      <w:start w:val="3"/>
    </w:lvl>
  </w:abstractNum>
  <w:abstractNum w:abstractNumId="91">
    <w:nsid w:val="64429599"/>
    <w:multiLevelType w:val="hybridMultilevel"/>
    <w:lvl w:ilvl="0">
      <w:lvlJc w:val="left"/>
      <w:lvlText w:val="(%1)"/>
      <w:numFmt w:val="lowerLetter"/>
      <w:start w:val="1"/>
    </w:lvl>
  </w:abstractNum>
  <w:abstractNum w:abstractNumId="92">
    <w:nsid w:val="631F1690"/>
    <w:multiLevelType w:val="hybridMultilevel"/>
    <w:lvl w:ilvl="0">
      <w:lvlJc w:val="left"/>
      <w:lvlText w:val="(%1)"/>
      <w:numFmt w:val="lowerLetter"/>
      <w:start w:val="3"/>
    </w:lvl>
  </w:abstractNum>
  <w:abstractNum w:abstractNumId="93">
    <w:nsid w:val="25973E32"/>
    <w:multiLevelType w:val="hybridMultilevel"/>
    <w:lvl w:ilvl="0">
      <w:lvlJc w:val="left"/>
      <w:lvlText w:val="(%1)"/>
      <w:numFmt w:val="lowerLetter"/>
      <w:start w:val="1"/>
    </w:lvl>
  </w:abstractNum>
  <w:abstractNum w:abstractNumId="94">
    <w:nsid w:val="EAD6F57"/>
    <w:multiLevelType w:val="hybridMultilevel"/>
    <w:lvl w:ilvl="0">
      <w:lvlJc w:val="left"/>
      <w:lvlText w:val="(%1)"/>
      <w:numFmt w:val="lowerLetter"/>
      <w:start w:val="2"/>
    </w:lvl>
  </w:abstractNum>
  <w:abstractNum w:abstractNumId="95">
    <w:nsid w:val="6EC9D844"/>
    <w:multiLevelType w:val="hybridMultilevel"/>
    <w:lvl w:ilvl="0">
      <w:lvlJc w:val="left"/>
      <w:lvlText w:val="(%1)"/>
      <w:numFmt w:val="lowerLetter"/>
      <w:start w:val="3"/>
    </w:lvl>
  </w:abstractNum>
  <w:abstractNum w:abstractNumId="96">
    <w:nsid w:val="5C49EAEE"/>
    <w:multiLevelType w:val="hybridMultilevel"/>
    <w:lvl w:ilvl="0">
      <w:lvlJc w:val="left"/>
      <w:lvlText w:val="(%1)"/>
      <w:numFmt w:val="lowerLetter"/>
      <w:start w:val="6"/>
    </w:lvl>
  </w:abstractNum>
  <w:abstractNum w:abstractNumId="97">
    <w:nsid w:val="64AF49B"/>
    <w:multiLevelType w:val="hybridMultilevel"/>
    <w:lvl w:ilvl="0">
      <w:lvlJc w:val="left"/>
      <w:lvlText w:val="(%1)"/>
      <w:numFmt w:val="decimal"/>
      <w:start w:val="1"/>
    </w:lvl>
  </w:abstractNum>
  <w:abstractNum w:abstractNumId="98">
    <w:nsid w:val="397C46BC"/>
    <w:multiLevelType w:val="hybridMultilevel"/>
    <w:lvl w:ilvl="0">
      <w:lvlJc w:val="left"/>
      <w:lvlText w:val="(%1)"/>
      <w:numFmt w:val="decimal"/>
      <w:start w:val="3"/>
    </w:lvl>
  </w:abstractNum>
  <w:abstractNum w:abstractNumId="99">
    <w:nsid w:val="7E448DE9"/>
    <w:multiLevelType w:val="hybridMultilevel"/>
    <w:lvl w:ilvl="0">
      <w:lvlJc w:val="left"/>
      <w:lvlText w:val="(%1)"/>
      <w:numFmt w:val="lowerLetter"/>
      <w:start w:val="1"/>
    </w:lvl>
  </w:abstractNum>
  <w:abstractNum w:abstractNumId="100">
    <w:nsid w:val="5A9CC3E5"/>
    <w:multiLevelType w:val="hybridMultilevel"/>
    <w:lvl w:ilvl="0">
      <w:lvlJc w:val="left"/>
      <w:lvlText w:val="(%1)"/>
      <w:numFmt w:val="lowerLetter"/>
      <w:start w:val="1"/>
    </w:lvl>
  </w:abstractNum>
  <w:abstractNum w:abstractNumId="101">
    <w:nsid w:val="1AFE3625"/>
    <w:multiLevelType w:val="hybridMultilevel"/>
    <w:lvl w:ilvl="0">
      <w:lvlJc w:val="left"/>
      <w:lvlText w:val="(%1)"/>
      <w:numFmt w:val="lowerLetter"/>
      <w:start w:val="1"/>
    </w:lvl>
    <w:lvl w:ilvl="1">
      <w:lvlJc w:val="left"/>
      <w:lvlText w:val="(%2)"/>
      <w:numFmt w:val="decimal"/>
      <w:start w:val="1"/>
    </w:lvl>
  </w:abstractNum>
  <w:abstractNum w:abstractNumId="102">
    <w:nsid w:val="3CA88ECF"/>
    <w:multiLevelType w:val="hybridMultilevel"/>
    <w:lvl w:ilvl="0">
      <w:lvlJc w:val="left"/>
      <w:lvlText w:val="(%1)"/>
      <w:numFmt w:val="decimal"/>
      <w:start w:val="1"/>
    </w:lvl>
  </w:abstractNum>
  <w:abstractNum w:abstractNumId="103">
    <w:nsid w:val="6EBE4208"/>
    <w:multiLevelType w:val="hybridMultilevel"/>
    <w:lvl w:ilvl="0">
      <w:lvlJc w:val="left"/>
      <w:lvlText w:val="%1"/>
      <w:numFmt w:val="lowerLetter"/>
      <w:start w:val="1"/>
    </w:lvl>
    <w:lvl w:ilvl="1">
      <w:lvlJc w:val="left"/>
      <w:lvlText w:val="(%2)"/>
      <w:numFmt w:val="lowerLetter"/>
      <w:start w:val="1"/>
    </w:lvl>
  </w:abstractNum>
  <w:abstractNum w:abstractNumId="104">
    <w:nsid w:val="C058DF5"/>
    <w:multiLevelType w:val="hybridMultilevel"/>
    <w:lvl w:ilvl="0">
      <w:lvlJc w:val="left"/>
      <w:lvlText w:val="(%1)"/>
      <w:numFmt w:val="lowerLetter"/>
      <w:start w:val="35"/>
    </w:lvl>
    <w:lvl w:ilvl="1">
      <w:lvlJc w:val="left"/>
      <w:lvlText w:val="%2"/>
      <w:numFmt w:val="lowerLetter"/>
      <w:start w:val="1"/>
    </w:lvl>
  </w:abstractNum>
  <w:abstractNum w:abstractNumId="105">
    <w:nsid w:val="CBE5BE9"/>
    <w:multiLevelType w:val="hybridMultilevel"/>
    <w:lvl w:ilvl="0">
      <w:lvlJc w:val="left"/>
      <w:lvlText w:val="(%1)"/>
      <w:numFmt w:val="lowerLetter"/>
      <w:start w:val="1"/>
    </w:lvl>
  </w:abstractNum>
  <w:abstractNum w:abstractNumId="106">
    <w:nsid w:val="3102BBE2"/>
    <w:multiLevelType w:val="hybridMultilevel"/>
    <w:lvl w:ilvl="0">
      <w:lvlJc w:val="left"/>
      <w:lvlText w:val="(%1)"/>
      <w:numFmt w:val="decimal"/>
      <w:start w:val="1"/>
    </w:lvl>
  </w:abstractNum>
  <w:abstractNum w:abstractNumId="107">
    <w:nsid w:val="26A02C5E"/>
    <w:multiLevelType w:val="hybridMultilevel"/>
    <w:lvl w:ilvl="0">
      <w:lvlJc w:val="left"/>
      <w:lvlText w:val="(%1)"/>
      <w:numFmt w:val="decimal"/>
      <w:start w:val="1"/>
    </w:lvl>
  </w:abstractNum>
  <w:abstractNum w:abstractNumId="108">
    <w:nsid w:val="541C8153"/>
    <w:multiLevelType w:val="hybridMultilevel"/>
    <w:lvl w:ilvl="0">
      <w:lvlJc w:val="left"/>
      <w:lvlText w:val="(%1)"/>
      <w:numFmt w:val="decimal"/>
      <w:start w:val="1"/>
    </w:lvl>
  </w:abstractNum>
  <w:abstractNum w:abstractNumId="109">
    <w:nsid w:val="67906F60"/>
    <w:multiLevelType w:val="hybridMultilevel"/>
    <w:lvl w:ilvl="0">
      <w:lvlJc w:val="left"/>
      <w:lvlText w:val="(%1)"/>
      <w:numFmt w:val="decimal"/>
      <w:start w:val="2"/>
    </w:lvl>
  </w:abstractNum>
  <w:abstractNum w:abstractNumId="110">
    <w:nsid w:val="10DB9DAA"/>
    <w:multiLevelType w:val="hybridMultilevel"/>
    <w:lvl w:ilvl="0">
      <w:lvlJc w:val="left"/>
      <w:lvlText w:val="(%1)"/>
      <w:numFmt w:val="decimal"/>
      <w:start w:val="1"/>
    </w:lvl>
  </w:abstractNum>
  <w:abstractNum w:abstractNumId="111">
    <w:nsid w:val="697D2D2"/>
    <w:multiLevelType w:val="hybridMultilevel"/>
    <w:lvl w:ilvl="0">
      <w:lvlJc w:val="left"/>
      <w:lvlText w:val="(%1)"/>
      <w:numFmt w:val="decimal"/>
      <w:start w:val="1"/>
    </w:lvl>
    <w:lvl w:ilvl="1">
      <w:lvlJc w:val="left"/>
      <w:lvlText w:val="(%2)"/>
      <w:numFmt w:val="upperLetter"/>
      <w:start w:val="1"/>
    </w:lvl>
  </w:abstractNum>
  <w:abstractNum w:abstractNumId="112">
    <w:nsid w:val="6D68AB2"/>
    <w:multiLevelType w:val="hybridMultilevel"/>
    <w:lvl w:ilvl="0">
      <w:lvlJc w:val="left"/>
      <w:lvlText w:val="(%1)"/>
      <w:numFmt w:val="decimal"/>
      <w:start w:val="3"/>
    </w:lvl>
  </w:abstractNum>
  <w:abstractNum w:abstractNumId="113">
    <w:nsid w:val="3A966CD0"/>
    <w:multiLevelType w:val="hybridMultilevel"/>
    <w:lvl w:ilvl="0">
      <w:lvlJc w:val="left"/>
      <w:lvlText w:val="(%1)"/>
      <w:numFmt w:val="decimal"/>
      <w:start w:val="1"/>
    </w:lvl>
  </w:abstractNum>
  <w:abstractNum w:abstractNumId="114">
    <w:nsid w:val="63F37E85"/>
    <w:multiLevelType w:val="hybridMultilevel"/>
    <w:lvl w:ilvl="0">
      <w:lvlJc w:val="left"/>
      <w:lvlText w:val="(%1)"/>
      <w:numFmt w:val="lowerRoman"/>
      <w:start w:val="2"/>
    </w:lvl>
  </w:abstractNum>
  <w:abstractNum w:abstractNumId="115">
    <w:nsid w:val="5895F5FA"/>
    <w:multiLevelType w:val="hybridMultilevel"/>
    <w:lvl w:ilvl="0">
      <w:lvlJc w:val="left"/>
      <w:lvlText w:val="(%1)"/>
      <w:numFmt w:val="decimal"/>
      <w:start w:val="1"/>
    </w:lvl>
  </w:abstractNum>
  <w:abstractNum w:abstractNumId="116">
    <w:nsid w:val="38A5D054"/>
    <w:multiLevelType w:val="hybridMultilevel"/>
    <w:lvl w:ilvl="0">
      <w:lvlJc w:val="left"/>
      <w:lvlText w:val="(%1)"/>
      <w:numFmt w:val="lowerLetter"/>
      <w:start w:val="1"/>
    </w:lvl>
  </w:abstractNum>
  <w:abstractNum w:abstractNumId="117">
    <w:nsid w:val="F3F09D8"/>
    <w:multiLevelType w:val="hybridMultilevel"/>
    <w:lvl w:ilvl="0">
      <w:lvlJc w:val="left"/>
      <w:lvlText w:val="(%1)"/>
      <w:numFmt w:val="lowerLetter"/>
      <w:start w:val="1"/>
    </w:lvl>
  </w:abstractNum>
  <w:abstractNum w:abstractNumId="118">
    <w:nsid w:val="4B793735"/>
    <w:multiLevelType w:val="hybridMultilevel"/>
    <w:lvl w:ilvl="0">
      <w:lvlJc w:val="left"/>
      <w:lvlText w:val="(%1)"/>
      <w:numFmt w:val="lowerLetter"/>
      <w:start w:val="5"/>
    </w:lvl>
  </w:abstractNum>
  <w:abstractNum w:abstractNumId="119">
    <w:nsid w:val="4A10B4E8"/>
    <w:multiLevelType w:val="hybridMultilevel"/>
    <w:lvl w:ilvl="0">
      <w:lvlJc w:val="left"/>
      <w:lvlText w:val="(%1)"/>
      <w:numFmt w:val="lowerLetter"/>
      <w:start w:val="18"/>
    </w:lvl>
  </w:abstractNum>
  <w:abstractNum w:abstractNumId="120">
    <w:nsid w:val="43D3BCD4"/>
    <w:multiLevelType w:val="hybridMultilevel"/>
    <w:lvl w:ilvl="0">
      <w:lvlJc w:val="left"/>
      <w:lvlText w:val="(%1)"/>
      <w:numFmt w:val="lowerLetter"/>
      <w:start w:val="27"/>
    </w:lvl>
  </w:abstractNum>
  <w:abstractNum w:abstractNumId="121">
    <w:nsid w:val="4C2A7166"/>
    <w:multiLevelType w:val="hybridMultilevel"/>
    <w:lvl w:ilvl="0">
      <w:lvlJc w:val="left"/>
      <w:lvlText w:val="(%1)"/>
      <w:numFmt w:val="lowerLetter"/>
      <w:start w:val="1"/>
    </w:lvl>
  </w:abstractNum>
  <w:abstractNum w:abstractNumId="122">
    <w:nsid w:val="2E534A82"/>
    <w:multiLevelType w:val="hybridMultilevel"/>
    <w:lvl w:ilvl="0">
      <w:lvlJc w:val="left"/>
      <w:lvlText w:val="(%1)"/>
      <w:numFmt w:val="lowerLetter"/>
      <w:start w:val="4"/>
    </w:lvl>
  </w:abstractNum>
  <w:abstractNum w:abstractNumId="123">
    <w:nsid w:val="26F2D364"/>
    <w:multiLevelType w:val="hybridMultilevel"/>
    <w:lvl w:ilvl="0">
      <w:lvlJc w:val="left"/>
      <w:lvlText w:val="(%1)"/>
      <w:numFmt w:val="decimal"/>
      <w:start w:val="1"/>
    </w:lvl>
  </w:abstractNum>
  <w:abstractNum w:abstractNumId="124">
    <w:nsid w:val="71C1AF98"/>
    <w:multiLevelType w:val="hybridMultilevel"/>
    <w:lvl w:ilvl="0">
      <w:lvlJc w:val="left"/>
      <w:lvlText w:val="(%1)"/>
      <w:numFmt w:val="lowerLetter"/>
      <w:start w:val="7"/>
    </w:lvl>
  </w:abstractNum>
  <w:abstractNum w:abstractNumId="125">
    <w:nsid w:val="3D00B9D9"/>
    <w:multiLevelType w:val="hybridMultilevel"/>
    <w:lvl w:ilvl="0">
      <w:lvlJc w:val="left"/>
      <w:lvlText w:val="(%1)"/>
      <w:numFmt w:val="lowerLetter"/>
      <w:start w:val="2"/>
    </w:lvl>
  </w:abstractNum>
  <w:abstractNum w:abstractNumId="126">
    <w:nsid w:val="15BCABA8"/>
    <w:multiLevelType w:val="hybridMultilevel"/>
    <w:lvl w:ilvl="0">
      <w:lvlJc w:val="left"/>
      <w:lvlText w:val="(%1)"/>
      <w:numFmt w:val="lowerLetter"/>
      <w:start w:val="1"/>
    </w:lvl>
  </w:abstractNum>
  <w:abstractNum w:abstractNumId="127">
    <w:nsid w:val="4E0B9A87"/>
    <w:multiLevelType w:val="hybridMultilevel"/>
    <w:lvl w:ilvl="0">
      <w:lvlJc w:val="left"/>
      <w:lvlText w:val="(%1)"/>
      <w:numFmt w:val="lowerLetter"/>
      <w:start w:val="4"/>
    </w:lvl>
  </w:abstractNum>
  <w:abstractNum w:abstractNumId="128">
    <w:nsid w:val="434BAE75"/>
    <w:multiLevelType w:val="hybridMultilevel"/>
    <w:lvl w:ilvl="0">
      <w:lvlJc w:val="left"/>
      <w:lvlText w:val="(%1)"/>
      <w:numFmt w:val="lowerLetter"/>
      <w:start w:val="1"/>
    </w:lvl>
  </w:abstractNum>
  <w:abstractNum w:abstractNumId="129">
    <w:nsid w:val="4F38F265"/>
    <w:multiLevelType w:val="hybridMultilevel"/>
    <w:lvl w:ilvl="0">
      <w:lvlJc w:val="left"/>
      <w:lvlText w:val="(%1)"/>
      <w:numFmt w:val="lowerLetter"/>
      <w:start w:val="2"/>
    </w:lvl>
    <w:lvl w:ilvl="1">
      <w:lvlJc w:val="left"/>
      <w:lvlText w:val="(%2)"/>
      <w:numFmt w:val="decimal"/>
      <w:start w:val="1"/>
    </w:lvl>
  </w:abstractNum>
  <w:abstractNum w:abstractNumId="130">
    <w:nsid w:val="4C502870"/>
    <w:multiLevelType w:val="hybridMultilevel"/>
    <w:lvl w:ilvl="0">
      <w:lvlJc w:val="left"/>
      <w:lvlText w:val="(%1)"/>
      <w:numFmt w:val="decimal"/>
      <w:start w:val="2"/>
    </w:lvl>
    <w:lvl w:ilvl="1">
      <w:lvlJc w:val="left"/>
      <w:lvlText w:val="(%2)"/>
      <w:numFmt w:val="upperLetter"/>
      <w:start w:val="1"/>
    </w:lvl>
  </w:abstractNum>
  <w:abstractNum w:abstractNumId="131">
    <w:nsid w:val="1DE8725A"/>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132">
    <w:nsid w:val="6A37288A"/>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133">
    <w:nsid w:val="8F8B73F"/>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134">
    <w:nsid w:val="CA6B462"/>
    <w:multiLevelType w:val="hybridMultilevel"/>
    <w:lvl w:ilvl="0">
      <w:lvlJc w:val="left"/>
      <w:lvlText w:val="(%1)"/>
      <w:numFmt w:val="lowerLetter"/>
      <w:start w:val="7"/>
    </w:lvl>
  </w:abstractNum>
  <w:abstractNum w:abstractNumId="135">
    <w:nsid w:val="763CB680"/>
    <w:multiLevelType w:val="hybridMultilevel"/>
    <w:lvl w:ilvl="0">
      <w:lvlJc w:val="left"/>
      <w:lvlText w:val="(%1)"/>
      <w:numFmt w:val="lowerLetter"/>
      <w:start w:val="1"/>
    </w:lvl>
    <w:lvl w:ilvl="1">
      <w:lvlJc w:val="left"/>
      <w:lvlText w:val="(%2)"/>
      <w:numFmt w:val="lowerRoman"/>
      <w:start w:val="1"/>
    </w:lvl>
  </w:abstractNum>
  <w:abstractNum w:abstractNumId="136">
    <w:nsid w:val="15B71329"/>
    <w:multiLevelType w:val="hybridMultilevel"/>
    <w:lvl w:ilvl="0">
      <w:lvlJc w:val="left"/>
      <w:lvlText w:val="(%1)"/>
      <w:numFmt w:val="lowerLetter"/>
      <w:start w:val="1"/>
    </w:lvl>
  </w:abstractNum>
  <w:abstractNum w:abstractNumId="137">
    <w:nsid w:val="3DA97044"/>
    <w:multiLevelType w:val="hybridMultilevel"/>
    <w:lvl w:ilvl="0">
      <w:lvlJc w:val="left"/>
      <w:lvlText w:val="(%1)"/>
      <w:numFmt w:val="lowerLetter"/>
      <w:start w:val="3"/>
    </w:lvl>
  </w:abstractNum>
  <w:abstractNum w:abstractNumId="138">
    <w:nsid w:val="1CDCE2DE"/>
    <w:multiLevelType w:val="hybridMultilevel"/>
    <w:lvl w:ilvl="0">
      <w:lvlJc w:val="left"/>
      <w:lvlText w:val="(%1)"/>
      <w:numFmt w:val="decimal"/>
      <w:start w:val="1"/>
    </w:lvl>
  </w:abstractNum>
  <w:abstractNum w:abstractNumId="139">
    <w:nsid w:val="69D3947C"/>
    <w:multiLevelType w:val="hybridMultilevel"/>
    <w:lvl w:ilvl="0">
      <w:lvlJc w:val="left"/>
      <w:lvlText w:val="(%1)"/>
      <w:numFmt w:val="lowerLetter"/>
      <w:start w:val="1"/>
    </w:lvl>
  </w:abstractNum>
  <w:abstractNum w:abstractNumId="140">
    <w:nsid w:val="2539DFA5"/>
    <w:multiLevelType w:val="hybridMultilevel"/>
    <w:lvl w:ilvl="0">
      <w:lvlJc w:val="left"/>
      <w:lvlText w:val="(%1)"/>
      <w:numFmt w:val="lowerLetter"/>
      <w:start w:val="1"/>
    </w:lvl>
  </w:abstractNum>
  <w:abstractNum w:abstractNumId="141">
    <w:nsid w:val="2DB88089"/>
    <w:multiLevelType w:val="hybridMultilevel"/>
    <w:lvl w:ilvl="0">
      <w:lvlJc w:val="left"/>
      <w:lvlText w:val="(%1)"/>
      <w:numFmt w:val="lowerLetter"/>
      <w:start w:val="1"/>
    </w:lvl>
    <w:lvl w:ilvl="1">
      <w:lvlJc w:val="left"/>
      <w:lvlText w:val="(%2)"/>
      <w:numFmt w:val="decimal"/>
      <w:start w:val="1"/>
    </w:lvl>
  </w:abstractNum>
  <w:abstractNum w:abstractNumId="142">
    <w:nsid w:val="706B674E"/>
    <w:multiLevelType w:val="hybridMultilevel"/>
    <w:lvl w:ilvl="0">
      <w:lvlJc w:val="left"/>
      <w:lvlText w:val="(%1)"/>
      <w:numFmt w:val="decimal"/>
      <w:start w:val="1"/>
    </w:lvl>
    <w:lvl w:ilvl="1">
      <w:lvlJc w:val="left"/>
      <w:lvlText w:val="(%2)"/>
      <w:numFmt w:val="upperLetter"/>
      <w:start w:val="1"/>
    </w:lvl>
  </w:abstractNum>
  <w:abstractNum w:abstractNumId="143">
    <w:nsid w:val="2C106A57"/>
    <w:multiLevelType w:val="hybridMultilevel"/>
    <w:lvl w:ilvl="0">
      <w:lvlJc w:val="left"/>
      <w:lvlText w:val="(%1)"/>
      <w:numFmt w:val="decimal"/>
      <w:start w:val="9"/>
    </w:lvl>
    <w:lvl w:ilvl="1">
      <w:lvlJc w:val="left"/>
      <w:lvlText w:val="(%2)"/>
      <w:numFmt w:val="upperLetter"/>
      <w:start w:val="1"/>
    </w:lvl>
  </w:abstractNum>
  <w:abstractNum w:abstractNumId="144">
    <w:nsid w:val="684EED59"/>
    <w:multiLevelType w:val="hybridMultilevel"/>
    <w:lvl w:ilvl="0">
      <w:lvlJc w:val="left"/>
      <w:lvlText w:val="(%1)"/>
      <w:numFmt w:val="upperLetter"/>
      <w:start w:val="4"/>
    </w:lvl>
  </w:abstractNum>
  <w:abstractNum w:abstractNumId="145">
    <w:nsid w:val="545EE5D3"/>
    <w:multiLevelType w:val="hybridMultilevel"/>
    <w:lvl w:ilvl="0">
      <w:lvlJc w:val="left"/>
      <w:lvlText w:val="(%1)"/>
      <w:numFmt w:val="decimal"/>
      <w:start w:val="10"/>
    </w:lvl>
  </w:abstractNum>
  <w:abstractNum w:abstractNumId="146">
    <w:nsid w:val="4A66051"/>
    <w:multiLevelType w:val="hybridMultilevel"/>
    <w:lvl w:ilvl="0">
      <w:lvlJc w:val="left"/>
      <w:lvlText w:val="(%1)"/>
      <w:numFmt w:val="decimal"/>
      <w:start w:val="1"/>
    </w:lvl>
  </w:abstractNum>
  <w:abstractNum w:abstractNumId="147">
    <w:nsid w:val="20F4BDAD"/>
    <w:multiLevelType w:val="hybridMultilevel"/>
    <w:lvl w:ilvl="0">
      <w:lvlJc w:val="left"/>
      <w:lvlText w:val="(%1)"/>
      <w:numFmt w:val="decimal"/>
      <w:start w:val="2"/>
    </w:lvl>
  </w:abstractNum>
  <w:abstractNum w:abstractNumId="148">
    <w:nsid w:val="639DEFAC"/>
    <w:multiLevelType w:val="hybridMultilevel"/>
    <w:lvl w:ilvl="0">
      <w:lvlJc w:val="left"/>
      <w:lvlText w:val="(%1)"/>
      <w:numFmt w:val="lowerLetter"/>
      <w:start w:val="1"/>
    </w:lvl>
    <w:lvl w:ilvl="1">
      <w:lvlJc w:val="left"/>
      <w:lvlText w:val="(%2)"/>
      <w:numFmt w:val="decimal"/>
      <w:start w:val="1"/>
    </w:lvl>
  </w:abstractNum>
  <w:abstractNum w:abstractNumId="149">
    <w:nsid w:val="501F9786"/>
    <w:multiLevelType w:val="hybridMultilevel"/>
    <w:lvl w:ilvl="0">
      <w:lvlJc w:val="left"/>
      <w:lvlText w:val="(%1)"/>
      <w:numFmt w:val="lowerLetter"/>
      <w:start w:val="3"/>
    </w:lvl>
    <w:lvl w:ilvl="1">
      <w:lvlJc w:val="left"/>
      <w:lvlText w:val="(%2)"/>
      <w:numFmt w:val="decimal"/>
      <w:start w:val="1"/>
    </w:lvl>
  </w:abstractNum>
  <w:abstractNum w:abstractNumId="150">
    <w:nsid w:val="6B057295"/>
    <w:multiLevelType w:val="hybridMultilevel"/>
    <w:lvl w:ilvl="0">
      <w:lvlJc w:val="left"/>
      <w:lvlText w:val="(%1)"/>
      <w:numFmt w:val="lowerLetter"/>
      <w:start w:val="1"/>
    </w:lvl>
  </w:abstractNum>
  <w:abstractNum w:abstractNumId="151">
    <w:nsid w:val="2771AC80"/>
    <w:multiLevelType w:val="hybridMultilevel"/>
    <w:lvl w:ilvl="0">
      <w:lvlJc w:val="left"/>
      <w:lvlText w:val="(%1)"/>
      <w:numFmt w:val="lowerLetter"/>
      <w:start w:val="6"/>
    </w:lvl>
  </w:abstractNum>
  <w:abstractNum w:abstractNumId="152">
    <w:nsid w:val="1C4A08EC"/>
    <w:multiLevelType w:val="hybridMultilevel"/>
    <w:lvl w:ilvl="0">
      <w:lvlJc w:val="left"/>
      <w:lvlText w:val="(%1)"/>
      <w:numFmt w:val="lowerLetter"/>
      <w:start w:val="1"/>
    </w:lvl>
  </w:abstractNum>
  <w:abstractNum w:abstractNumId="153">
    <w:nsid w:val="1958BD17"/>
    <w:multiLevelType w:val="hybridMultilevel"/>
    <w:lvl w:ilvl="0">
      <w:lvlJc w:val="left"/>
      <w:lvlText w:val="(%1)"/>
      <w:numFmt w:val="lowerLetter"/>
      <w:start w:val="5"/>
    </w:lvl>
  </w:abstractNum>
  <w:abstractNum w:abstractNumId="154">
    <w:nsid w:val="4E647FE4"/>
    <w:multiLevelType w:val="hybridMultilevel"/>
    <w:lvl w:ilvl="0">
      <w:lvlJc w:val="left"/>
      <w:lvlText w:val="(%1)"/>
      <w:numFmt w:val="lowerLetter"/>
      <w:start w:val="1"/>
    </w:lvl>
    <w:lvl w:ilvl="1">
      <w:lvlJc w:val="left"/>
      <w:lvlText w:val="(%2)"/>
      <w:numFmt w:val="decimal"/>
      <w:start w:val="1"/>
    </w:lvl>
  </w:abstractNum>
  <w:abstractNum w:abstractNumId="155">
    <w:nsid w:val="E0BB885"/>
    <w:multiLevelType w:val="hybridMultilevel"/>
    <w:lvl w:ilvl="0">
      <w:lvlJc w:val="left"/>
      <w:lvlText w:val="(%1)"/>
      <w:numFmt w:val="decimal"/>
      <w:start w:val="1"/>
    </w:lvl>
  </w:abstractNum>
  <w:abstractNum w:abstractNumId="156">
    <w:nsid w:val="565976F1"/>
    <w:multiLevelType w:val="hybridMultilevel"/>
    <w:lvl w:ilvl="0">
      <w:lvlJc w:val="left"/>
      <w:lvlText w:val="(%1)"/>
      <w:numFmt w:val="decimal"/>
      <w:start w:val="4"/>
    </w:lvl>
  </w:abstractNum>
  <w:abstractNum w:abstractNumId="157">
    <w:nsid w:val="64212B8C"/>
    <w:multiLevelType w:val="hybridMultilevel"/>
    <w:lvl w:ilvl="0">
      <w:lvlJc w:val="left"/>
      <w:lvlText w:val="(%1)"/>
      <w:numFmt w:val="decimal"/>
      <w:start w:val="11"/>
    </w:lvl>
  </w:abstractNum>
  <w:abstractNum w:abstractNumId="158">
    <w:nsid w:val="5C17530C"/>
    <w:multiLevelType w:val="hybridMultilevel"/>
    <w:lvl w:ilvl="0">
      <w:lvlJc w:val="left"/>
      <w:lvlText w:val="(%1)"/>
      <w:numFmt w:val="lowerLetter"/>
      <w:start w:val="1"/>
    </w:lvl>
    <w:lvl w:ilvl="1">
      <w:lvlJc w:val="left"/>
      <w:lvlText w:val="(%2)"/>
      <w:numFmt w:val="decimal"/>
      <w:start w:val="1"/>
    </w:lvl>
  </w:abstractNum>
  <w:abstractNum w:abstractNumId="159">
    <w:nsid w:val="19A52566"/>
    <w:multiLevelType w:val="hybridMultilevel"/>
    <w:lvl w:ilvl="0">
      <w:lvlJc w:val="left"/>
      <w:lvlText w:val="%1"/>
      <w:numFmt w:val="lowerLetter"/>
      <w:start w:val="1"/>
    </w:lvl>
    <w:lvl w:ilvl="1">
      <w:lvlJc w:val="left"/>
      <w:lvlText w:val="(%2)"/>
      <w:numFmt w:val="decimal"/>
      <w:start w:val="6"/>
    </w:lvl>
  </w:abstractNum>
  <w:abstractNum w:abstractNumId="160">
    <w:nsid w:val="335A1DF1"/>
    <w:multiLevelType w:val="hybridMultilevel"/>
    <w:lvl w:ilvl="0">
      <w:lvlJc w:val="left"/>
      <w:lvlText w:val="(%1)"/>
      <w:numFmt w:val="lowerLetter"/>
      <w:start w:val="3"/>
    </w:lvl>
    <w:lvl w:ilvl="1">
      <w:lvlJc w:val="left"/>
      <w:lvlText w:val="%2"/>
      <w:numFmt w:val="decimal"/>
      <w:start w:val="1"/>
    </w:lvl>
  </w:abstractNum>
  <w:abstractNum w:abstractNumId="161">
    <w:nsid w:val="28677B7C"/>
    <w:multiLevelType w:val="hybridMultilevel"/>
    <w:lvl w:ilvl="0">
      <w:lvlJc w:val="left"/>
      <w:lvlText w:val="(%1)"/>
      <w:numFmt w:val="lowerLetter"/>
      <w:start w:val="1"/>
    </w:lvl>
  </w:abstractNum>
  <w:abstractNum w:abstractNumId="162">
    <w:nsid w:val="378D97C0"/>
    <w:multiLevelType w:val="hybridMultilevel"/>
    <w:lvl w:ilvl="0">
      <w:lvlJc w:val="left"/>
      <w:lvlText w:val="(%1)"/>
      <w:numFmt w:val="decimal"/>
      <w:start w:val="1"/>
    </w:lvl>
    <w:lvl w:ilvl="1">
      <w:lvlJc w:val="left"/>
      <w:lvlText w:val="(%2)"/>
      <w:numFmt w:val="upperLetter"/>
      <w:start w:val="1"/>
    </w:lvl>
  </w:abstractNum>
  <w:abstractNum w:abstractNumId="163">
    <w:nsid w:val="1D91467C"/>
    <w:multiLevelType w:val="hybridMultilevel"/>
    <w:lvl w:ilvl="0">
      <w:lvlJc w:val="left"/>
      <w:lvlText w:val="(%1)"/>
      <w:numFmt w:val="lowerLetter"/>
      <w:start w:val="2"/>
    </w:lvl>
    <w:lvl w:ilvl="1">
      <w:lvlJc w:val="left"/>
      <w:lvlText w:val="(%2)"/>
      <w:numFmt w:val="decimal"/>
      <w:start w:val="1"/>
    </w:lvl>
  </w:abstractNum>
  <w:abstractNum w:abstractNumId="164">
    <w:nsid w:val="316032BB"/>
    <w:multiLevelType w:val="hybridMultilevel"/>
    <w:lvl w:ilvl="0">
      <w:lvlJc w:val="left"/>
      <w:lvlText w:val="(%1)"/>
      <w:numFmt w:val="lowerLetter"/>
      <w:start w:val="3"/>
    </w:lvl>
  </w:abstractNum>
  <w:abstractNum w:abstractNumId="165">
    <w:nsid w:val="44344C22"/>
    <w:multiLevelType w:val="hybridMultilevel"/>
    <w:lvl w:ilvl="0">
      <w:lvlJc w:val="left"/>
      <w:lvlText w:val="(%1)"/>
      <w:numFmt w:val="lowerLetter"/>
      <w:start w:val="4"/>
    </w:lvl>
  </w:abstractNum>
  <w:abstractNum w:abstractNumId="166">
    <w:nsid w:val="13CDFCFC"/>
    <w:multiLevelType w:val="hybridMultilevel"/>
    <w:lvl w:ilvl="0">
      <w:lvlJc w:val="left"/>
      <w:lvlText w:val="(%1)"/>
      <w:numFmt w:val="lowerLetter"/>
      <w:start w:val="1"/>
    </w:lvl>
  </w:abstractNum>
  <w:abstractNum w:abstractNumId="167">
    <w:nsid w:val="471745E4"/>
    <w:multiLevelType w:val="hybridMultilevel"/>
    <w:lvl w:ilvl="0">
      <w:lvlJc w:val="left"/>
      <w:lvlText w:val="(%1)"/>
      <w:numFmt w:val="lowerLetter"/>
      <w:start w:val="1"/>
    </w:lvl>
  </w:abstractNum>
  <w:abstractNum w:abstractNumId="168">
    <w:nsid w:val="1DDBC66"/>
    <w:multiLevelType w:val="hybridMultilevel"/>
    <w:lvl w:ilvl="0">
      <w:lvlJc w:val="left"/>
      <w:lvlText w:val="(%1)"/>
      <w:numFmt w:val="lowerLetter"/>
      <w:start w:val="3"/>
    </w:lvl>
  </w:abstractNum>
  <w:abstractNum w:abstractNumId="169">
    <w:nsid w:val="30AADFDA"/>
    <w:multiLevelType w:val="hybridMultilevel"/>
    <w:lvl w:ilvl="0">
      <w:lvlJc w:val="left"/>
      <w:lvlText w:val="(%1)"/>
      <w:numFmt w:val="lowerLetter"/>
      <w:start w:val="4"/>
    </w:lvl>
  </w:abstractNum>
  <w:abstractNum w:abstractNumId="170">
    <w:nsid w:val="30EADA61"/>
    <w:multiLevelType w:val="hybridMultilevel"/>
    <w:lvl w:ilvl="0">
      <w:lvlJc w:val="left"/>
      <w:lvlText w:val="(%1)"/>
      <w:numFmt w:val="decimal"/>
      <w:start w:val="1"/>
    </w:lvl>
  </w:abstractNum>
  <w:abstractNum w:abstractNumId="171">
    <w:nsid w:val="27179C0B"/>
    <w:multiLevelType w:val="hybridMultilevel"/>
    <w:lvl w:ilvl="0">
      <w:lvlJc w:val="left"/>
      <w:lvlText w:val="(%1)"/>
      <w:numFmt w:val="lowerLetter"/>
      <w:start w:val="1"/>
    </w:lvl>
  </w:abstractNum>
  <w:abstractNum w:abstractNumId="172">
    <w:nsid w:val="5E636063"/>
    <w:multiLevelType w:val="hybridMultilevel"/>
    <w:lvl w:ilvl="0">
      <w:lvlJc w:val="left"/>
      <w:lvlText w:val="(%1)"/>
      <w:numFmt w:val="lowerLetter"/>
      <w:start w:val="1"/>
    </w:lvl>
  </w:abstractNum>
  <w:abstractNum w:abstractNumId="173">
    <w:nsid w:val="215641AF"/>
    <w:multiLevelType w:val="hybridMultilevel"/>
    <w:lvl w:ilvl="0">
      <w:lvlJc w:val="left"/>
      <w:lvlText w:val="(%1)"/>
      <w:numFmt w:val="lowerLetter"/>
      <w:start w:val="1"/>
    </w:lvl>
    <w:lvl w:ilvl="1">
      <w:lvlJc w:val="left"/>
      <w:lvlText w:val="(%2)"/>
      <w:numFmt w:val="decimal"/>
      <w:start w:val="1"/>
    </w:lvl>
  </w:abstractNum>
  <w:abstractNum w:abstractNumId="174">
    <w:nsid w:val="53280662"/>
    <w:multiLevelType w:val="hybridMultilevel"/>
    <w:lvl w:ilvl="0">
      <w:lvlJc w:val="left"/>
      <w:lvlText w:val="(%1)"/>
      <w:numFmt w:val="decimal"/>
      <w:start w:val="1"/>
    </w:lvl>
  </w:abstractNum>
  <w:abstractNum w:abstractNumId="175">
    <w:nsid w:val="46B24DBC"/>
    <w:multiLevelType w:val="hybridMultilevel"/>
    <w:lvl w:ilvl="0">
      <w:lvlJc w:val="left"/>
      <w:lvlText w:val="(%1)"/>
      <w:numFmt w:val="lowerLetter"/>
      <w:start w:val="1"/>
    </w:lvl>
  </w:abstractNum>
  <w:abstractNum w:abstractNumId="176">
    <w:nsid w:val="75B52783"/>
    <w:multiLevelType w:val="hybridMultilevel"/>
    <w:lvl w:ilvl="0">
      <w:lvlJc w:val="left"/>
      <w:lvlText w:val="(%1)"/>
      <w:numFmt w:val="lowerLetter"/>
      <w:start w:val="2"/>
    </w:lvl>
  </w:abstractNum>
  <w:abstractNum w:abstractNumId="177">
    <w:nsid w:val="57CE66B4"/>
    <w:multiLevelType w:val="hybridMultilevel"/>
    <w:lvl w:ilvl="0">
      <w:lvlJc w:val="left"/>
      <w:lvlText w:val="(%1)"/>
      <w:numFmt w:val="lowerLetter"/>
      <w:start w:val="1"/>
    </w:lvl>
  </w:abstractNum>
  <w:abstractNum w:abstractNumId="178">
    <w:nsid w:val="67A70B69"/>
    <w:multiLevelType w:val="hybridMultilevel"/>
    <w:lvl w:ilvl="0">
      <w:lvlJc w:val="left"/>
      <w:lvlText w:val="(%1)"/>
      <w:numFmt w:val="decimal"/>
      <w:start w:val="1"/>
    </w:lvl>
  </w:abstractNum>
  <w:abstractNum w:abstractNumId="179">
    <w:nsid w:val="5953172F"/>
    <w:multiLevelType w:val="hybridMultilevel"/>
    <w:lvl w:ilvl="0">
      <w:lvlJc w:val="left"/>
      <w:lvlText w:val="(%1)"/>
      <w:numFmt w:val="decimal"/>
      <w:start w:val="1"/>
    </w:lvl>
  </w:abstractNum>
  <w:abstractNum w:abstractNumId="180">
    <w:nsid w:val="27EDFE3A"/>
    <w:multiLevelType w:val="hybridMultilevel"/>
    <w:lvl w:ilvl="0">
      <w:lvlJc w:val="left"/>
      <w:lvlText w:val="(%1)"/>
      <w:numFmt w:val="decimal"/>
      <w:start w:val="1"/>
    </w:lvl>
  </w:abstractNum>
  <w:abstractNum w:abstractNumId="181">
    <w:nsid w:val="52AC7DFF"/>
    <w:multiLevelType w:val="hybridMultilevel"/>
    <w:lvl w:ilvl="0">
      <w:lvlJc w:val="left"/>
      <w:lvlText w:val="(%1)"/>
      <w:numFmt w:val="decimal"/>
      <w:start w:val="2"/>
    </w:lvl>
  </w:abstractNum>
  <w:abstractNum w:abstractNumId="182">
    <w:nsid w:val="C4C3AF"/>
    <w:multiLevelType w:val="hybridMultilevel"/>
    <w:lvl w:ilvl="0">
      <w:lvlJc w:val="left"/>
      <w:lvlText w:val="(%1)"/>
      <w:numFmt w:val="decimal"/>
      <w:start w:val="1"/>
    </w:lvl>
  </w:abstractNum>
  <w:abstractNum w:abstractNumId="183">
    <w:nsid w:val="44380727"/>
    <w:multiLevelType w:val="hybridMultilevel"/>
    <w:lvl w:ilvl="0">
      <w:lvlJc w:val="left"/>
      <w:lvlText w:val="(%1)"/>
      <w:numFmt w:val="decimal"/>
      <w:start w:val="1"/>
    </w:lvl>
    <w:lvl w:ilvl="1">
      <w:lvlJc w:val="left"/>
      <w:lvlText w:val="(%2)"/>
      <w:numFmt w:val="upperLetter"/>
      <w:start w:val="1"/>
    </w:lvl>
  </w:abstractNum>
  <w:abstractNum w:abstractNumId="184">
    <w:nsid w:val="6C053B16"/>
    <w:multiLevelType w:val="hybridMultilevel"/>
    <w:lvl w:ilvl="0">
      <w:lvlJc w:val="left"/>
      <w:lvlText w:val="(%1)"/>
      <w:numFmt w:val="decimal"/>
      <w:start w:val="3"/>
    </w:lvl>
  </w:abstractNum>
  <w:abstractNum w:abstractNumId="185">
    <w:nsid w:val="4F294393"/>
    <w:multiLevelType w:val="hybridMultilevel"/>
    <w:lvl w:ilvl="0">
      <w:lvlJc w:val="left"/>
      <w:lvlText w:val="(%1)"/>
      <w:numFmt w:val="decimal"/>
      <w:start w:val="1"/>
    </w:lvl>
  </w:abstractNum>
  <w:abstractNum w:abstractNumId="186">
    <w:nsid w:val="5243BFAC"/>
    <w:multiLevelType w:val="hybridMultilevel"/>
    <w:lvl w:ilvl="0">
      <w:lvlJc w:val="left"/>
      <w:lvlText w:val="(%1)"/>
      <w:numFmt w:val="lowerRoman"/>
      <w:start w:val="2"/>
    </w:lvl>
  </w:abstractNum>
  <w:abstractNum w:abstractNumId="187">
    <w:nsid w:val="425EB207"/>
    <w:multiLevelType w:val="hybridMultilevel"/>
    <w:lvl w:ilvl="0">
      <w:lvlJc w:val="left"/>
      <w:lvlText w:val="(%1)"/>
      <w:numFmt w:val="decimal"/>
      <w:start w:val="1"/>
    </w:lvl>
  </w:abstractNum>
  <w:abstractNum w:abstractNumId="188">
    <w:nsid w:val="334A6F1F"/>
    <w:multiLevelType w:val="hybridMultilevel"/>
    <w:lvl w:ilvl="0">
      <w:lvlJc w:val="left"/>
      <w:lvlText w:val="(%1)"/>
      <w:numFmt w:val="decimal"/>
      <w:start w:val="11"/>
    </w:lvl>
  </w:abstractNum>
  <w:abstractNum w:abstractNumId="189">
    <w:nsid w:val="2E5B12B8"/>
    <w:multiLevelType w:val="hybridMultilevel"/>
    <w:lvl w:ilvl="0">
      <w:lvlJc w:val="left"/>
      <w:lvlText w:val="(%1)"/>
      <w:numFmt w:val="lowerLetter"/>
      <w:start w:val="1"/>
    </w:lvl>
  </w:abstractNum>
  <w:abstractNum w:abstractNumId="190">
    <w:nsid w:val="5C03D76D"/>
    <w:multiLevelType w:val="hybridMultilevel"/>
    <w:lvl w:ilvl="0">
      <w:lvlJc w:val="left"/>
      <w:lvlText w:val="(%1)"/>
      <w:numFmt w:val="lowerLetter"/>
      <w:start w:val="1"/>
    </w:lvl>
  </w:abstractNum>
  <w:abstractNum w:abstractNumId="191">
    <w:nsid w:val="66A48D11"/>
    <w:multiLevelType w:val="hybridMultilevel"/>
    <w:lvl w:ilvl="0">
      <w:lvlJc w:val="left"/>
      <w:lvlText w:val="(%1)"/>
      <w:numFmt w:val="lowerLetter"/>
      <w:start w:val="3"/>
    </w:lvl>
  </w:abstractNum>
  <w:abstractNum w:abstractNumId="192">
    <w:nsid w:val="56C28E34"/>
    <w:multiLevelType w:val="hybridMultilevel"/>
    <w:lvl w:ilvl="0">
      <w:lvlJc w:val="left"/>
      <w:lvlText w:val="(%1)"/>
      <w:numFmt w:val="lowerLetter"/>
      <w:start w:val="16"/>
    </w:lvl>
  </w:abstractNum>
  <w:abstractNum w:abstractNumId="193">
    <w:nsid w:val="13916F2D"/>
    <w:multiLevelType w:val="hybridMultilevel"/>
    <w:lvl w:ilvl="0">
      <w:lvlJc w:val="left"/>
      <w:lvlText w:val="(%1)"/>
      <w:numFmt w:val="lowerLetter"/>
      <w:start w:val="27"/>
    </w:lvl>
  </w:abstractNum>
  <w:abstractNum w:abstractNumId="194">
    <w:nsid w:val="435D38D"/>
    <w:multiLevelType w:val="hybridMultilevel"/>
    <w:lvl w:ilvl="0">
      <w:lvlJc w:val="left"/>
      <w:lvlText w:val="(%1)"/>
      <w:numFmt w:val="lowerLetter"/>
      <w:start w:val="1"/>
    </w:lvl>
  </w:abstractNum>
  <w:abstractNum w:abstractNumId="195">
    <w:nsid w:val="822C0EF"/>
    <w:multiLevelType w:val="hybridMultilevel"/>
    <w:lvl w:ilvl="0">
      <w:lvlJc w:val="left"/>
      <w:lvlText w:val="(%1)"/>
      <w:numFmt w:val="lowerLetter"/>
      <w:start w:val="2"/>
    </w:lvl>
  </w:abstractNum>
  <w:abstractNum w:abstractNumId="196">
    <w:nsid w:val="57C5BB4F"/>
    <w:multiLevelType w:val="hybridMultilevel"/>
    <w:lvl w:ilvl="0">
      <w:lvlJc w:val="left"/>
      <w:lvlText w:val="(%1)"/>
      <w:numFmt w:val="decimal"/>
      <w:start w:val="1"/>
    </w:lvl>
  </w:abstractNum>
  <w:abstractNum w:abstractNumId="197">
    <w:nsid w:val="1803D089"/>
    <w:multiLevelType w:val="hybridMultilevel"/>
    <w:lvl w:ilvl="0">
      <w:lvlJc w:val="left"/>
      <w:lvlText w:val="(%1)"/>
      <w:numFmt w:val="lowerLetter"/>
      <w:start w:val="7"/>
    </w:lvl>
  </w:abstractNum>
  <w:abstractNum w:abstractNumId="198">
    <w:nsid w:val="4F3A06D4"/>
    <w:multiLevelType w:val="hybridMultilevel"/>
    <w:lvl w:ilvl="0">
      <w:lvlJc w:val="left"/>
      <w:lvlText w:val="(%1)"/>
      <w:numFmt w:val="lowerLetter"/>
      <w:start w:val="1"/>
    </w:lvl>
  </w:abstractNum>
  <w:abstractNum w:abstractNumId="199">
    <w:nsid w:val="59A377B6"/>
    <w:multiLevelType w:val="hybridMultilevel"/>
    <w:lvl w:ilvl="0">
      <w:lvlJc w:val="left"/>
      <w:lvlText w:val="(%1)"/>
      <w:numFmt w:val="lowerLetter"/>
      <w:start w:val="2"/>
    </w:lvl>
  </w:abstractNum>
  <w:abstractNum w:abstractNumId="200">
    <w:nsid w:val="48AEB063"/>
    <w:multiLevelType w:val="hybridMultilevel"/>
    <w:lvl w:ilvl="0">
      <w:lvlJc w:val="left"/>
      <w:lvlText w:val="(%1)"/>
      <w:numFmt w:val="lowerLetter"/>
      <w:start w:val="1"/>
    </w:lvl>
  </w:abstractNum>
  <w:abstractNum w:abstractNumId="201">
    <w:nsid w:val="24E135"/>
    <w:multiLevelType w:val="hybridMultilevel"/>
    <w:lvl w:ilvl="0">
      <w:lvlJc w:val="left"/>
      <w:lvlText w:val="(%1)"/>
      <w:numFmt w:val="lowerLetter"/>
      <w:start w:val="3"/>
    </w:lvl>
  </w:abstractNum>
  <w:abstractNum w:abstractNumId="202">
    <w:nsid w:val="BB13C1"/>
    <w:multiLevelType w:val="hybridMultilevel"/>
    <w:lvl w:ilvl="0">
      <w:lvlJc w:val="left"/>
      <w:lvlText w:val="(%1)"/>
      <w:numFmt w:val="lowerLetter"/>
      <w:start w:val="1"/>
    </w:lvl>
  </w:abstractNum>
  <w:abstractNum w:abstractNumId="203">
    <w:nsid w:val="271210C7"/>
    <w:multiLevelType w:val="hybridMultilevel"/>
    <w:lvl w:ilvl="0">
      <w:lvlJc w:val="left"/>
      <w:lvlText w:val="(%1)"/>
      <w:numFmt w:val="lowerLetter"/>
      <w:start w:val="2"/>
    </w:lvl>
    <w:lvl w:ilvl="1">
      <w:lvlJc w:val="left"/>
      <w:lvlText w:val="(%2)"/>
      <w:numFmt w:val="decimal"/>
      <w:start w:val="1"/>
    </w:lvl>
  </w:abstractNum>
  <w:abstractNum w:abstractNumId="204">
    <w:nsid w:val="217B22E4"/>
    <w:multiLevelType w:val="hybridMultilevel"/>
    <w:lvl w:ilvl="0">
      <w:lvlJc w:val="left"/>
      <w:lvlText w:val="(%1)"/>
      <w:numFmt w:val="decimal"/>
      <w:start w:val="2"/>
    </w:lvl>
  </w:abstractNum>
  <w:abstractNum w:abstractNumId="205">
    <w:nsid w:val="53E31A2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06">
    <w:nsid w:val="6DC45E83"/>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207">
    <w:nsid w:val="17304A67"/>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208">
    <w:nsid w:val="2BB180D8"/>
    <w:multiLevelType w:val="hybridMultilevel"/>
    <w:lvl w:ilvl="0">
      <w:lvlJc w:val="left"/>
      <w:lvlText w:val="(%1)"/>
      <w:numFmt w:val="lowerLetter"/>
      <w:start w:val="7"/>
    </w:lvl>
  </w:abstractNum>
  <w:abstractNum w:abstractNumId="209">
    <w:nsid w:val="556B69ED"/>
    <w:multiLevelType w:val="hybridMultilevel"/>
    <w:lvl w:ilvl="0">
      <w:lvlJc w:val="left"/>
      <w:lvlText w:val="(%1)"/>
      <w:numFmt w:val="lowerLetter"/>
      <w:start w:val="1"/>
    </w:lvl>
    <w:lvl w:ilvl="1">
      <w:lvlJc w:val="left"/>
      <w:lvlText w:val="(%2)"/>
      <w:numFmt w:val="lowerRoman"/>
      <w:start w:val="1"/>
    </w:lvl>
  </w:abstractNum>
  <w:abstractNum w:abstractNumId="210">
    <w:nsid w:val="70836196"/>
    <w:multiLevelType w:val="hybridMultilevel"/>
    <w:lvl w:ilvl="0">
      <w:lvlJc w:val="left"/>
      <w:lvlText w:val="(%1)"/>
      <w:numFmt w:val="lowerLetter"/>
      <w:start w:val="1"/>
    </w:lvl>
  </w:abstractNum>
  <w:abstractNum w:abstractNumId="211">
    <w:nsid w:val="539F7F12"/>
    <w:multiLevelType w:val="hybridMultilevel"/>
    <w:lvl w:ilvl="0">
      <w:lvlJc w:val="left"/>
      <w:lvlText w:val="(%1)"/>
      <w:numFmt w:val="lowerLetter"/>
      <w:start w:val="3"/>
    </w:lvl>
  </w:abstractNum>
  <w:abstractNum w:abstractNumId="212">
    <w:nsid w:val="2817E7EC"/>
    <w:multiLevelType w:val="hybridMultilevel"/>
    <w:lvl w:ilvl="0">
      <w:lvlJc w:val="left"/>
      <w:lvlText w:val="(%1)"/>
      <w:numFmt w:val="decimal"/>
      <w:start w:val="1"/>
    </w:lvl>
  </w:abstractNum>
  <w:abstractNum w:abstractNumId="213">
    <w:nsid w:val="71482545"/>
    <w:multiLevelType w:val="hybridMultilevel"/>
    <w:lvl w:ilvl="0">
      <w:lvlJc w:val="left"/>
      <w:lvlText w:val="(%1)"/>
      <w:numFmt w:val="lowerLetter"/>
      <w:start w:val="1"/>
    </w:lvl>
  </w:abstractNum>
  <w:abstractNum w:abstractNumId="214">
    <w:nsid w:val="17D78639"/>
    <w:multiLevelType w:val="hybridMultilevel"/>
    <w:lvl w:ilvl="0">
      <w:lvlJc w:val="left"/>
      <w:lvlText w:val="(%1)"/>
      <w:numFmt w:val="lowerLetter"/>
      <w:start w:val="1"/>
    </w:lvl>
  </w:abstractNum>
  <w:abstractNum w:abstractNumId="215">
    <w:nsid w:val="141D2302"/>
    <w:multiLevelType w:val="hybridMultilevel"/>
    <w:lvl w:ilvl="0">
      <w:lvlJc w:val="left"/>
      <w:lvlText w:val="(%1)"/>
      <w:numFmt w:val="lowerLetter"/>
      <w:start w:val="1"/>
    </w:lvl>
    <w:lvl w:ilvl="1">
      <w:lvlJc w:val="left"/>
      <w:lvlText w:val="(%2)"/>
      <w:numFmt w:val="decimal"/>
      <w:start w:val="1"/>
    </w:lvl>
  </w:abstractNum>
  <w:abstractNum w:abstractNumId="216">
    <w:nsid w:val="407168D8"/>
    <w:multiLevelType w:val="hybridMultilevel"/>
    <w:lvl w:ilvl="0">
      <w:lvlJc w:val="left"/>
      <w:lvlText w:val="(%1)"/>
      <w:numFmt w:val="decimal"/>
      <w:start w:val="1"/>
    </w:lvl>
    <w:lvl w:ilvl="1">
      <w:lvlJc w:val="left"/>
      <w:lvlText w:val="(%2)"/>
      <w:numFmt w:val="upperLetter"/>
      <w:start w:val="1"/>
    </w:lvl>
  </w:abstractNum>
  <w:abstractNum w:abstractNumId="217">
    <w:nsid w:val="6A1B45E5"/>
    <w:multiLevelType w:val="hybridMultilevel"/>
    <w:lvl w:ilvl="0">
      <w:lvlJc w:val="left"/>
      <w:lvlText w:val="(%1)"/>
      <w:numFmt w:val="decimal"/>
      <w:start w:val="9"/>
    </w:lvl>
    <w:lvl w:ilvl="1">
      <w:lvlJc w:val="left"/>
      <w:lvlText w:val="(%2)"/>
      <w:numFmt w:val="upperLetter"/>
      <w:start w:val="1"/>
    </w:lvl>
  </w:abstractNum>
  <w:abstractNum w:abstractNumId="218">
    <w:nsid w:val="567BD50A"/>
    <w:multiLevelType w:val="hybridMultilevel"/>
    <w:lvl w:ilvl="0">
      <w:lvlJc w:val="left"/>
      <w:lvlText w:val="(%1)"/>
      <w:numFmt w:val="decimal"/>
      <w:start w:val="10"/>
    </w:lvl>
  </w:abstractNum>
  <w:abstractNum w:abstractNumId="219">
    <w:nsid w:val="73BBD7F8"/>
    <w:multiLevelType w:val="hybridMultilevel"/>
    <w:lvl w:ilvl="0">
      <w:lvlJc w:val="left"/>
      <w:lvlText w:val="(%1)"/>
      <w:numFmt w:val="decimal"/>
      <w:start w:val="1"/>
    </w:lvl>
  </w:abstractNum>
  <w:abstractNum w:abstractNumId="220">
    <w:nsid w:val="1876589D"/>
    <w:multiLevelType w:val="hybridMultilevel"/>
    <w:lvl w:ilvl="0">
      <w:lvlJc w:val="left"/>
      <w:lvlText w:val="(%1)"/>
      <w:numFmt w:val="lowerLetter"/>
      <w:start w:val="1"/>
    </w:lvl>
    <w:lvl w:ilvl="1">
      <w:lvlJc w:val="left"/>
      <w:lvlText w:val="(%2)"/>
      <w:numFmt w:val="decimal"/>
      <w:start w:val="1"/>
    </w:lvl>
  </w:abstractNum>
  <w:abstractNum w:abstractNumId="221">
    <w:nsid w:val="327FAC77"/>
    <w:multiLevelType w:val="hybridMultilevel"/>
    <w:lvl w:ilvl="0">
      <w:lvlJc w:val="left"/>
      <w:lvlText w:val="(%1)"/>
      <w:numFmt w:val="lowerLetter"/>
      <w:start w:val="3"/>
    </w:lvl>
    <w:lvl w:ilvl="1">
      <w:lvlJc w:val="left"/>
      <w:lvlText w:val="(%2)"/>
      <w:numFmt w:val="decimal"/>
      <w:start w:val="1"/>
    </w:lvl>
  </w:abstractNum>
  <w:abstractNum w:abstractNumId="222">
    <w:nsid w:val="5A606509"/>
    <w:multiLevelType w:val="hybridMultilevel"/>
    <w:lvl w:ilvl="0">
      <w:lvlJc w:val="left"/>
      <w:lvlText w:val="(%1)"/>
      <w:numFmt w:val="lowerLetter"/>
      <w:start w:val="1"/>
    </w:lvl>
  </w:abstractNum>
  <w:abstractNum w:abstractNumId="223">
    <w:nsid w:val="6F38E6D1"/>
    <w:multiLevelType w:val="hybridMultilevel"/>
    <w:lvl w:ilvl="0">
      <w:lvlJc w:val="left"/>
      <w:lvlText w:val="(%1)"/>
      <w:numFmt w:val="lowerLetter"/>
      <w:start w:val="5"/>
    </w:lvl>
  </w:abstractNum>
  <w:abstractNum w:abstractNumId="224">
    <w:nsid w:val="46111BA5"/>
    <w:multiLevelType w:val="hybridMultilevel"/>
    <w:lvl w:ilvl="0">
      <w:lvlJc w:val="left"/>
      <w:lvlText w:val="(%1)"/>
      <w:numFmt w:val="lowerLetter"/>
      <w:start w:val="1"/>
    </w:lvl>
  </w:abstractNum>
  <w:abstractNum w:abstractNumId="225">
    <w:nsid w:val="5E963896"/>
    <w:multiLevelType w:val="hybridMultilevel"/>
    <w:lvl w:ilvl="0">
      <w:lvlJc w:val="left"/>
      <w:lvlText w:val="(%1)"/>
      <w:numFmt w:val="lowerLetter"/>
      <w:start w:val="4"/>
    </w:lvl>
  </w:abstractNum>
  <w:abstractNum w:abstractNumId="226">
    <w:nsid w:val="775BA7C1"/>
    <w:multiLevelType w:val="hybridMultilevel"/>
    <w:lvl w:ilvl="0">
      <w:lvlJc w:val="left"/>
      <w:lvlText w:val="(%1)"/>
      <w:numFmt w:val="lowerLetter"/>
      <w:start w:val="1"/>
    </w:lvl>
    <w:lvl w:ilvl="1">
      <w:lvlJc w:val="left"/>
      <w:lvlText w:val="(%2)"/>
      <w:numFmt w:val="decimal"/>
      <w:start w:val="1"/>
    </w:lvl>
  </w:abstractNum>
  <w:abstractNum w:abstractNumId="227">
    <w:nsid w:val="1DD6D6F4"/>
    <w:multiLevelType w:val="hybridMultilevel"/>
    <w:lvl w:ilvl="0">
      <w:lvlJc w:val="left"/>
      <w:lvlText w:val="(%1)"/>
      <w:numFmt w:val="decimal"/>
      <w:start w:val="1"/>
    </w:lvl>
  </w:abstractNum>
  <w:abstractNum w:abstractNumId="228">
    <w:nsid w:val="769A091F"/>
    <w:multiLevelType w:val="hybridMultilevel"/>
    <w:lvl w:ilvl="0">
      <w:lvlJc w:val="left"/>
      <w:lvlText w:val="(%1)"/>
      <w:numFmt w:val="decimal"/>
      <w:start w:val="4"/>
    </w:lvl>
  </w:abstractNum>
  <w:abstractNum w:abstractNumId="229">
    <w:nsid w:val="4695AE95"/>
    <w:multiLevelType w:val="hybridMultilevel"/>
    <w:lvl w:ilvl="0">
      <w:lvlJc w:val="left"/>
      <w:lvlText w:val="(%1)"/>
      <w:numFmt w:val="decimal"/>
      <w:start w:val="10"/>
    </w:lvl>
  </w:abstractNum>
  <w:abstractNum w:abstractNumId="230">
    <w:nsid w:val="777A4EAA"/>
    <w:multiLevelType w:val="hybridMultilevel"/>
    <w:lvl w:ilvl="0">
      <w:lvlJc w:val="left"/>
      <w:lvlText w:val="(%1)"/>
      <w:numFmt w:val="lowerLetter"/>
      <w:start w:val="1"/>
    </w:lvl>
    <w:lvl w:ilvl="1">
      <w:lvlJc w:val="left"/>
      <w:lvlText w:val="(%2)"/>
      <w:numFmt w:val="decimal"/>
      <w:start w:val="1"/>
    </w:lvl>
  </w:abstractNum>
  <w:abstractNum w:abstractNumId="231">
    <w:nsid w:val="3F48B982"/>
    <w:multiLevelType w:val="hybridMultilevel"/>
    <w:lvl w:ilvl="0">
      <w:lvlJc w:val="left"/>
      <w:lvlText w:val="%1"/>
      <w:numFmt w:val="lowerLetter"/>
      <w:start w:val="1"/>
    </w:lvl>
    <w:lvl w:ilvl="1">
      <w:lvlJc w:val="left"/>
      <w:lvlText w:val="(%2)"/>
      <w:numFmt w:val="decimal"/>
      <w:start w:val="5"/>
    </w:lvl>
  </w:abstractNum>
  <w:abstractNum w:abstractNumId="232">
    <w:nsid w:val="46BA8FCA"/>
    <w:multiLevelType w:val="hybridMultilevel"/>
    <w:lvl w:ilvl="0">
      <w:lvlJc w:val="left"/>
      <w:lvlText w:val="(%1)"/>
      <w:numFmt w:val="lowerLetter"/>
      <w:start w:val="3"/>
    </w:lvl>
    <w:lvl w:ilvl="1">
      <w:lvlJc w:val="left"/>
      <w:lvlText w:val="%2"/>
      <w:numFmt w:val="decimal"/>
      <w:start w:val="1"/>
    </w:lvl>
  </w:abstractNum>
  <w:abstractNum w:abstractNumId="233">
    <w:nsid w:val="7835626C"/>
    <w:multiLevelType w:val="hybridMultilevel"/>
    <w:lvl w:ilvl="0">
      <w:lvlJc w:val="left"/>
      <w:lvlText w:val="(%1)"/>
      <w:numFmt w:val="lowerLetter"/>
      <w:start w:val="1"/>
    </w:lvl>
    <w:lvl w:ilvl="1">
      <w:lvlJc w:val="left"/>
      <w:lvlText w:val="(%2)"/>
      <w:numFmt w:val="decimal"/>
      <w:start w:val="1"/>
    </w:lvl>
  </w:abstractNum>
  <w:abstractNum w:abstractNumId="234">
    <w:nsid w:val="665ACA49"/>
    <w:multiLevelType w:val="hybridMultilevel"/>
    <w:lvl w:ilvl="0">
      <w:lvlJc w:val="left"/>
      <w:lvlText w:val="%1"/>
      <w:numFmt w:val="decimal"/>
      <w:start w:val="1"/>
    </w:lvl>
    <w:lvl w:ilvl="1">
      <w:lvlJc w:val="left"/>
      <w:lvlText w:val="(%2)"/>
      <w:numFmt w:val="upperLetter"/>
      <w:start w:val="1"/>
    </w:lvl>
  </w:abstractNum>
  <w:abstractNum w:abstractNumId="235">
    <w:nsid w:val="6835B2AE"/>
    <w:multiLevelType w:val="hybridMultilevel"/>
    <w:lvl w:ilvl="0">
      <w:lvlJc w:val="left"/>
      <w:lvlText w:val="(%1)"/>
      <w:numFmt w:val="decimal"/>
      <w:start w:val="2"/>
    </w:lvl>
    <w:lvl w:ilvl="1">
      <w:lvlJc w:val="left"/>
      <w:lvlText w:val="%2"/>
      <w:numFmt w:val="upperLetter"/>
      <w:start w:val="1"/>
    </w:lvl>
  </w:abstractNum>
  <w:abstractNum w:abstractNumId="236">
    <w:nsid w:val="4C187C90"/>
    <w:multiLevelType w:val="hybridMultilevel"/>
    <w:lvl w:ilvl="0">
      <w:lvlJc w:val="left"/>
      <w:lvlText w:val="(%1)"/>
      <w:numFmt w:val="lowerLetter"/>
      <w:start w:val="2"/>
    </w:lvl>
    <w:lvl w:ilvl="1">
      <w:lvlJc w:val="left"/>
      <w:lvlText w:val="(%2)"/>
      <w:numFmt w:val="decimal"/>
      <w:start w:val="1"/>
    </w:lvl>
  </w:abstractNum>
  <w:abstractNum w:abstractNumId="237">
    <w:nsid w:val="541F28CD"/>
    <w:multiLevelType w:val="hybridMultilevel"/>
    <w:lvl w:ilvl="0">
      <w:lvlJc w:val="left"/>
      <w:lvlText w:val="(%1)"/>
      <w:numFmt w:val="lowerLetter"/>
      <w:start w:val="3"/>
    </w:lvl>
  </w:abstractNum>
  <w:abstractNum w:abstractNumId="238">
    <w:nsid w:val="7F65FD16"/>
    <w:multiLevelType w:val="hybridMultilevel"/>
    <w:lvl w:ilvl="0">
      <w:lvlJc w:val="left"/>
      <w:lvlText w:val="(%1)"/>
      <w:numFmt w:val="lowerLetter"/>
      <w:start w:val="4"/>
    </w:lvl>
  </w:abstractNum>
  <w:abstractNum w:abstractNumId="239">
    <w:nsid w:val="77C9FD68"/>
    <w:multiLevelType w:val="hybridMultilevel"/>
    <w:lvl w:ilvl="0">
      <w:lvlJc w:val="left"/>
      <w:lvlText w:val="(%1)"/>
      <w:numFmt w:val="lowerLetter"/>
      <w:start w:val="1"/>
    </w:lvl>
  </w:abstractNum>
  <w:abstractNum w:abstractNumId="240">
    <w:nsid w:val="298A92BA"/>
    <w:multiLevelType w:val="hybridMultilevel"/>
    <w:lvl w:ilvl="0">
      <w:lvlJc w:val="left"/>
      <w:lvlText w:val="(%1)"/>
      <w:numFmt w:val="lowerLetter"/>
      <w:start w:val="1"/>
    </w:lvl>
  </w:abstractNum>
  <w:abstractNum w:abstractNumId="241">
    <w:nsid w:val="6FE95EAC"/>
    <w:multiLevelType w:val="hybridMultilevel"/>
    <w:lvl w:ilvl="0">
      <w:lvlJc w:val="left"/>
      <w:lvlText w:val="(%1)"/>
      <w:numFmt w:val="lowerLetter"/>
      <w:start w:val="3"/>
    </w:lvl>
  </w:abstractNum>
  <w:abstractNum w:abstractNumId="242">
    <w:nsid w:val="4B697C7A"/>
    <w:multiLevelType w:val="hybridMultilevel"/>
    <w:lvl w:ilvl="0">
      <w:lvlJc w:val="left"/>
      <w:lvlText w:val="(%1)"/>
      <w:numFmt w:val="lowerLetter"/>
      <w:start w:val="4"/>
    </w:lvl>
  </w:abstractNum>
  <w:abstractNum w:abstractNumId="243">
    <w:nsid w:val="51A27AA6"/>
    <w:multiLevelType w:val="hybridMultilevel"/>
    <w:lvl w:ilvl="0">
      <w:lvlJc w:val="left"/>
      <w:lvlText w:val="(%1)"/>
      <w:numFmt w:val="decimal"/>
      <w:start w:val="1"/>
    </w:lvl>
  </w:abstractNum>
  <w:abstractNum w:abstractNumId="244">
    <w:nsid w:val="613183F2"/>
    <w:multiLevelType w:val="hybridMultilevel"/>
    <w:lvl w:ilvl="0">
      <w:lvlJc w:val="left"/>
      <w:lvlText w:val="(%1)"/>
      <w:numFmt w:val="lowerLetter"/>
      <w:start w:val="1"/>
    </w:lvl>
  </w:abstractNum>
  <w:abstractNum w:abstractNumId="245">
    <w:nsid w:val="634102B4"/>
    <w:multiLevelType w:val="hybridMultilevel"/>
    <w:lvl w:ilvl="0">
      <w:lvlJc w:val="left"/>
      <w:lvlText w:val="(%1)"/>
      <w:numFmt w:val="lowerLetter"/>
      <w:start w:val="1"/>
    </w:lvl>
  </w:abstractNum>
  <w:abstractNum w:abstractNumId="246">
    <w:nsid w:val="65BF9DA8"/>
    <w:multiLevelType w:val="hybridMultilevel"/>
    <w:lvl w:ilvl="0">
      <w:lvlJc w:val="left"/>
      <w:lvlText w:val="(%1)"/>
      <w:numFmt w:val="lowerLetter"/>
      <w:start w:val="1"/>
    </w:lvl>
    <w:lvl w:ilvl="1">
      <w:lvlJc w:val="left"/>
      <w:lvlText w:val="(%2)"/>
      <w:numFmt w:val="decimal"/>
      <w:start w:val="1"/>
    </w:lvl>
  </w:abstractNum>
  <w:abstractNum w:abstractNumId="247">
    <w:nsid w:val="21A2ECCA"/>
    <w:multiLevelType w:val="hybridMultilevel"/>
    <w:lvl w:ilvl="0">
      <w:lvlJc w:val="left"/>
      <w:lvlText w:val="(%1)"/>
      <w:numFmt w:val="decimal"/>
      <w:start w:val="1"/>
    </w:lvl>
  </w:abstractNum>
  <w:abstractNum w:abstractNumId="248">
    <w:nsid w:val="4D5C4899"/>
    <w:multiLevelType w:val="hybridMultilevel"/>
    <w:lvl w:ilvl="0">
      <w:lvlJc w:val="left"/>
      <w:lvlText w:val="(%1)"/>
      <w:numFmt w:val="decimal"/>
      <w:start w:val="3"/>
    </w:lvl>
  </w:abstractNum>
  <w:abstractNum w:abstractNumId="249">
    <w:nsid w:val="3C3B72B2"/>
    <w:multiLevelType w:val="hybridMultilevel"/>
    <w:lvl w:ilvl="0">
      <w:lvlJc w:val="left"/>
      <w:lvlText w:val="%1"/>
      <w:numFmt w:val="lowerLetter"/>
      <w:start w:val="1"/>
    </w:lvl>
    <w:lvl w:ilvl="1">
      <w:lvlJc w:val="left"/>
      <w:lvlText w:val="(%2)"/>
      <w:numFmt w:val="lowerLetter"/>
      <w:start w:val="1"/>
    </w:lvl>
  </w:abstractNum>
  <w:abstractNum w:abstractNumId="250">
    <w:nsid w:val="155EC4C2"/>
    <w:multiLevelType w:val="hybridMultilevel"/>
    <w:lvl w:ilvl="0">
      <w:lvlJc w:val="left"/>
      <w:lvlText w:val="(%1)"/>
      <w:numFmt w:val="lowerLetter"/>
      <w:start w:val="35"/>
    </w:lvl>
    <w:lvl w:ilvl="1">
      <w:lvlJc w:val="left"/>
      <w:lvlText w:val="%2"/>
      <w:numFmt w:val="lowerLetter"/>
      <w:start w:val="1"/>
    </w:lvl>
  </w:abstractNum>
  <w:abstractNum w:abstractNumId="251">
    <w:nsid w:val="65D2A137"/>
    <w:multiLevelType w:val="hybridMultilevel"/>
    <w:lvl w:ilvl="0">
      <w:lvlJc w:val="left"/>
      <w:lvlText w:val="(%1)"/>
      <w:numFmt w:val="lowerRoman"/>
      <w:start w:val="1"/>
    </w:lvl>
  </w:abstractNum>
  <w:abstractNum w:abstractNumId="252">
    <w:nsid w:val="6EBB1F2A"/>
    <w:multiLevelType w:val="hybridMultilevel"/>
    <w:lvl w:ilvl="0">
      <w:lvlJc w:val="left"/>
      <w:lvlText w:val="%1."/>
      <w:numFmt w:val="decimal"/>
      <w:start w:val="1"/>
    </w:lvl>
    <w:lvl w:ilvl="1">
      <w:lvlJc w:val="left"/>
      <w:lvlText w:val="(%2)"/>
      <w:numFmt w:val="upperLetter"/>
      <w:start w:val="3"/>
    </w:lvl>
  </w:abstractNum>
  <w:abstractNum w:abstractNumId="253">
    <w:nsid w:val="6FBF29CB"/>
    <w:multiLevelType w:val="hybridMultilevel"/>
    <w:lvl w:ilvl="0">
      <w:lvlJc w:val="left"/>
      <w:lvlText w:val="%1."/>
      <w:numFmt w:val="decimal"/>
      <w:start w:val="3"/>
    </w:lvl>
  </w:abstractNum>
  <w:abstractNum w:abstractNumId="254">
    <w:nsid w:val="550B8808"/>
    <w:multiLevelType w:val="hybridMultilevel"/>
    <w:lvl w:ilvl="0">
      <w:lvlJc w:val="left"/>
      <w:lvlText w:val="%1."/>
      <w:numFmt w:val="decimal"/>
      <w:start w:val="6"/>
    </w:lvl>
  </w:abstractNum>
  <w:abstractNum w:abstractNumId="255">
    <w:nsid w:val="34CC3ACF"/>
    <w:multiLevelType w:val="hybridMultilevel"/>
    <w:lvl w:ilvl="0">
      <w:lvlJc w:val="left"/>
      <w:lvlText w:val="%1."/>
      <w:numFmt w:val="lowerLetter"/>
      <w:start w:val="1"/>
    </w:lvl>
  </w:abstractNum>
  <w:abstractNum w:abstractNumId="256">
    <w:nsid w:val="4E556261"/>
    <w:multiLevelType w:val="hybridMultilevel"/>
    <w:lvl w:ilvl="0">
      <w:lvlJc w:val="left"/>
      <w:lvlText w:val="%1."/>
      <w:numFmt w:val="lowerLetter"/>
      <w:start w:val="4"/>
    </w:lvl>
  </w:abstractNum>
  <w:abstractNum w:abstractNumId="257">
    <w:nsid w:val="4C672FC9"/>
    <w:multiLevelType w:val="hybridMultilevel"/>
    <w:lvl w:ilvl="0">
      <w:lvlJc w:val="left"/>
      <w:lvlText w:val="%1."/>
      <w:numFmt w:val="decimal"/>
      <w:start w:val="1"/>
    </w:lvl>
  </w:abstractNum>
  <w:abstractNum w:abstractNumId="258">
    <w:nsid w:val="52A311C3"/>
    <w:multiLevelType w:val="hybridMultilevel"/>
    <w:lvl w:ilvl="0">
      <w:lvlJc w:val="left"/>
      <w:lvlText w:val="%1."/>
      <w:numFmt w:val="decimal"/>
      <w:start w:val="2"/>
    </w:lvl>
  </w:abstractNum>
  <w:abstractNum w:abstractNumId="259">
    <w:nsid w:val="44EF6B80"/>
    <w:multiLevelType w:val="hybridMultilevel"/>
    <w:lvl w:ilvl="0">
      <w:lvlJc w:val="left"/>
      <w:lvlText w:val="%1."/>
      <w:numFmt w:val="upperLetter"/>
      <w:start w:val="1"/>
    </w:lvl>
  </w:abstractNum>
  <w:abstractNum w:abstractNumId="260">
    <w:nsid w:val="12FCDE5E"/>
    <w:multiLevelType w:val="hybridMultilevel"/>
    <w:lvl w:ilvl="0">
      <w:lvlJc w:val="left"/>
      <w:lvlText w:val="%1."/>
      <w:numFmt w:val="upperLetter"/>
      <w:start w:val="4"/>
    </w:lvl>
    <w:lvl w:ilvl="1">
      <w:lvlJc w:val="left"/>
      <w:lvlText w:val="%2."/>
      <w:numFmt w:val="lowerLetter"/>
      <w:start w:val="1"/>
    </w:lvl>
  </w:abstractNum>
  <w:abstractNum w:abstractNumId="261">
    <w:nsid w:val="4A1D606E"/>
    <w:multiLevelType w:val="hybridMultilevel"/>
    <w:lvl w:ilvl="0">
      <w:lvlJc w:val="left"/>
      <w:lvlText w:val="%1."/>
      <w:numFmt w:val="decimal"/>
      <w:start w:val="1"/>
    </w:lvl>
  </w:abstractNum>
  <w:abstractNum w:abstractNumId="262">
    <w:nsid w:val="4382503"/>
    <w:multiLevelType w:val="hybridMultilevel"/>
    <w:lvl w:ilvl="0">
      <w:lvlJc w:val="left"/>
      <w:lvlText w:val="%1."/>
      <w:numFmt w:val="upperLetter"/>
      <w:start w:val="1"/>
    </w:lvl>
  </w:abstractNum>
  <w:abstractNum w:abstractNumId="263">
    <w:nsid w:val="59B76E28"/>
    <w:multiLevelType w:val="hybridMultilevel"/>
    <w:lvl w:ilvl="0">
      <w:lvlJc w:val="left"/>
      <w:lvlText w:val="%1."/>
      <w:numFmt w:val="upperLetter"/>
      <w:start w:val="3"/>
    </w:lvl>
  </w:abstractNum>
  <w:abstractNum w:abstractNumId="264">
    <w:nsid w:val="4252C2DA"/>
    <w:multiLevelType w:val="hybridMultilevel"/>
    <w:lvl w:ilvl="0">
      <w:lvlJc w:val="left"/>
      <w:lvlText w:val="%1."/>
      <w:numFmt w:val="decimal"/>
      <w:start w:val="1"/>
    </w:lvl>
    <w:lvl w:ilvl="1">
      <w:lvlJc w:val="left"/>
      <w:lvlText w:val="(%2)"/>
      <w:numFmt w:val="lowerLetter"/>
      <w:start w:val="1"/>
    </w:lvl>
  </w:abstractNum>
  <w:abstractNum w:abstractNumId="265">
    <w:nsid w:val="6A92EF4C"/>
    <w:multiLevelType w:val="hybridMultilevel"/>
    <w:lvl w:ilvl="0">
      <w:lvlJc w:val="left"/>
      <w:lvlText w:val="(%1)"/>
      <w:numFmt w:val="lowerLetter"/>
      <w:start w:val="2"/>
    </w:lvl>
  </w:abstractNum>
  <w:abstractNum w:abstractNumId="266">
    <w:nsid w:val="41ED20D7"/>
    <w:multiLevelType w:val="hybridMultilevel"/>
    <w:lvl w:ilvl="0">
      <w:lvlJc w:val="left"/>
      <w:lvlText w:val="%1."/>
      <w:numFmt w:val="decimal"/>
      <w:start w:val="2"/>
    </w:lvl>
  </w:abstractNum>
  <w:abstractNum w:abstractNumId="267">
    <w:nsid w:val="E6B3F6A"/>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268">
    <w:nsid w:val="3EB21819"/>
    <w:multiLevelType w:val="hybridMultilevel"/>
    <w:lvl w:ilvl="0">
      <w:lvlJc w:val="left"/>
      <w:lvlText w:val="%1."/>
      <w:numFmt w:val="decimal"/>
      <w:start w:val="4"/>
    </w:lvl>
  </w:abstractNum>
  <w:abstractNum w:abstractNumId="269">
    <w:nsid w:val="41531DED"/>
    <w:multiLevelType w:val="hybridMultilevel"/>
    <w:lvl w:ilvl="0">
      <w:lvlJc w:val="left"/>
      <w:lvlText w:val="%1."/>
      <w:numFmt w:val="decimal"/>
      <w:start w:val="6"/>
    </w:lvl>
    <w:lvl w:ilvl="1">
      <w:lvlJc w:val="left"/>
      <w:lvlText w:val="-"/>
      <w:numFmt w:val="bullet"/>
      <w:start w:val="1"/>
    </w:lvl>
  </w:abstractNum>
  <w:abstractNum w:abstractNumId="270">
    <w:nsid w:val="6353CD2"/>
    <w:multiLevelType w:val="hybridMultilevel"/>
    <w:lvl w:ilvl="0">
      <w:lvlJc w:val="left"/>
      <w:lvlText w:val="%1."/>
      <w:numFmt w:val="decimal"/>
      <w:start w:val="1"/>
    </w:lvl>
    <w:lvl w:ilvl="1">
      <w:lvlJc w:val="left"/>
      <w:lvlText w:val="(%2)"/>
      <w:numFmt w:val="lowerLetter"/>
      <w:start w:val="1"/>
    </w:lvl>
  </w:abstractNum>
  <w:abstractNum w:abstractNumId="271">
    <w:nsid w:val="683CAAD3"/>
    <w:multiLevelType w:val="hybridMultilevel"/>
    <w:lvl w:ilvl="0">
      <w:lvlJc w:val="left"/>
      <w:lvlText w:val="%1."/>
      <w:numFmt w:val="decimal"/>
      <w:start w:val="2"/>
    </w:lvl>
  </w:abstractNum>
  <w:abstractNum w:abstractNumId="272">
    <w:nsid w:val="313C7C99"/>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273">
    <w:nsid w:val="519EB94C"/>
    <w:multiLevelType w:val="hybridMultilevel"/>
    <w:lvl w:ilvl="0">
      <w:lvlJc w:val="left"/>
      <w:lvlText w:val="%1."/>
      <w:numFmt w:val="decimal"/>
      <w:start w:val="4"/>
    </w:lvl>
  </w:abstractNum>
  <w:abstractNum w:abstractNumId="274">
    <w:nsid w:val="39DF2579"/>
    <w:multiLevelType w:val="hybridMultilevel"/>
    <w:lvl w:ilvl="0">
      <w:lvlJc w:val="left"/>
      <w:lvlText w:val="%1."/>
      <w:numFmt w:val="decimal"/>
      <w:start w:val="6"/>
    </w:lvl>
    <w:lvl w:ilvl="1">
      <w:lvlJc w:val="left"/>
      <w:lvlText w:val="-"/>
      <w:numFmt w:val="bullet"/>
      <w:start w:val="1"/>
    </w:lvl>
  </w:abstractNum>
  <w:abstractNum w:abstractNumId="275">
    <w:nsid w:val="126E008B"/>
    <w:multiLevelType w:val="hybridMultilevel"/>
    <w:lvl w:ilvl="0">
      <w:lvlJc w:val="left"/>
      <w:lvlText w:val="%1."/>
      <w:numFmt w:val="decimal"/>
      <w:start w:val="1"/>
    </w:lvl>
    <w:lvl w:ilvl="1">
      <w:lvlJc w:val="left"/>
      <w:lvlText w:val="(%2)"/>
      <w:numFmt w:val="lowerLetter"/>
      <w:start w:val="1"/>
    </w:lvl>
  </w:abstractNum>
  <w:abstractNum w:abstractNumId="276">
    <w:nsid w:val="34DFBC00"/>
    <w:multiLevelType w:val="hybridMultilevel"/>
    <w:lvl w:ilvl="0">
      <w:lvlJc w:val="left"/>
      <w:lvlText w:val="(%1)"/>
      <w:numFmt w:val="lowerLetter"/>
      <w:start w:val="2"/>
    </w:lvl>
  </w:abstractNum>
  <w:abstractNum w:abstractNumId="277">
    <w:nsid w:val="1F9EC322"/>
    <w:multiLevelType w:val="hybridMultilevel"/>
    <w:lvl w:ilvl="0">
      <w:lvlJc w:val="left"/>
      <w:lvlText w:val="%1."/>
      <w:numFmt w:val="decimal"/>
      <w:start w:val="2"/>
    </w:lvl>
  </w:abstractNum>
  <w:abstractNum w:abstractNumId="278">
    <w:nsid w:val="3410ED56"/>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279">
    <w:nsid w:val="23C049A"/>
    <w:multiLevelType w:val="hybridMultilevel"/>
    <w:lvl w:ilvl="0">
      <w:lvlJc w:val="left"/>
      <w:lvlText w:val="%1."/>
      <w:numFmt w:val="decimal"/>
      <w:start w:val="4"/>
    </w:lvl>
  </w:abstractNum>
  <w:abstractNum w:abstractNumId="280">
    <w:nsid w:val="5BDA35D4"/>
    <w:multiLevelType w:val="hybridMultilevel"/>
    <w:lvl w:ilvl="0">
      <w:lvlJc w:val="left"/>
      <w:lvlText w:val="%1."/>
      <w:numFmt w:val="decimal"/>
      <w:start w:val="6"/>
    </w:lvl>
    <w:lvl w:ilvl="1">
      <w:lvlJc w:val="left"/>
      <w:lvlText w:val="-"/>
      <w:numFmt w:val="bullet"/>
      <w:start w:val="1"/>
    </w:lvl>
  </w:abstractNum>
  <w:abstractNum w:abstractNumId="281">
    <w:nsid w:val="496FB218"/>
    <w:multiLevelType w:val="hybridMultilevel"/>
    <w:lvl w:ilvl="0">
      <w:lvlJc w:val="left"/>
      <w:lvlText w:val="(%1)"/>
      <w:numFmt w:val="decimal"/>
      <w:start w:val="1"/>
    </w:lvl>
  </w:abstractNum>
  <w:abstractNum w:abstractNumId="282">
    <w:nsid w:val="680EA5D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6" Type="http://schemas.openxmlformats.org/officeDocument/2006/relationships/image" Target="media/image59.png"/><Relationship Id="rId88" Type="http://schemas.openxmlformats.org/officeDocument/2006/relationships/image" Target="media/image60.png"/><Relationship Id="rId90" Type="http://schemas.openxmlformats.org/officeDocument/2006/relationships/image" Target="media/image61.png"/><Relationship Id="rId92" Type="http://schemas.openxmlformats.org/officeDocument/2006/relationships/image" Target="media/image62.png"/><Relationship Id="rId94" Type="http://schemas.openxmlformats.org/officeDocument/2006/relationships/image" Target="media/image63.png"/><Relationship Id="rId96" Type="http://schemas.openxmlformats.org/officeDocument/2006/relationships/image" Target="media/image64.png"/><Relationship Id="rId98" Type="http://schemas.openxmlformats.org/officeDocument/2006/relationships/image" Target="media/image65.png"/><Relationship Id="rId100" Type="http://schemas.openxmlformats.org/officeDocument/2006/relationships/image" Target="media/image66.png"/><Relationship Id="rId102" Type="http://schemas.openxmlformats.org/officeDocument/2006/relationships/image" Target="media/image67.png"/><Relationship Id="rId103" Type="http://schemas.openxmlformats.org/officeDocument/2006/relationships/image" Target="media/image68.png"/><Relationship Id="rId104" Type="http://schemas.openxmlformats.org/officeDocument/2006/relationships/image" Target="media/image69.png"/><Relationship Id="rId107" Type="http://schemas.openxmlformats.org/officeDocument/2006/relationships/image" Target="media/image70.png"/><Relationship Id="rId109" Type="http://schemas.openxmlformats.org/officeDocument/2006/relationships/image" Target="media/image71.png"/><Relationship Id="rId111" Type="http://schemas.openxmlformats.org/officeDocument/2006/relationships/image" Target="media/image72.png"/><Relationship Id="rId113" Type="http://schemas.openxmlformats.org/officeDocument/2006/relationships/image" Target="media/image73.png"/><Relationship Id="rId115" Type="http://schemas.openxmlformats.org/officeDocument/2006/relationships/image" Target="media/image74.png"/><Relationship Id="rId117" Type="http://schemas.openxmlformats.org/officeDocument/2006/relationships/image" Target="media/image75.png"/><Relationship Id="rId118" Type="http://schemas.openxmlformats.org/officeDocument/2006/relationships/image" Target="media/image76.png"/><Relationship Id="rId119" Type="http://schemas.openxmlformats.org/officeDocument/2006/relationships/image" Target="media/image77.png"/><Relationship Id="rId120" Type="http://schemas.openxmlformats.org/officeDocument/2006/relationships/image" Target="media/image78.png"/><Relationship Id="rId121" Type="http://schemas.openxmlformats.org/officeDocument/2006/relationships/image" Target="media/image79.png"/><Relationship Id="rId122" Type="http://schemas.openxmlformats.org/officeDocument/2006/relationships/image" Target="media/image80.png"/><Relationship Id="rId123" Type="http://schemas.openxmlformats.org/officeDocument/2006/relationships/image" Target="media/image81.png"/><Relationship Id="rId124" Type="http://schemas.openxmlformats.org/officeDocument/2006/relationships/image" Target="media/image82.png"/><Relationship Id="rId125" Type="http://schemas.openxmlformats.org/officeDocument/2006/relationships/image" Target="media/image83.png"/><Relationship Id="rId127" Type="http://schemas.openxmlformats.org/officeDocument/2006/relationships/image" Target="media/image84.png"/><Relationship Id="rId128" Type="http://schemas.openxmlformats.org/officeDocument/2006/relationships/image" Target="media/image85.png"/><Relationship Id="rId129" Type="http://schemas.openxmlformats.org/officeDocument/2006/relationships/image" Target="media/image86.png"/><Relationship Id="rId130" Type="http://schemas.openxmlformats.org/officeDocument/2006/relationships/image" Target="media/image87.png"/><Relationship Id="rId131" Type="http://schemas.openxmlformats.org/officeDocument/2006/relationships/image" Target="media/image88.png"/><Relationship Id="rId132" Type="http://schemas.openxmlformats.org/officeDocument/2006/relationships/image" Target="media/image89.png"/><Relationship Id="rId133" Type="http://schemas.openxmlformats.org/officeDocument/2006/relationships/image" Target="media/image90.png"/><Relationship Id="rId134" Type="http://schemas.openxmlformats.org/officeDocument/2006/relationships/image" Target="media/image91.png"/><Relationship Id="rId135" Type="http://schemas.openxmlformats.org/officeDocument/2006/relationships/image" Target="media/image92.png"/><Relationship Id="rId136" Type="http://schemas.openxmlformats.org/officeDocument/2006/relationships/image" Target="media/image93.png"/><Relationship Id="rId137" Type="http://schemas.openxmlformats.org/officeDocument/2006/relationships/image" Target="media/image94.png"/><Relationship Id="rId138" Type="http://schemas.openxmlformats.org/officeDocument/2006/relationships/image" Target="media/image95.png"/><Relationship Id="rId139" Type="http://schemas.openxmlformats.org/officeDocument/2006/relationships/image" Target="media/image96.png"/><Relationship Id="rId140" Type="http://schemas.openxmlformats.org/officeDocument/2006/relationships/image" Target="media/image97.png"/><Relationship Id="rId141" Type="http://schemas.openxmlformats.org/officeDocument/2006/relationships/image" Target="media/image98.png"/><Relationship Id="rId142" Type="http://schemas.openxmlformats.org/officeDocument/2006/relationships/image" Target="media/image99.png"/><Relationship Id="rId143" Type="http://schemas.openxmlformats.org/officeDocument/2006/relationships/image" Target="media/image100.png"/><Relationship Id="rId144" Type="http://schemas.openxmlformats.org/officeDocument/2006/relationships/image" Target="media/image101.png"/><Relationship Id="rId145" Type="http://schemas.openxmlformats.org/officeDocument/2006/relationships/image" Target="media/image102.png"/><Relationship Id="rId146" Type="http://schemas.openxmlformats.org/officeDocument/2006/relationships/image" Target="media/image103.png"/><Relationship Id="rId147" Type="http://schemas.openxmlformats.org/officeDocument/2006/relationships/image" Target="media/image104.png"/><Relationship Id="rId148" Type="http://schemas.openxmlformats.org/officeDocument/2006/relationships/image" Target="media/image105.png"/><Relationship Id="rId149" Type="http://schemas.openxmlformats.org/officeDocument/2006/relationships/image" Target="media/image106.png"/><Relationship Id="rId150" Type="http://schemas.openxmlformats.org/officeDocument/2006/relationships/image" Target="media/image107.png"/><Relationship Id="rId151" Type="http://schemas.openxmlformats.org/officeDocument/2006/relationships/image" Target="media/image108.png"/><Relationship Id="rId152"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57" Type="http://schemas.openxmlformats.org/officeDocument/2006/relationships/image" Target="media/image114.png"/><Relationship Id="rId158" Type="http://schemas.openxmlformats.org/officeDocument/2006/relationships/image" Target="media/image115.png"/><Relationship Id="rId159" Type="http://schemas.openxmlformats.org/officeDocument/2006/relationships/image" Target="media/image116.png"/><Relationship Id="rId160" Type="http://schemas.openxmlformats.org/officeDocument/2006/relationships/image" Target="media/image117.png"/><Relationship Id="rId161" Type="http://schemas.openxmlformats.org/officeDocument/2006/relationships/image" Target="media/image118.png"/><Relationship Id="rId162" Type="http://schemas.openxmlformats.org/officeDocument/2006/relationships/image" Target="media/image119.png"/><Relationship Id="rId163" Type="http://schemas.openxmlformats.org/officeDocument/2006/relationships/image" Target="media/image120.png"/><Relationship Id="rId164" Type="http://schemas.openxmlformats.org/officeDocument/2006/relationships/image" Target="media/image121.png"/><Relationship Id="rId165" Type="http://schemas.openxmlformats.org/officeDocument/2006/relationships/image" Target="media/image122.png"/><Relationship Id="rId166" Type="http://schemas.openxmlformats.org/officeDocument/2006/relationships/image" Target="media/image123.png"/><Relationship Id="rId167" Type="http://schemas.openxmlformats.org/officeDocument/2006/relationships/image" Target="media/image124.png"/><Relationship Id="rId168" Type="http://schemas.openxmlformats.org/officeDocument/2006/relationships/image" Target="media/image125.png"/><Relationship Id="rId169" Type="http://schemas.openxmlformats.org/officeDocument/2006/relationships/image" Target="media/image126.png"/><Relationship Id="rId170" Type="http://schemas.openxmlformats.org/officeDocument/2006/relationships/image" Target="media/image127.png"/><Relationship Id="rId171" Type="http://schemas.openxmlformats.org/officeDocument/2006/relationships/image" Target="media/image128.png"/><Relationship Id="rId172" Type="http://schemas.openxmlformats.org/officeDocument/2006/relationships/image" Target="media/image129.png"/><Relationship Id="rId173" Type="http://schemas.openxmlformats.org/officeDocument/2006/relationships/image" Target="media/image130.png"/><Relationship Id="rId174" Type="http://schemas.openxmlformats.org/officeDocument/2006/relationships/image" Target="media/image131.png"/><Relationship Id="rId175" Type="http://schemas.openxmlformats.org/officeDocument/2006/relationships/image" Target="media/image132.png"/><Relationship Id="rId176" Type="http://schemas.openxmlformats.org/officeDocument/2006/relationships/image" Target="media/image133.png"/><Relationship Id="rId177" Type="http://schemas.openxmlformats.org/officeDocument/2006/relationships/image" Target="media/image134.png"/><Relationship Id="rId178" Type="http://schemas.openxmlformats.org/officeDocument/2006/relationships/image" Target="media/image135.png"/><Relationship Id="rId179" Type="http://schemas.openxmlformats.org/officeDocument/2006/relationships/image" Target="media/image136.png"/><Relationship Id="rId180" Type="http://schemas.openxmlformats.org/officeDocument/2006/relationships/image" Target="media/image137.png"/><Relationship Id="rId181" Type="http://schemas.openxmlformats.org/officeDocument/2006/relationships/image" Target="media/image138.png"/><Relationship Id="rId182" Type="http://schemas.openxmlformats.org/officeDocument/2006/relationships/image" Target="media/image139.png"/><Relationship Id="rId183" Type="http://schemas.openxmlformats.org/officeDocument/2006/relationships/image" Target="media/image140.png"/><Relationship Id="rId184" Type="http://schemas.openxmlformats.org/officeDocument/2006/relationships/image" Target="media/image141.png"/><Relationship Id="rId185" Type="http://schemas.openxmlformats.org/officeDocument/2006/relationships/image" Target="media/image142.png"/><Relationship Id="rId186" Type="http://schemas.openxmlformats.org/officeDocument/2006/relationships/image" Target="media/image143.png"/><Relationship Id="rId187" Type="http://schemas.openxmlformats.org/officeDocument/2006/relationships/image" Target="media/image144.png"/><Relationship Id="rId188" Type="http://schemas.openxmlformats.org/officeDocument/2006/relationships/image" Target="media/image145.png"/><Relationship Id="rId189" Type="http://schemas.openxmlformats.org/officeDocument/2006/relationships/image" Target="media/image146.png"/><Relationship Id="rId190" Type="http://schemas.openxmlformats.org/officeDocument/2006/relationships/image" Target="media/image147.png"/><Relationship Id="rId191" Type="http://schemas.openxmlformats.org/officeDocument/2006/relationships/image" Target="media/image148.png"/><Relationship Id="rId192" Type="http://schemas.openxmlformats.org/officeDocument/2006/relationships/image" Target="media/image149.png"/><Relationship Id="rId193" Type="http://schemas.openxmlformats.org/officeDocument/2006/relationships/image" Target="media/image150.png"/><Relationship Id="rId194" Type="http://schemas.openxmlformats.org/officeDocument/2006/relationships/image" Target="media/image151.png"/><Relationship Id="rId195" Type="http://schemas.openxmlformats.org/officeDocument/2006/relationships/image" Target="media/image152.png"/><Relationship Id="rId196" Type="http://schemas.openxmlformats.org/officeDocument/2006/relationships/image" Target="media/image153.png"/><Relationship Id="rId197" Type="http://schemas.openxmlformats.org/officeDocument/2006/relationships/image" Target="media/image154.png"/><Relationship Id="rId198" Type="http://schemas.openxmlformats.org/officeDocument/2006/relationships/image" Target="media/image155.png"/><Relationship Id="rId199" Type="http://schemas.openxmlformats.org/officeDocument/2006/relationships/image" Target="media/image156.png"/><Relationship Id="rId200" Type="http://schemas.openxmlformats.org/officeDocument/2006/relationships/image" Target="media/image157.png"/><Relationship Id="rId201" Type="http://schemas.openxmlformats.org/officeDocument/2006/relationships/image" Target="media/image158.png"/><Relationship Id="rId202" Type="http://schemas.openxmlformats.org/officeDocument/2006/relationships/image" Target="media/image159.png"/><Relationship Id="rId203" Type="http://schemas.openxmlformats.org/officeDocument/2006/relationships/image" Target="media/image160.png"/><Relationship Id="rId204" Type="http://schemas.openxmlformats.org/officeDocument/2006/relationships/image" Target="media/image161.png"/><Relationship Id="rId205" Type="http://schemas.openxmlformats.org/officeDocument/2006/relationships/image" Target="media/image162.png"/><Relationship Id="rId206" Type="http://schemas.openxmlformats.org/officeDocument/2006/relationships/image" Target="media/image163.png"/><Relationship Id="rId207" Type="http://schemas.openxmlformats.org/officeDocument/2006/relationships/image" Target="media/image164.png"/><Relationship Id="rId208" Type="http://schemas.openxmlformats.org/officeDocument/2006/relationships/image" Target="media/image165.png"/><Relationship Id="rId209" Type="http://schemas.openxmlformats.org/officeDocument/2006/relationships/image" Target="media/image166.png"/><Relationship Id="rId210" Type="http://schemas.openxmlformats.org/officeDocument/2006/relationships/image" Target="media/image167.png"/><Relationship Id="rId211"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214" Type="http://schemas.openxmlformats.org/officeDocument/2006/relationships/image" Target="media/image171.png"/><Relationship Id="rId215" Type="http://schemas.openxmlformats.org/officeDocument/2006/relationships/image" Target="media/image172.png"/><Relationship Id="rId216" Type="http://schemas.openxmlformats.org/officeDocument/2006/relationships/image" Target="media/image173.png"/><Relationship Id="rId217" Type="http://schemas.openxmlformats.org/officeDocument/2006/relationships/image" Target="media/image174.png"/><Relationship Id="rId218" Type="http://schemas.openxmlformats.org/officeDocument/2006/relationships/image" Target="media/image175.png"/><Relationship Id="rId219" Type="http://schemas.openxmlformats.org/officeDocument/2006/relationships/image" Target="media/image176.png"/><Relationship Id="rId220" Type="http://schemas.openxmlformats.org/officeDocument/2006/relationships/image" Target="media/image177.png"/><Relationship Id="rId221" Type="http://schemas.openxmlformats.org/officeDocument/2006/relationships/image" Target="media/image178.png"/><Relationship Id="rId222" Type="http://schemas.openxmlformats.org/officeDocument/2006/relationships/image" Target="media/image179.png"/><Relationship Id="rId223" Type="http://schemas.openxmlformats.org/officeDocument/2006/relationships/image" Target="media/image180.png"/><Relationship Id="rId224" Type="http://schemas.openxmlformats.org/officeDocument/2006/relationships/image" Target="media/image181.png"/><Relationship Id="rId225" Type="http://schemas.openxmlformats.org/officeDocument/2006/relationships/image" Target="media/image182.png"/><Relationship Id="rId226" Type="http://schemas.openxmlformats.org/officeDocument/2006/relationships/image" Target="media/image183.png"/><Relationship Id="rId227" Type="http://schemas.openxmlformats.org/officeDocument/2006/relationships/image" Target="media/image184.png"/><Relationship Id="rId228" Type="http://schemas.openxmlformats.org/officeDocument/2006/relationships/image" Target="media/image185.png"/><Relationship Id="rId229" Type="http://schemas.openxmlformats.org/officeDocument/2006/relationships/image" Target="media/image186.png"/><Relationship Id="rId230" Type="http://schemas.openxmlformats.org/officeDocument/2006/relationships/image" Target="media/image187.png"/><Relationship Id="rId231" Type="http://schemas.openxmlformats.org/officeDocument/2006/relationships/image" Target="media/image188.png"/><Relationship Id="rId232" Type="http://schemas.openxmlformats.org/officeDocument/2006/relationships/image" Target="media/image189.png"/><Relationship Id="rId233" Type="http://schemas.openxmlformats.org/officeDocument/2006/relationships/image" Target="media/image190.png"/><Relationship Id="rId234" Type="http://schemas.openxmlformats.org/officeDocument/2006/relationships/image" Target="media/image191.png"/><Relationship Id="rId235" Type="http://schemas.openxmlformats.org/officeDocument/2006/relationships/image" Target="media/image192.png"/><Relationship Id="rId236" Type="http://schemas.openxmlformats.org/officeDocument/2006/relationships/image" Target="media/image193.png"/><Relationship Id="rId237" Type="http://schemas.openxmlformats.org/officeDocument/2006/relationships/image" Target="media/image194.png"/><Relationship Id="rId238" Type="http://schemas.openxmlformats.org/officeDocument/2006/relationships/image" Target="media/image195.png"/><Relationship Id="rId239" Type="http://schemas.openxmlformats.org/officeDocument/2006/relationships/image" Target="media/image196.png"/><Relationship Id="rId240" Type="http://schemas.openxmlformats.org/officeDocument/2006/relationships/image" Target="media/image197.png"/><Relationship Id="rId241" Type="http://schemas.openxmlformats.org/officeDocument/2006/relationships/image" Target="media/image198.png"/><Relationship Id="rId242" Type="http://schemas.openxmlformats.org/officeDocument/2006/relationships/image" Target="media/image199.png"/><Relationship Id="rId243" Type="http://schemas.openxmlformats.org/officeDocument/2006/relationships/image" Target="media/image200.png"/><Relationship Id="rId244" Type="http://schemas.openxmlformats.org/officeDocument/2006/relationships/image" Target="media/image201.png"/><Relationship Id="rId245" Type="http://schemas.openxmlformats.org/officeDocument/2006/relationships/image" Target="media/image202.png"/><Relationship Id="rId246" Type="http://schemas.openxmlformats.org/officeDocument/2006/relationships/image" Target="media/image203.png"/><Relationship Id="rId247" Type="http://schemas.openxmlformats.org/officeDocument/2006/relationships/image" Target="media/image204.png"/><Relationship Id="rId248" Type="http://schemas.openxmlformats.org/officeDocument/2006/relationships/image" Target="media/image205.png"/><Relationship Id="rId249" Type="http://schemas.openxmlformats.org/officeDocument/2006/relationships/image" Target="media/image206.png"/><Relationship Id="rId250" Type="http://schemas.openxmlformats.org/officeDocument/2006/relationships/image" Target="media/image207.png"/><Relationship Id="rId251" Type="http://schemas.openxmlformats.org/officeDocument/2006/relationships/image" Target="media/image208.png"/><Relationship Id="rId252" Type="http://schemas.openxmlformats.org/officeDocument/2006/relationships/image" Target="media/image209.png"/><Relationship Id="rId253" Type="http://schemas.openxmlformats.org/officeDocument/2006/relationships/image" Target="media/image210.png"/><Relationship Id="rId254" Type="http://schemas.openxmlformats.org/officeDocument/2006/relationships/image" Target="media/image211.png"/><Relationship Id="rId255" Type="http://schemas.openxmlformats.org/officeDocument/2006/relationships/image" Target="media/image212.png"/><Relationship Id="rId256" Type="http://schemas.openxmlformats.org/officeDocument/2006/relationships/image" Target="media/image213.png"/><Relationship Id="rId257" Type="http://schemas.openxmlformats.org/officeDocument/2006/relationships/image" Target="media/image214.png"/><Relationship Id="rId258" Type="http://schemas.openxmlformats.org/officeDocument/2006/relationships/image" Target="media/image215.png"/><Relationship Id="rId259" Type="http://schemas.openxmlformats.org/officeDocument/2006/relationships/image" Target="media/image216.png"/><Relationship Id="rId260" Type="http://schemas.openxmlformats.org/officeDocument/2006/relationships/image" Target="media/image217.png"/><Relationship Id="rId261" Type="http://schemas.openxmlformats.org/officeDocument/2006/relationships/image" Target="media/image218.png"/><Relationship Id="rId262" Type="http://schemas.openxmlformats.org/officeDocument/2006/relationships/image" Target="media/image219.png"/><Relationship Id="rId263" Type="http://schemas.openxmlformats.org/officeDocument/2006/relationships/image" Target="media/image220.png"/><Relationship Id="rId264" Type="http://schemas.openxmlformats.org/officeDocument/2006/relationships/image" Target="media/image221.png"/><Relationship Id="rId265" Type="http://schemas.openxmlformats.org/officeDocument/2006/relationships/image" Target="media/image222.png"/><Relationship Id="rId266" Type="http://schemas.openxmlformats.org/officeDocument/2006/relationships/image" Target="media/image223.png"/><Relationship Id="rId267" Type="http://schemas.openxmlformats.org/officeDocument/2006/relationships/image" Target="media/image224.png"/><Relationship Id="rId268" Type="http://schemas.openxmlformats.org/officeDocument/2006/relationships/image" Target="media/image225.png"/><Relationship Id="rId269" Type="http://schemas.openxmlformats.org/officeDocument/2006/relationships/image" Target="media/image226.png"/><Relationship Id="rId270" Type="http://schemas.openxmlformats.org/officeDocument/2006/relationships/image" Target="media/image227.png"/><Relationship Id="rId271" Type="http://schemas.openxmlformats.org/officeDocument/2006/relationships/image" Target="media/image228.png"/><Relationship Id="rId272" Type="http://schemas.openxmlformats.org/officeDocument/2006/relationships/image" Target="media/image229.png"/><Relationship Id="rId273" Type="http://schemas.openxmlformats.org/officeDocument/2006/relationships/image" Target="media/image230.png"/><Relationship Id="rId274" Type="http://schemas.openxmlformats.org/officeDocument/2006/relationships/image" Target="media/image231.png"/><Relationship Id="rId275" Type="http://schemas.openxmlformats.org/officeDocument/2006/relationships/image" Target="media/image232.png"/><Relationship Id="rId276" Type="http://schemas.openxmlformats.org/officeDocument/2006/relationships/image" Target="media/image233.png"/><Relationship Id="rId277" Type="http://schemas.openxmlformats.org/officeDocument/2006/relationships/image" Target="media/image234.png"/><Relationship Id="rId278" Type="http://schemas.openxmlformats.org/officeDocument/2006/relationships/image" Target="media/image235.png"/><Relationship Id="rId279" Type="http://schemas.openxmlformats.org/officeDocument/2006/relationships/image" Target="media/image236.png"/><Relationship Id="rId280" Type="http://schemas.openxmlformats.org/officeDocument/2006/relationships/image" Target="media/image237.png"/><Relationship Id="rId281" Type="http://schemas.openxmlformats.org/officeDocument/2006/relationships/image" Target="media/image238.png"/><Relationship Id="rId282" Type="http://schemas.openxmlformats.org/officeDocument/2006/relationships/image" Target="media/image239.png"/><Relationship Id="rId283" Type="http://schemas.openxmlformats.org/officeDocument/2006/relationships/image" Target="media/image240.png"/><Relationship Id="rId284" Type="http://schemas.openxmlformats.org/officeDocument/2006/relationships/image" Target="media/image241.png"/><Relationship Id="rId285" Type="http://schemas.openxmlformats.org/officeDocument/2006/relationships/image" Target="media/image242.png"/><Relationship Id="rId286" Type="http://schemas.openxmlformats.org/officeDocument/2006/relationships/image" Target="media/image243.png"/><Relationship Id="rId287" Type="http://schemas.openxmlformats.org/officeDocument/2006/relationships/image" Target="media/image244.png"/><Relationship Id="rId288" Type="http://schemas.openxmlformats.org/officeDocument/2006/relationships/image" Target="media/image245.png"/><Relationship Id="rId289" Type="http://schemas.openxmlformats.org/officeDocument/2006/relationships/image" Target="media/image246.png"/><Relationship Id="rId290" Type="http://schemas.openxmlformats.org/officeDocument/2006/relationships/image" Target="media/image247.png"/><Relationship Id="rId291" Type="http://schemas.openxmlformats.org/officeDocument/2006/relationships/image" Target="media/image248.png"/><Relationship Id="rId292" Type="http://schemas.openxmlformats.org/officeDocument/2006/relationships/image" Target="media/image249.png"/><Relationship Id="rId293" Type="http://schemas.openxmlformats.org/officeDocument/2006/relationships/image" Target="media/image250.png"/><Relationship Id="rId294" Type="http://schemas.openxmlformats.org/officeDocument/2006/relationships/image" Target="media/image251.png"/><Relationship Id="rId295" Type="http://schemas.openxmlformats.org/officeDocument/2006/relationships/image" Target="media/image252.png"/><Relationship Id="rId296" Type="http://schemas.openxmlformats.org/officeDocument/2006/relationships/image" Target="media/image253.png"/><Relationship Id="rId297" Type="http://schemas.openxmlformats.org/officeDocument/2006/relationships/image" Target="media/image254.png"/><Relationship Id="rId298" Type="http://schemas.openxmlformats.org/officeDocument/2006/relationships/image" Target="media/image255.png"/><Relationship Id="rId299" Type="http://schemas.openxmlformats.org/officeDocument/2006/relationships/image" Target="media/image256.png"/><Relationship Id="rId300" Type="http://schemas.openxmlformats.org/officeDocument/2006/relationships/image" Target="media/image257.png"/><Relationship Id="rId301" Type="http://schemas.openxmlformats.org/officeDocument/2006/relationships/image" Target="media/image258.png"/><Relationship Id="rId302" Type="http://schemas.openxmlformats.org/officeDocument/2006/relationships/image" Target="media/image259.png"/><Relationship Id="rId303" Type="http://schemas.openxmlformats.org/officeDocument/2006/relationships/image" Target="media/image260.png"/><Relationship Id="rId304" Type="http://schemas.openxmlformats.org/officeDocument/2006/relationships/image" Target="media/image261.png"/><Relationship Id="rId305" Type="http://schemas.openxmlformats.org/officeDocument/2006/relationships/image" Target="media/image262.png"/><Relationship Id="rId306" Type="http://schemas.openxmlformats.org/officeDocument/2006/relationships/image" Target="media/image263.png"/><Relationship Id="rId307" Type="http://schemas.openxmlformats.org/officeDocument/2006/relationships/image" Target="media/image264.png"/><Relationship Id="rId308" Type="http://schemas.openxmlformats.org/officeDocument/2006/relationships/image" Target="media/image265.png"/><Relationship Id="rId309" Type="http://schemas.openxmlformats.org/officeDocument/2006/relationships/image" Target="media/image266.png"/><Relationship Id="rId310" Type="http://schemas.openxmlformats.org/officeDocument/2006/relationships/image" Target="media/image267.png"/><Relationship Id="rId311" Type="http://schemas.openxmlformats.org/officeDocument/2006/relationships/image" Target="media/image268.png"/><Relationship Id="rId312" Type="http://schemas.openxmlformats.org/officeDocument/2006/relationships/image" Target="media/image269.png"/><Relationship Id="rId313" Type="http://schemas.openxmlformats.org/officeDocument/2006/relationships/image" Target="media/image270.png"/><Relationship Id="rId314" Type="http://schemas.openxmlformats.org/officeDocument/2006/relationships/image" Target="media/image271.png"/><Relationship Id="rId315" Type="http://schemas.openxmlformats.org/officeDocument/2006/relationships/image" Target="media/image272.png"/><Relationship Id="rId316" Type="http://schemas.openxmlformats.org/officeDocument/2006/relationships/image" Target="media/image273.png"/><Relationship Id="rId317" Type="http://schemas.openxmlformats.org/officeDocument/2006/relationships/image" Target="media/image274.png"/><Relationship Id="rId318" Type="http://schemas.openxmlformats.org/officeDocument/2006/relationships/image" Target="media/image275.png"/><Relationship Id="rId319" Type="http://schemas.openxmlformats.org/officeDocument/2006/relationships/image" Target="media/image276.png"/><Relationship Id="rId320" Type="http://schemas.openxmlformats.org/officeDocument/2006/relationships/image" Target="media/image277.png"/><Relationship Id="rId321" Type="http://schemas.openxmlformats.org/officeDocument/2006/relationships/image" Target="media/image278.png"/><Relationship Id="rId322" Type="http://schemas.openxmlformats.org/officeDocument/2006/relationships/image" Target="media/image279.png"/><Relationship Id="rId323" Type="http://schemas.openxmlformats.org/officeDocument/2006/relationships/image" Target="media/image280.png"/><Relationship Id="rId324" Type="http://schemas.openxmlformats.org/officeDocument/2006/relationships/image" Target="media/image281.png"/><Relationship Id="rId325" Type="http://schemas.openxmlformats.org/officeDocument/2006/relationships/image" Target="media/image282.png"/><Relationship Id="rId326" Type="http://schemas.openxmlformats.org/officeDocument/2006/relationships/image" Target="media/image283.png"/><Relationship Id="rId327" Type="http://schemas.openxmlformats.org/officeDocument/2006/relationships/image" Target="media/image284.png"/><Relationship Id="rId328" Type="http://schemas.openxmlformats.org/officeDocument/2006/relationships/image" Target="media/image285.png"/><Relationship Id="rId329" Type="http://schemas.openxmlformats.org/officeDocument/2006/relationships/image" Target="media/image286.png"/><Relationship Id="rId330" Type="http://schemas.openxmlformats.org/officeDocument/2006/relationships/image" Target="media/image287.png"/><Relationship Id="rId331" Type="http://schemas.openxmlformats.org/officeDocument/2006/relationships/image" Target="media/image288.png"/><Relationship Id="rId332" Type="http://schemas.openxmlformats.org/officeDocument/2006/relationships/image" Target="media/image289.png"/><Relationship Id="rId333" Type="http://schemas.openxmlformats.org/officeDocument/2006/relationships/image" Target="media/image290.png"/><Relationship Id="rId334" Type="http://schemas.openxmlformats.org/officeDocument/2006/relationships/image" Target="media/image291.png"/><Relationship Id="rId335" Type="http://schemas.openxmlformats.org/officeDocument/2006/relationships/image" Target="media/image292.png"/><Relationship Id="rId336" Type="http://schemas.openxmlformats.org/officeDocument/2006/relationships/image" Target="media/image293.png"/><Relationship Id="rId337" Type="http://schemas.openxmlformats.org/officeDocument/2006/relationships/image" Target="media/image294.png"/><Relationship Id="rId338" Type="http://schemas.openxmlformats.org/officeDocument/2006/relationships/image" Target="media/image295.png"/><Relationship Id="rId339" Type="http://schemas.openxmlformats.org/officeDocument/2006/relationships/image" Target="media/image296.png"/><Relationship Id="rId340" Type="http://schemas.openxmlformats.org/officeDocument/2006/relationships/image" Target="media/image297.png"/><Relationship Id="rId341" Type="http://schemas.openxmlformats.org/officeDocument/2006/relationships/image" Target="media/image298.png"/><Relationship Id="rId342" Type="http://schemas.openxmlformats.org/officeDocument/2006/relationships/image" Target="media/image299.png"/><Relationship Id="rId343" Type="http://schemas.openxmlformats.org/officeDocument/2006/relationships/image" Target="media/image300.png"/><Relationship Id="rId344" Type="http://schemas.openxmlformats.org/officeDocument/2006/relationships/image" Target="media/image301.png"/><Relationship Id="rId345" Type="http://schemas.openxmlformats.org/officeDocument/2006/relationships/image" Target="media/image302.png"/><Relationship Id="rId346" Type="http://schemas.openxmlformats.org/officeDocument/2006/relationships/image" Target="media/image303.png"/><Relationship Id="rId347" Type="http://schemas.openxmlformats.org/officeDocument/2006/relationships/image" Target="media/image304.png"/><Relationship Id="rId348" Type="http://schemas.openxmlformats.org/officeDocument/2006/relationships/image" Target="media/image305.png"/><Relationship Id="rId349" Type="http://schemas.openxmlformats.org/officeDocument/2006/relationships/image" Target="media/image306.png"/><Relationship Id="rId350" Type="http://schemas.openxmlformats.org/officeDocument/2006/relationships/image" Target="media/image307.png"/><Relationship Id="rId351" Type="http://schemas.openxmlformats.org/officeDocument/2006/relationships/image" Target="media/image308.jpeg"/><Relationship Id="rId352" Type="http://schemas.openxmlformats.org/officeDocument/2006/relationships/image" Target="media/image309.png"/><Relationship Id="rId353" Type="http://schemas.openxmlformats.org/officeDocument/2006/relationships/image" Target="media/image310.jpeg"/><Relationship Id="rId354" Type="http://schemas.openxmlformats.org/officeDocument/2006/relationships/image" Target="media/image311.png"/><Relationship Id="rId355" Type="http://schemas.openxmlformats.org/officeDocument/2006/relationships/image" Target="media/image312.png"/><Relationship Id="rId356" Type="http://schemas.openxmlformats.org/officeDocument/2006/relationships/image" Target="media/image313.png"/><Relationship Id="rId357" Type="http://schemas.openxmlformats.org/officeDocument/2006/relationships/image" Target="media/image314.png"/><Relationship Id="rId358" Type="http://schemas.openxmlformats.org/officeDocument/2006/relationships/image" Target="media/image315.png"/><Relationship Id="rId359" Type="http://schemas.openxmlformats.org/officeDocument/2006/relationships/image" Target="media/image316.png"/><Relationship Id="rId360" Type="http://schemas.openxmlformats.org/officeDocument/2006/relationships/image" Target="media/image317.jpeg"/><Relationship Id="rId361" Type="http://schemas.openxmlformats.org/officeDocument/2006/relationships/image" Target="media/image318.png"/><Relationship Id="rId362" Type="http://schemas.openxmlformats.org/officeDocument/2006/relationships/image" Target="media/image319.jpeg"/><Relationship Id="rId363" Type="http://schemas.openxmlformats.org/officeDocument/2006/relationships/image" Target="media/image320.png"/><Relationship Id="rId364" Type="http://schemas.openxmlformats.org/officeDocument/2006/relationships/image" Target="media/image321.jpeg"/><Relationship Id="rId365" Type="http://schemas.openxmlformats.org/officeDocument/2006/relationships/image" Target="media/image322.png"/><Relationship Id="rId366" Type="http://schemas.openxmlformats.org/officeDocument/2006/relationships/image" Target="media/image323.jpeg"/><Relationship Id="rId367" Type="http://schemas.openxmlformats.org/officeDocument/2006/relationships/image" Target="media/image324.png"/><Relationship Id="rId368" Type="http://schemas.openxmlformats.org/officeDocument/2006/relationships/image" Target="media/image325.jpeg"/><Relationship Id="rId369" Type="http://schemas.openxmlformats.org/officeDocument/2006/relationships/image" Target="media/image326.png"/><Relationship Id="rId370" Type="http://schemas.openxmlformats.org/officeDocument/2006/relationships/image" Target="media/image327.jpeg"/><Relationship Id="rId371" Type="http://schemas.openxmlformats.org/officeDocument/2006/relationships/image" Target="media/image328.png"/><Relationship Id="rId372" Type="http://schemas.openxmlformats.org/officeDocument/2006/relationships/image" Target="media/image329.jpeg"/><Relationship Id="rId373" Type="http://schemas.openxmlformats.org/officeDocument/2006/relationships/image" Target="media/image330.png"/><Relationship Id="rId374" Type="http://schemas.openxmlformats.org/officeDocument/2006/relationships/image" Target="media/image331.jpeg"/><Relationship Id="rId375" Type="http://schemas.openxmlformats.org/officeDocument/2006/relationships/image" Target="media/image332.jpeg"/><Relationship Id="rId376" Type="http://schemas.openxmlformats.org/officeDocument/2006/relationships/image" Target="media/image333.jpeg"/><Relationship Id="rId377" Type="http://schemas.openxmlformats.org/officeDocument/2006/relationships/image" Target="media/image334.jpeg"/><Relationship Id="rId378" Type="http://schemas.openxmlformats.org/officeDocument/2006/relationships/image" Target="media/image335.png"/><Relationship Id="rId379" Type="http://schemas.openxmlformats.org/officeDocument/2006/relationships/image" Target="media/image336.png"/><Relationship Id="rId380" Type="http://schemas.openxmlformats.org/officeDocument/2006/relationships/image" Target="media/image337.png"/><Relationship Id="rId381" Type="http://schemas.openxmlformats.org/officeDocument/2006/relationships/image" Target="media/image338.png"/><Relationship Id="rId382" Type="http://schemas.openxmlformats.org/officeDocument/2006/relationships/image" Target="media/image339.png"/><Relationship Id="rId383" Type="http://schemas.openxmlformats.org/officeDocument/2006/relationships/image" Target="media/image340.png"/><Relationship Id="rId384" Type="http://schemas.openxmlformats.org/officeDocument/2006/relationships/image" Target="media/image341.png"/><Relationship Id="rId385" Type="http://schemas.openxmlformats.org/officeDocument/2006/relationships/image" Target="media/image342.png"/><Relationship Id="rId386" Type="http://schemas.openxmlformats.org/officeDocument/2006/relationships/image" Target="media/image343.png"/><Relationship Id="rId387" Type="http://schemas.openxmlformats.org/officeDocument/2006/relationships/image" Target="media/image344.png"/><Relationship Id="rId388" Type="http://schemas.openxmlformats.org/officeDocument/2006/relationships/image" Target="media/image345.png"/><Relationship Id="rId389" Type="http://schemas.openxmlformats.org/officeDocument/2006/relationships/image" Target="media/image346.png"/><Relationship Id="rId390" Type="http://schemas.openxmlformats.org/officeDocument/2006/relationships/image" Target="media/image347.png"/><Relationship Id="rId391" Type="http://schemas.openxmlformats.org/officeDocument/2006/relationships/image" Target="media/image348.png"/><Relationship Id="rId392" Type="http://schemas.openxmlformats.org/officeDocument/2006/relationships/image" Target="media/image349.png"/><Relationship Id="rId393" Type="http://schemas.openxmlformats.org/officeDocument/2006/relationships/image" Target="media/image350.png"/><Relationship Id="rId394" Type="http://schemas.openxmlformats.org/officeDocument/2006/relationships/image" Target="media/image351.png"/><Relationship Id="rId395" Type="http://schemas.openxmlformats.org/officeDocument/2006/relationships/image" Target="media/image352.png"/><Relationship Id="rId396" Type="http://schemas.openxmlformats.org/officeDocument/2006/relationships/image" Target="media/image353.png"/><Relationship Id="rId397" Type="http://schemas.openxmlformats.org/officeDocument/2006/relationships/image" Target="media/image354.png"/><Relationship Id="rId398" Type="http://schemas.openxmlformats.org/officeDocument/2006/relationships/image" Target="media/image355.png"/><Relationship Id="rId399" Type="http://schemas.openxmlformats.org/officeDocument/2006/relationships/image" Target="media/image356.png"/><Relationship Id="rId400" Type="http://schemas.openxmlformats.org/officeDocument/2006/relationships/image" Target="media/image357.png"/><Relationship Id="rId401" Type="http://schemas.openxmlformats.org/officeDocument/2006/relationships/image" Target="media/image358.png"/><Relationship Id="rId402" Type="http://schemas.openxmlformats.org/officeDocument/2006/relationships/image" Target="media/image359.png"/><Relationship Id="rId403" Type="http://schemas.openxmlformats.org/officeDocument/2006/relationships/image" Target="media/image360.jpeg"/><Relationship Id="rId404" Type="http://schemas.openxmlformats.org/officeDocument/2006/relationships/image" Target="media/image361.png"/><Relationship Id="rId405" Type="http://schemas.openxmlformats.org/officeDocument/2006/relationships/image" Target="media/image362.png"/><Relationship Id="rId406" Type="http://schemas.openxmlformats.org/officeDocument/2006/relationships/image" Target="media/image363.png"/><Relationship Id="rId407" Type="http://schemas.openxmlformats.org/officeDocument/2006/relationships/image" Target="media/image364.png"/><Relationship Id="rId408" Type="http://schemas.openxmlformats.org/officeDocument/2006/relationships/image" Target="media/image365.png"/><Relationship Id="rId409" Type="http://schemas.openxmlformats.org/officeDocument/2006/relationships/image" Target="media/image366.png"/><Relationship Id="rId410" Type="http://schemas.openxmlformats.org/officeDocument/2006/relationships/image" Target="media/image367.png"/><Relationship Id="rId411" Type="http://schemas.openxmlformats.org/officeDocument/2006/relationships/image" Target="media/image368.png"/><Relationship Id="rId412" Type="http://schemas.openxmlformats.org/officeDocument/2006/relationships/image" Target="media/image369.png"/><Relationship Id="rId413" Type="http://schemas.openxmlformats.org/officeDocument/2006/relationships/image" Target="media/image370.png"/><Relationship Id="rId414" Type="http://schemas.openxmlformats.org/officeDocument/2006/relationships/image" Target="media/image371.png"/><Relationship Id="rId415" Type="http://schemas.openxmlformats.org/officeDocument/2006/relationships/image" Target="media/image372.png"/><Relationship Id="rId416" Type="http://schemas.openxmlformats.org/officeDocument/2006/relationships/image" Target="media/image373.png"/><Relationship Id="rId417" Type="http://schemas.openxmlformats.org/officeDocument/2006/relationships/image" Target="media/image374.png"/><Relationship Id="rId418" Type="http://schemas.openxmlformats.org/officeDocument/2006/relationships/image" Target="media/image375.png"/><Relationship Id="rId419" Type="http://schemas.openxmlformats.org/officeDocument/2006/relationships/image" Target="media/image376.png"/><Relationship Id="rId420" Type="http://schemas.openxmlformats.org/officeDocument/2006/relationships/image" Target="media/image377.png"/><Relationship Id="rId421" Type="http://schemas.openxmlformats.org/officeDocument/2006/relationships/image" Target="media/image378.png"/><Relationship Id="rId422" Type="http://schemas.openxmlformats.org/officeDocument/2006/relationships/image" Target="media/image379.png"/><Relationship Id="rId423" Type="http://schemas.openxmlformats.org/officeDocument/2006/relationships/image" Target="media/image380.png"/><Relationship Id="rId424" Type="http://schemas.openxmlformats.org/officeDocument/2006/relationships/image" Target="media/image381.jpeg"/><Relationship Id="rId425" Type="http://schemas.openxmlformats.org/officeDocument/2006/relationships/image" Target="media/image382.png"/><Relationship Id="rId426" Type="http://schemas.openxmlformats.org/officeDocument/2006/relationships/image" Target="media/image383.png"/><Relationship Id="rId427" Type="http://schemas.openxmlformats.org/officeDocument/2006/relationships/image" Target="media/image384.png"/><Relationship Id="rId428" Type="http://schemas.openxmlformats.org/officeDocument/2006/relationships/image" Target="media/image385.png"/><Relationship Id="rId429" Type="http://schemas.openxmlformats.org/officeDocument/2006/relationships/image" Target="media/image386.png"/><Relationship Id="rId430" Type="http://schemas.openxmlformats.org/officeDocument/2006/relationships/image" Target="media/image387.png"/><Relationship Id="rId431" Type="http://schemas.openxmlformats.org/officeDocument/2006/relationships/image" Target="media/image388.png"/><Relationship Id="rId432" Type="http://schemas.openxmlformats.org/officeDocument/2006/relationships/image" Target="media/image389.png"/><Relationship Id="rId433" Type="http://schemas.openxmlformats.org/officeDocument/2006/relationships/image" Target="media/image390.png"/><Relationship Id="rId434" Type="http://schemas.openxmlformats.org/officeDocument/2006/relationships/image" Target="media/image391.png"/><Relationship Id="rId435" Type="http://schemas.openxmlformats.org/officeDocument/2006/relationships/image" Target="media/image392.png"/><Relationship Id="rId436" Type="http://schemas.openxmlformats.org/officeDocument/2006/relationships/image" Target="media/image393.png"/><Relationship Id="rId437" Type="http://schemas.openxmlformats.org/officeDocument/2006/relationships/image" Target="media/image394.png"/><Relationship Id="rId438" Type="http://schemas.openxmlformats.org/officeDocument/2006/relationships/image" Target="media/image395.png"/><Relationship Id="rId439" Type="http://schemas.openxmlformats.org/officeDocument/2006/relationships/image" Target="media/image396.png"/><Relationship Id="rId440" Type="http://schemas.openxmlformats.org/officeDocument/2006/relationships/image" Target="media/image397.png"/><Relationship Id="rId441" Type="http://schemas.openxmlformats.org/officeDocument/2006/relationships/image" Target="media/image398.png"/><Relationship Id="rId442" Type="http://schemas.openxmlformats.org/officeDocument/2006/relationships/image" Target="media/image399.png"/><Relationship Id="rId443" Type="http://schemas.openxmlformats.org/officeDocument/2006/relationships/image" Target="media/image400.png"/><Relationship Id="rId444" Type="http://schemas.openxmlformats.org/officeDocument/2006/relationships/image" Target="media/image401.png"/><Relationship Id="rId445" Type="http://schemas.openxmlformats.org/officeDocument/2006/relationships/image" Target="media/image402.jpeg"/><Relationship Id="rId446" Type="http://schemas.openxmlformats.org/officeDocument/2006/relationships/image" Target="media/image403.png"/><Relationship Id="rId447" Type="http://schemas.openxmlformats.org/officeDocument/2006/relationships/image" Target="media/image404.png"/><Relationship Id="rId24" Type="http://schemas.openxmlformats.org/officeDocument/2006/relationships/hyperlink" Target="https://www.sec.gov/ix?doc=/Archives/edgar/data/1792044/000179204425000008/vtrs-20241231.htm" TargetMode="External"/><Relationship Id="rId25" Type="http://schemas.openxmlformats.org/officeDocument/2006/relationships/hyperlink" Target="https://www.sec.gov/ix?doc=/Archives/edgar/data/1792044/000114036125016679/ny20042022x3_10ka.htm" TargetMode="External"/><Relationship Id="rId26" Type="http://schemas.openxmlformats.org/officeDocument/2006/relationships/hyperlink" Target="https://www.sec.gov/ix?doc=/Archives/edgar/data/1792044/000179204425000018/vtrs-20250331.htm" TargetMode="External"/><Relationship Id="rId27" Type="http://schemas.openxmlformats.org/officeDocument/2006/relationships/hyperlink" Target="https://www.sec.gov/ix?doc=/Archives/edgar/data/1792044/000179204425000004/vtrs-20250227.htm" TargetMode="External"/><Relationship Id="rId28" Type="http://schemas.openxmlformats.org/officeDocument/2006/relationships/hyperlink" Target="https://www.sec.gov/ix?doc=/Archives/edgar/data/1792044/000114036125017356/ef20048420_8k.htm" TargetMode="External"/><Relationship Id="rId29" Type="http://schemas.openxmlformats.org/officeDocument/2006/relationships/hyperlink" Target="https://www.sec.gov/ix?doc=/Archives/edgar/data/1792044/000179204425000016/vtrs-20250508.htm" TargetMode="External"/><Relationship Id="rId30" Type="http://schemas.openxmlformats.org/officeDocument/2006/relationships/hyperlink" Target="https://www.sec.gov/Archives/edgar/data/1792044/000179204424000008/ex_49xvtrsx20231231x10-k.htm" TargetMode="External"/><Relationship Id="rId31" Type="http://schemas.openxmlformats.org/officeDocument/2006/relationships/hyperlink" Target="https://www.sec.gov/ix?doc=/Archives/edgar/data/1792044/000179204424000008/vtrs-20231231.htm" TargetMode="External"/><Relationship Id="rId72" Type="http://schemas.openxmlformats.org/officeDocument/2006/relationships/hyperlink" Target="https://www.sec.gov/Archives/edgar/data/1792044/000119312520298226/d56774dex31.htm" TargetMode="External"/><Relationship Id="rId73" Type="http://schemas.openxmlformats.org/officeDocument/2006/relationships/hyperlink" Target="https://www.sec.gov/Archives/edgar/data/1792044/000119312520298226/d56774dex33.htm" TargetMode="External"/><Relationship Id="rId74" Type="http://schemas.openxmlformats.org/officeDocument/2006/relationships/hyperlink" Target="https://www.sec.gov/Archives/edgar/data/1792044/000179204424000008/ex_31cxvtrsx20231231x10-k.htm" TargetMode="External"/><Relationship Id="rId75" Type="http://schemas.openxmlformats.org/officeDocument/2006/relationships/hyperlink" Target="https://www.sec.gov/Archives/edgar/data/1792044/000179204424000008/ex_31dxvtrsx20231231x10-k.htm" TargetMode="External"/><Relationship Id="rId76" Type="http://schemas.openxmlformats.org/officeDocument/2006/relationships/hyperlink" Target="https://www.sec.gov/Archives/edgar/data/1792044/000119312523296654/d662898dex31.htm" TargetMode="External"/><Relationship Id="rId77" Type="http://schemas.openxmlformats.org/officeDocument/2006/relationships/hyperlink" Target="https://www.sec.gov/Archives/edgar/data/69499/000119312521270106/d224377dex34.htm" TargetMode="External"/><Relationship Id="rId78" Type="http://schemas.openxmlformats.org/officeDocument/2006/relationships/hyperlink" Target="https://www.sec.gov/Archives/edgar/data/69499/000119312521270106/d224377dex35.htm" TargetMode="External"/><Relationship Id="rId79" Type="http://schemas.openxmlformats.org/officeDocument/2006/relationships/hyperlink" Target="https://www.sec.gov/Archives/edgar/data/69499/000119312521270106/d224377dex36.htm" TargetMode="External"/><Relationship Id="rId80" Type="http://schemas.openxmlformats.org/officeDocument/2006/relationships/hyperlink" Target="https://www.sec.gov/Archives/edgar/data/69499/000119312521270106/d224377dex37.htm" TargetMode="External"/><Relationship Id="rId81" Type="http://schemas.openxmlformats.org/officeDocument/2006/relationships/hyperlink" Target="https://www.sec.gov/Archives/edgar/data/69499/000119312521270106/d224377dex38.htm" TargetMode="External"/><Relationship Id="rId84" Type="http://schemas.openxmlformats.org/officeDocument/2006/relationships/hyperlink" Target="https://www.sec.gov/Archives/edgar/data/69499/000110465913087739/a13-20314_5ex4d1.htm" TargetMode="External"/><Relationship Id="rId85" Type="http://schemas.openxmlformats.org/officeDocument/2006/relationships/hyperlink" Target="https://www.sec.gov/Archives/edgar/data/69499/000110465913087739/a13-20314_5ex4d2.htm" TargetMode="External"/><Relationship Id="rId87" Type="http://schemas.openxmlformats.org/officeDocument/2006/relationships/hyperlink" Target="https://www.sec.gov/Archives/edgar/data/69499/000119312515068777/d882093dex46.htm" TargetMode="External"/><Relationship Id="rId89" Type="http://schemas.openxmlformats.org/officeDocument/2006/relationships/hyperlink" Target="https://www.sec.gov/Archives/edgar/data/1623613/000162361315000009/myl_ex45bx20150331-10q.htm" TargetMode="External"/><Relationship Id="rId91" Type="http://schemas.openxmlformats.org/officeDocument/2006/relationships/hyperlink" Target="https://www.sec.gov/Archives/edgar/data/1792044/000119312520298236/d57281dex47.htm" TargetMode="External"/><Relationship Id="rId93" Type="http://schemas.openxmlformats.org/officeDocument/2006/relationships/hyperlink" Target="https://www.sec.gov/Archives/edgar/data/1623613/000119312516622620/d207286dex41.htm" TargetMode="External"/><Relationship Id="rId95" Type="http://schemas.openxmlformats.org/officeDocument/2006/relationships/hyperlink" Target="https://www.sec.gov/Archives/edgar/data/1792044/000119312520298236/d57281dex44.htm" TargetMode="External"/><Relationship Id="rId97" Type="http://schemas.openxmlformats.org/officeDocument/2006/relationships/hyperlink" Target="https://www.sec.gov/Archives/edgar/data/1623613/000162361317000007/exhibit49.htm" TargetMode="External"/><Relationship Id="rId99" Type="http://schemas.openxmlformats.org/officeDocument/2006/relationships/hyperlink" Target="https://www.sec.gov/Archives/edgar/data/1792044/000119312520298236/d57281dex45.htm" TargetMode="External"/><Relationship Id="rId101" Type="http://schemas.openxmlformats.org/officeDocument/2006/relationships/hyperlink" Target="https://www.sec.gov/Archives/edgar/data/1623613/000119312518111603/d560332dex41.htm" TargetMode="External"/><Relationship Id="rId105" Type="http://schemas.openxmlformats.org/officeDocument/2006/relationships/hyperlink" Target="https://www.sec.gov/Archives/edgar/data/1792044/000119312520298236/d57281dex48.htm" TargetMode="External"/><Relationship Id="rId106" Type="http://schemas.openxmlformats.org/officeDocument/2006/relationships/hyperlink" Target="https://www.sec.gov/Archives/edgar/data/1623613/000119312518172116/d566535dex41.htm" TargetMode="External"/><Relationship Id="rId108" Type="http://schemas.openxmlformats.org/officeDocument/2006/relationships/hyperlink" Target="https://www.sec.gov/Archives/edgar/data/1792044/000119312520298236/d57281dex49.htm" TargetMode="External"/><Relationship Id="rId110" Type="http://schemas.openxmlformats.org/officeDocument/2006/relationships/hyperlink" Target="https://www.sec.gov/Archives/edgar/data/1792044/000119312520181088/d920857dex41.htm" TargetMode="External"/><Relationship Id="rId112" Type="http://schemas.openxmlformats.org/officeDocument/2006/relationships/hyperlink" Target="https://www.sec.gov/Archives/edgar/data/1792044/000119312520298236/d57281dex41.htm" TargetMode="External"/><Relationship Id="rId114" Type="http://schemas.openxmlformats.org/officeDocument/2006/relationships/hyperlink" Target="https://www.sec.gov/Archives/edgar/data/1792044/000119312520181088/d920857dex49.htm" TargetMode="External"/><Relationship Id="rId116" Type="http://schemas.openxmlformats.org/officeDocument/2006/relationships/hyperlink" Target="https://www.sec.gov/Archives/edgar/data/1792044/000119312520298236/d57281dex42.htm" TargetMode="External"/><Relationship Id="rId126" Type="http://schemas.openxmlformats.org/officeDocument/2006/relationships/hyperlink" Target="https://www.sec.gov/Archives/edgar/data/1792044/000179204425000008/ex_22-vtrsx20241231x10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2025-05-08T15:38:16Z</dcterms:created>
  <dcterms:modified xsi:type="dcterms:W3CDTF">2025-05-08T15:38:16Z</dcterms:modified>
</cp:coreProperties>
</file>