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534670</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420" w:right="280" w:hanging="394"/>
        <w:spacing w:after="0" w:line="235" w:lineRule="auto"/>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20" w:right="260" w:hanging="394"/>
        <w:spacing w:after="0" w:line="235"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transition period from _____________to___________</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001-39695</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VIATRIS INC.</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13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2">
            <w:col w:w="7360" w:space="720"/>
            <w:col w:w="3100"/>
          </w:cols>
          <w:pgMar w:left="320" w:top="994" w:right="399" w:bottom="1440" w:gutter="0" w:footer="0" w:header="0"/>
          <w:type w:val="continuous"/>
        </w:sectPr>
      </w:pPr>
    </w:p>
    <w:p>
      <w:pPr>
        <w:jc w:val="center"/>
        <w:ind w:right="1540"/>
        <w:spacing w:after="0"/>
        <w:rPr>
          <w:sz w:val="20"/>
          <w:szCs w:val="20"/>
          <w:color w:val="auto"/>
        </w:rPr>
      </w:pPr>
      <w:r>
        <w:rPr>
          <w:rFonts w:ascii="Arial" w:cs="Arial" w:eastAsia="Arial" w:hAnsi="Arial"/>
          <w:sz w:val="14"/>
          <w:szCs w:val="14"/>
          <w:i w:val="1"/>
          <w:iCs w:val="1"/>
          <w:color w:val="auto"/>
        </w:rPr>
        <w:t>(State or other jurisdiction</w:t>
      </w:r>
    </w:p>
    <w:p>
      <w:pPr>
        <w:jc w:val="center"/>
        <w:ind w:right="154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4"/>
          <w:szCs w:val="14"/>
          <w:i w:val="1"/>
          <w:iCs w:val="1"/>
          <w:color w:val="auto"/>
        </w:rPr>
        <w:t>(I.R.S. Employer</w:t>
      </w:r>
    </w:p>
    <w:p>
      <w:pPr>
        <w:jc w:val="center"/>
        <w:ind w:right="2140"/>
        <w:spacing w:after="0"/>
        <w:rPr>
          <w:sz w:val="20"/>
          <w:szCs w:val="20"/>
          <w:color w:val="auto"/>
        </w:rPr>
      </w:pPr>
      <w:r>
        <w:rPr>
          <w:rFonts w:ascii="Arial" w:cs="Arial" w:eastAsia="Arial" w:hAnsi="Arial"/>
          <w:sz w:val="13"/>
          <w:szCs w:val="13"/>
          <w:i w:val="1"/>
          <w:iCs w:val="1"/>
          <w:color w:val="auto"/>
        </w:rPr>
        <w:t>Identification No.)</w:t>
      </w:r>
    </w:p>
    <w:p>
      <w:pPr>
        <w:spacing w:after="0" w:line="122"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1000 Mylan Boulevard, Canonsburg, Pennsylvania 15317</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(724) 514-1800</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45"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54" w:lineRule="exact"/>
        <w:rPr>
          <w:sz w:val="24"/>
          <w:szCs w:val="24"/>
          <w:color w:val="auto"/>
        </w:rPr>
      </w:pPr>
    </w:p>
    <w:p>
      <w:pPr>
        <w:sectPr>
          <w:pgSz w:w="11900" w:h="16838" w:orient="portrait"/>
          <w:cols w:equalWidth="0" w:num="3">
            <w:col w:w="3980" w:space="720"/>
            <w:col w:w="2180" w:space="720"/>
            <w:col w:w="3580"/>
          </w:cols>
          <w:pgMar w:left="320" w:top="994" w:right="39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VTRS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Stock Market</w:t>
      </w:r>
    </w:p>
    <w:p>
      <w:pPr>
        <w:spacing w:after="0" w:line="200" w:lineRule="exact"/>
        <w:rPr>
          <w:sz w:val="24"/>
          <w:szCs w:val="24"/>
          <w:color w:val="auto"/>
        </w:rPr>
      </w:pPr>
    </w:p>
    <w:p>
      <w:pPr>
        <w:sectPr>
          <w:pgSz w:w="11900" w:h="16838" w:orient="portrait"/>
          <w:cols w:equalWidth="0" w:num="3">
            <w:col w:w="4420" w:space="720"/>
            <w:col w:w="2420" w:space="720"/>
            <w:col w:w="2900"/>
          </w:cols>
          <w:pgMar w:left="320" w:top="994" w:right="399" w:bottom="1440" w:gutter="0" w:footer="0" w:header="0"/>
          <w:type w:val="continuous"/>
        </w:sectPr>
      </w:pPr>
    </w:p>
    <w:p>
      <w:pPr>
        <w:spacing w:after="0" w:line="25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8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left="20" w:right="8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ind w:left="580"/>
        <w:spacing w:after="0"/>
        <w:rPr>
          <w:sz w:val="20"/>
          <w:szCs w:val="20"/>
          <w:color w:val="auto"/>
        </w:rPr>
      </w:pPr>
      <w:r>
        <w:rPr>
          <w:rFonts w:ascii="Arial" w:cs="Arial" w:eastAsia="Arial" w:hAnsi="Arial"/>
          <w:sz w:val="16"/>
          <w:szCs w:val="16"/>
          <w:color w:val="auto"/>
        </w:rPr>
        <w:t>The number of shares of common stock outstanding, par value $0.01 per share, of the registrant as of November 2, 2022 was 1,212,684,598.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140970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114935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VIATRIS INC. AND SUBSIDIARIES</w:t>
      </w:r>
    </w:p>
    <w:p>
      <w:pPr>
        <w:spacing w:after="0" w:line="11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INDEX TO 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6900" w:type="dxa"/>
            <w:vAlign w:val="bottom"/>
            <w:gridSpan w:val="9"/>
            <w:vMerge w:val="restart"/>
          </w:tcPr>
          <w:p>
            <w:pPr>
              <w:jc w:val="center"/>
              <w:ind w:right="1780"/>
              <w:spacing w:after="0"/>
              <w:rPr>
                <w:sz w:val="20"/>
                <w:szCs w:val="20"/>
                <w:color w:val="auto"/>
              </w:rPr>
            </w:pPr>
            <w:r>
              <w:rPr>
                <w:rFonts w:ascii="Arial" w:cs="Arial" w:eastAsia="Arial" w:hAnsi="Arial"/>
                <w:sz w:val="18"/>
                <w:szCs w:val="18"/>
                <w:b w:val="1"/>
                <w:bCs w:val="1"/>
                <w:color w:val="auto"/>
              </w:rPr>
              <w:t>PART I — FINANCIAL INFORMATION</w:t>
            </w: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6900" w:type="dxa"/>
            <w:vAlign w:val="bottom"/>
            <w:gridSpan w:val="9"/>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60" w:type="dxa"/>
            <w:vAlign w:val="bottom"/>
            <w:gridSpan w:val="14"/>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340" w:type="dxa"/>
            <w:vAlign w:val="bottom"/>
            <w:gridSpan w:val="12"/>
          </w:tcPr>
          <w:p>
            <w:pPr>
              <w:spacing w:after="0" w:line="190" w:lineRule="exact"/>
              <w:rPr>
                <w:sz w:val="20"/>
                <w:szCs w:val="20"/>
                <w:color w:val="auto"/>
              </w:rPr>
            </w:pPr>
            <w:r>
              <w:rPr>
                <w:rFonts w:ascii="Arial" w:cs="Arial" w:eastAsia="Arial" w:hAnsi="Arial"/>
                <w:sz w:val="18"/>
                <w:szCs w:val="18"/>
                <w:color w:val="0000FF"/>
                <w:w w:val="89"/>
              </w:rPr>
              <w:t>Condensed Consolidated Statements of Operations — Three and Nine Months Ended September 30, 2022 and 2021</w:t>
            </w:r>
          </w:p>
        </w:tc>
        <w:tc>
          <w:tcPr>
            <w:tcW w:w="320" w:type="dxa"/>
            <w:vAlign w:val="bottom"/>
            <w:gridSpan w:val="2"/>
          </w:tcPr>
          <w:p>
            <w:pPr>
              <w:spacing w:after="0"/>
              <w:rPr>
                <w:sz w:val="16"/>
                <w:szCs w:val="16"/>
                <w:color w:val="auto"/>
              </w:rPr>
            </w:pPr>
          </w:p>
        </w:tc>
        <w:tc>
          <w:tcPr>
            <w:tcW w:w="980" w:type="dxa"/>
            <w:vAlign w:val="bottom"/>
            <w:gridSpan w:val="4"/>
          </w:tcPr>
          <w:p>
            <w:pPr>
              <w:jc w:val="right"/>
              <w:ind w:right="20"/>
              <w:spacing w:after="0" w:line="190" w:lineRule="exact"/>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4"/>
          </w:tcPr>
          <w:p>
            <w:pPr>
              <w:spacing w:after="0"/>
              <w:rPr>
                <w:sz w:val="20"/>
                <w:szCs w:val="20"/>
                <w:color w:val="auto"/>
              </w:rPr>
            </w:pPr>
            <w:r>
              <w:rPr>
                <w:rFonts w:ascii="Arial" w:cs="Arial" w:eastAsia="Arial" w:hAnsi="Arial"/>
                <w:sz w:val="18"/>
                <w:szCs w:val="18"/>
                <w:color w:val="0000FF"/>
                <w:w w:val="91"/>
              </w:rPr>
              <w:t>Condensed Consolidated Statements of Comprehensive (Loss) Earnings — Three and Nine Months Ended September</w:t>
            </w:r>
          </w:p>
        </w:tc>
        <w:tc>
          <w:tcPr>
            <w:tcW w:w="9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8"/>
              </w:rPr>
              <w:t>30, 2022 and 2021</w:t>
            </w:r>
          </w:p>
        </w:tc>
        <w:tc>
          <w:tcPr>
            <w:tcW w:w="42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4"/>
          </w:tcPr>
          <w:p>
            <w:pPr>
              <w:spacing w:after="0"/>
              <w:rPr>
                <w:sz w:val="20"/>
                <w:szCs w:val="20"/>
                <w:color w:val="auto"/>
              </w:rPr>
            </w:pPr>
            <w:r>
              <w:rPr>
                <w:rFonts w:ascii="Arial" w:cs="Arial" w:eastAsia="Arial" w:hAnsi="Arial"/>
                <w:sz w:val="18"/>
                <w:szCs w:val="18"/>
                <w:color w:val="0000FF"/>
              </w:rPr>
              <w:t>Condensed Consolidated Balance Sheets — September 30, 2022 and December 31, 2021</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60" w:type="dxa"/>
            <w:vAlign w:val="bottom"/>
            <w:gridSpan w:val="14"/>
          </w:tcPr>
          <w:p>
            <w:pPr>
              <w:spacing w:after="0"/>
              <w:rPr>
                <w:sz w:val="20"/>
                <w:szCs w:val="20"/>
                <w:color w:val="auto"/>
              </w:rPr>
            </w:pPr>
            <w:r>
              <w:rPr>
                <w:rFonts w:ascii="Arial" w:cs="Arial" w:eastAsia="Arial" w:hAnsi="Arial"/>
                <w:sz w:val="18"/>
                <w:szCs w:val="18"/>
                <w:color w:val="0000FF"/>
                <w:w w:val="96"/>
              </w:rPr>
              <w:t>Condensed Consolidated Statements of Equity — Three and Nine Months Ended September 30, 2022 and 2021</w:t>
            </w: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w w:val="93"/>
              </w:rPr>
              <w:t>Condensed Consolidated Statements of Cash Flows — Nine Months Ended September 30, 2022 and 2021</w:t>
            </w:r>
          </w:p>
        </w:tc>
        <w:tc>
          <w:tcPr>
            <w:tcW w:w="64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2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04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60" w:type="dxa"/>
            <w:vAlign w:val="bottom"/>
            <w:gridSpan w:val="1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Controls and Procedures</w:t>
            </w:r>
          </w:p>
        </w:tc>
        <w:tc>
          <w:tcPr>
            <w:tcW w:w="432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900" w:type="dxa"/>
            <w:vAlign w:val="bottom"/>
            <w:gridSpan w:val="9"/>
          </w:tcPr>
          <w:p>
            <w:pPr>
              <w:jc w:val="center"/>
              <w:ind w:right="1800"/>
              <w:spacing w:after="0"/>
              <w:rPr>
                <w:sz w:val="20"/>
                <w:szCs w:val="20"/>
                <w:color w:val="auto"/>
              </w:rPr>
            </w:pPr>
            <w:r>
              <w:rPr>
                <w:rFonts w:ascii="Arial" w:cs="Arial" w:eastAsia="Arial" w:hAnsi="Arial"/>
                <w:sz w:val="18"/>
                <w:szCs w:val="18"/>
                <w:b w:val="1"/>
                <w:bCs w:val="1"/>
                <w:color w:val="auto"/>
              </w:rPr>
              <w:t>PART II — OTHER INFORMATION</w:t>
            </w:r>
          </w:p>
        </w:tc>
        <w:tc>
          <w:tcPr>
            <w:tcW w:w="7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4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8660" w:type="dxa"/>
            <w:vAlign w:val="bottom"/>
            <w:gridSpan w:val="14"/>
          </w:tcPr>
          <w:p>
            <w:pPr>
              <w:spacing w:after="0" w:line="190" w:lineRule="exact"/>
              <w:rPr>
                <w:sz w:val="20"/>
                <w:szCs w:val="20"/>
                <w:color w:val="auto"/>
              </w:rPr>
            </w:pPr>
            <w:r>
              <w:rPr>
                <w:rFonts w:ascii="Arial" w:cs="Arial" w:eastAsia="Arial" w:hAnsi="Arial"/>
                <w:sz w:val="18"/>
                <w:szCs w:val="18"/>
                <w:color w:val="0000FF"/>
              </w:rPr>
              <w:t>Legal Proceedings</w:t>
            </w:r>
          </w:p>
        </w:tc>
        <w:tc>
          <w:tcPr>
            <w:tcW w:w="960" w:type="dxa"/>
            <w:vAlign w:val="bottom"/>
            <w:gridSpan w:val="3"/>
          </w:tcPr>
          <w:p>
            <w:pPr>
              <w:jc w:val="right"/>
              <w:spacing w:after="0" w:line="190" w:lineRule="exact"/>
              <w:rPr>
                <w:sz w:val="20"/>
                <w:szCs w:val="20"/>
                <w:color w:val="auto"/>
              </w:rPr>
            </w:pPr>
            <w:r>
              <w:rPr>
                <w:rFonts w:ascii="Arial" w:cs="Arial" w:eastAsia="Arial" w:hAnsi="Arial"/>
                <w:sz w:val="18"/>
                <w:szCs w:val="18"/>
                <w:color w:val="0000FF"/>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tcPr>
          <w:p>
            <w:pPr>
              <w:spacing w:after="0"/>
              <w:rPr>
                <w:sz w:val="24"/>
                <w:szCs w:val="24"/>
                <w:color w:val="auto"/>
              </w:rPr>
            </w:pPr>
          </w:p>
        </w:tc>
        <w:tc>
          <w:tcPr>
            <w:tcW w:w="734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806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5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Defined Terms</w:t>
      </w:r>
    </w:p>
    <w:p>
      <w:pPr>
        <w:spacing w:after="0" w:line="243"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2003 LTIP</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Amended and Restated 2003 Long-Term Incentive Plan</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annual report on Form 10-K for the fiscal year ended December</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2021 Form 10-K</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 2021, as amended</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4"/>
                <w:szCs w:val="14"/>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provide information to investors - EBITDA (defined below) is further</w:t>
            </w:r>
          </w:p>
        </w:tc>
        <w:tc>
          <w:tcPr>
            <w:tcW w:w="280" w:type="dxa"/>
            <w:vAlign w:val="bottom"/>
          </w:tcPr>
          <w:p>
            <w:pPr>
              <w:spacing w:after="0"/>
              <w:rPr>
                <w:sz w:val="15"/>
                <w:szCs w:val="15"/>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89"/>
              </w:rPr>
              <w:t>adjusted for share-based compensation expense, litigation settlements, and</w:t>
            </w:r>
          </w:p>
        </w:tc>
        <w:tc>
          <w:tcPr>
            <w:tcW w:w="280" w:type="dxa"/>
            <w:vAlign w:val="bottom"/>
          </w:tcPr>
          <w:p>
            <w:pPr>
              <w:spacing w:after="0"/>
              <w:rPr>
                <w:sz w:val="16"/>
                <w:szCs w:val="16"/>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Adjusted EBITDA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contingencies, net, restructuring and other special items</w:t>
            </w:r>
          </w:p>
        </w:tc>
        <w:tc>
          <w:tcPr>
            <w:tcW w:w="280" w:type="dxa"/>
            <w:vAlign w:val="bottom"/>
          </w:tcPr>
          <w:p>
            <w:pPr>
              <w:spacing w:after="0"/>
              <w:rPr>
                <w:sz w:val="20"/>
                <w:szCs w:val="20"/>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Abbreviated New Drug Application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AOCE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Accumulated other comprehensive earnings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APIs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Active pharmaceutical ingredients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ARV</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Antiretroviral medicines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Codification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Standards Update</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Biocon Limited</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Biologics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Biocon Biologics Limited, a majority owned subsidiary of Biocon</w:t>
            </w:r>
          </w:p>
        </w:tc>
        <w:tc>
          <w:tcPr>
            <w:tcW w:w="280" w:type="dxa"/>
            <w:vAlign w:val="bottom"/>
          </w:tcPr>
          <w:p>
            <w:pPr>
              <w:spacing w:after="0"/>
              <w:rPr>
                <w:sz w:val="19"/>
                <w:szCs w:val="19"/>
                <w:color w:val="auto"/>
              </w:rPr>
            </w:pPr>
          </w:p>
        </w:tc>
      </w:tr>
      <w:tr>
        <w:trPr>
          <w:trHeight w:val="195"/>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2"/>
              </w:rPr>
              <w:t>The pending transaction between Viatris and Biocon Biologics pursuant to</w:t>
            </w:r>
          </w:p>
        </w:tc>
        <w:tc>
          <w:tcPr>
            <w:tcW w:w="280" w:type="dxa"/>
            <w:vAlign w:val="bottom"/>
          </w:tcPr>
          <w:p>
            <w:pPr>
              <w:spacing w:after="0"/>
              <w:rPr>
                <w:sz w:val="16"/>
                <w:szCs w:val="16"/>
                <w:color w:val="auto"/>
              </w:rPr>
            </w:pPr>
          </w:p>
        </w:tc>
      </w:tr>
      <w:tr>
        <w:trPr>
          <w:trHeight w:val="25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Biologics Transaction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which Viatris will contribute its biosimilars portfolio to Biocon Biologics</w:t>
            </w:r>
          </w:p>
        </w:tc>
        <w:tc>
          <w:tcPr>
            <w:tcW w:w="280" w:type="dxa"/>
            <w:vAlign w:val="bottom"/>
          </w:tcPr>
          <w:p>
            <w:pPr>
              <w:spacing w:after="0"/>
              <w:rPr>
                <w:sz w:val="22"/>
                <w:szCs w:val="22"/>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The transaction agreement between Viatris and Biocon Biologics, dated</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Biocon Agreement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27, 2022, relating to the Biocon Biologics Transaction</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Biogen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Biogen MA Inc. and Biogen International GmbH, collectively</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Business Combination Agreement, dated as of July 29, 2019, as amended</w:t>
            </w:r>
          </w:p>
        </w:tc>
        <w:tc>
          <w:tcPr>
            <w:tcW w:w="280" w:type="dxa"/>
            <w:vAlign w:val="bottom"/>
          </w:tcPr>
          <w:p>
            <w:pPr>
              <w:spacing w:after="0"/>
              <w:rPr>
                <w:sz w:val="14"/>
                <w:szCs w:val="14"/>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from time to time, among Viatris, Mylan, Pfizer and certain of their</w:t>
            </w:r>
          </w:p>
        </w:tc>
        <w:tc>
          <w:tcPr>
            <w:tcW w:w="280" w:type="dxa"/>
            <w:vAlign w:val="bottom"/>
          </w:tcPr>
          <w:p>
            <w:pPr>
              <w:spacing w:after="0"/>
              <w:rPr>
                <w:sz w:val="15"/>
                <w:szCs w:val="15"/>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Business Combination Agreement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Used to define the three equity method investments the Company has in</w:t>
            </w:r>
          </w:p>
        </w:tc>
        <w:tc>
          <w:tcPr>
            <w:tcW w:w="280" w:type="dxa"/>
            <w:vAlign w:val="bottom"/>
          </w:tcPr>
          <w:p>
            <w:pPr>
              <w:spacing w:after="0"/>
              <w:rPr>
                <w:sz w:val="14"/>
                <w:szCs w:val="14"/>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4"/>
              </w:rPr>
              <w:t>limited liability companies that own refined coal production plants whose</w:t>
            </w:r>
          </w:p>
        </w:tc>
        <w:tc>
          <w:tcPr>
            <w:tcW w:w="280" w:type="dxa"/>
            <w:vAlign w:val="bottom"/>
          </w:tcPr>
          <w:p>
            <w:pPr>
              <w:spacing w:after="0"/>
              <w:rPr>
                <w:sz w:val="15"/>
                <w:szCs w:val="15"/>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clean energy investments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activities qualify for income tax credits under Section 45 of the Code</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Code</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U.S. Internal Revenue Code of 1986, as amended</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Refers to Mylan combining with Pfizer's Upjohn Business in a Reverse</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Combination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Morris Trust transaction to form Viatris on November 16, 2020</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The $1.65 billion unsecured commercial paper program entered into as of</w:t>
            </w:r>
          </w:p>
        </w:tc>
        <w:tc>
          <w:tcPr>
            <w:tcW w:w="280" w:type="dxa"/>
            <w:vAlign w:val="bottom"/>
          </w:tcPr>
          <w:p>
            <w:pPr>
              <w:spacing w:after="0"/>
              <w:rPr>
                <w:sz w:val="14"/>
                <w:szCs w:val="14"/>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November 16, 2020 by Viatris, as issuer, Mylan Inc., Utah Acquisition Sub</w:t>
            </w:r>
          </w:p>
        </w:tc>
        <w:tc>
          <w:tcPr>
            <w:tcW w:w="280" w:type="dxa"/>
            <w:vAlign w:val="bottom"/>
          </w:tcPr>
          <w:p>
            <w:pPr>
              <w:spacing w:after="0"/>
              <w:rPr>
                <w:sz w:val="15"/>
                <w:szCs w:val="15"/>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Commercial Paper Program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Inc. and Mylan II B.V., as guarantors, and certain dealers from time to time</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COVID-19</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Novel coronavirus disease of 2019</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Developed Markets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North America and Europe</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Pfizer's distribution to Pfizer stockholders all the issued and outstanding</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Distribution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shares of Upjohn Inc.</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DOJ</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Department of Justice</w:t>
            </w:r>
          </w:p>
        </w:tc>
        <w:tc>
          <w:tcPr>
            <w:tcW w:w="280" w:type="dxa"/>
            <w:vAlign w:val="bottom"/>
          </w:tcPr>
          <w:p>
            <w:pPr>
              <w:spacing w:after="0"/>
              <w:rPr>
                <w:sz w:val="19"/>
                <w:szCs w:val="19"/>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DRIP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Dividend Reinvestment and Share Purchase Plan</w:t>
            </w:r>
          </w:p>
        </w:tc>
        <w:tc>
          <w:tcPr>
            <w:tcW w:w="280" w:type="dxa"/>
            <w:vAlign w:val="bottom"/>
          </w:tcPr>
          <w:p>
            <w:pPr>
              <w:spacing w:after="0"/>
              <w:rPr>
                <w:sz w:val="21"/>
                <w:szCs w:val="21"/>
                <w:color w:val="auto"/>
              </w:rPr>
            </w:pPr>
          </w:p>
        </w:tc>
      </w:tr>
      <w:tr>
        <w:trPr>
          <w:trHeight w:val="884"/>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2"/>
              </w:rPr>
              <w:t>Non-GAAP financial measure that the Company believes is appropriate to</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provide information to investors - U.S. GAAP net earnings (loss) adjusted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EBITDA</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for net contribution attributable to equity method investments, income tax</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provision (benefit), interest expense and depreciation and amortization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Eastern District of Pennsylvania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Viatris’ business segment that includes, but is not limited to, our operations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6"/>
              </w:rPr>
              <w:t>primarily in the following markets: Parts of Asia, the Middle East, South</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Emerging Markets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Central America, Africa, and Eastern Europe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ERP system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Enterprise resource planning system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European Union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Exchange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Exchange Act of 1934,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FASB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Accounting Standards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Food and Drug Administration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This quarterly report on Form 10-Q for the quarterly period ended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Form 10-Q</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September 30, 2022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Greater China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following markets: China, Taiwan and Hong Kong</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Gx</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Generic drugs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IPR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 Partes review</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Internal Revenue Service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Information technology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Viatris’ business segment that includes our operations in the following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JANZ segment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markets: Japan, Australia and New Zealand</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LIBOR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London Interbank Offered 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Lilly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Eli Lilly and Company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The maximum consolidated leverage ratio financial covenant requiring</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Borders>
              <w:left w:val="single" w:sz="8" w:color="auto"/>
              <w:right w:val="single" w:sz="8" w:color="auto"/>
            </w:tcBorders>
          </w:tcPr>
          <w:p>
            <w:pPr>
              <w:spacing w:after="0"/>
              <w:rPr>
                <w:sz w:val="18"/>
                <w:szCs w:val="18"/>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maintenance of a maximum ratio of consolidated total indebtedness as of</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end of any quarter to consolidated EBITDA for the trailing four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 leverage ratio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quarters as defined in the related credit agreements from time to time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MDL</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Multidistrict litigation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MPI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Pharmaceuticals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N.V. and its subsidiaries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Mylan II B.V., a company incorporated under the laws of the Netherlands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and an indirect wholly owned subsidiary of Viatris, in which legacy Mylan</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 II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merged with and into</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2.125% Senior Notes due 2025 issued by Mylan Inc., which are fully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and unconditionally guaranteed on a senior unsecured basis by Mylan II</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 Inc. Euro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B.V., Viatris Inc. and Utah Acquisition Sub Inc.</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The 4.200% Senior Notes due 2023, 3.125% Senior Notes due 2023,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9"/>
              </w:rPr>
              <w:t>4.550% Senior Notes due 2028, 5.400% Senior Notes due 2043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5.200% Senior Notes due 2048 issued by Mylan Inc., which are fully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unconditionally guaranteed on a senior unsecured basis by Mylan II B.V.,</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 Inc. U.S. Dollar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and Utah Acquisition Sub 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Mylan Securitization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Securitization LLC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NASDAQ</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NASDAQ Stock Market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NDA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NHS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National Health Services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The note securitization facility entered into in August 2022 for borrowings</w:t>
            </w:r>
          </w:p>
        </w:tc>
        <w:tc>
          <w:tcPr>
            <w:tcW w:w="280" w:type="dxa"/>
            <w:vAlign w:val="bottom"/>
          </w:tcPr>
          <w:p>
            <w:pPr>
              <w:spacing w:after="0"/>
              <w:rPr>
                <w:sz w:val="16"/>
                <w:szCs w:val="16"/>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Note Securitization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up to $200 million and expiring in August 2023</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Over-the-counter</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Pfizer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 Inc.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Viatris Inc. 2020 Stock Incentive Plan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Performance awards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PTAB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Patent Trial and Appeal Board</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The $400 million accounts receivable entered into in August 2020 and</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Receivables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expiring in April 2025</w:t>
            </w:r>
          </w:p>
        </w:tc>
        <w:tc>
          <w:tcPr>
            <w:tcW w:w="280" w:type="dxa"/>
            <w:vAlign w:val="bottom"/>
          </w:tcPr>
          <w:p>
            <w:pPr>
              <w:spacing w:after="0"/>
              <w:rPr>
                <w:sz w:val="21"/>
                <w:szCs w:val="21"/>
                <w:color w:val="auto"/>
              </w:rPr>
            </w:pPr>
          </w:p>
        </w:tc>
      </w:tr>
      <w:tr>
        <w:trPr>
          <w:trHeight w:val="195"/>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The 1.650% Senior Notes due 2025, 2.300% Senior Notes due 2027,</w:t>
            </w:r>
          </w:p>
        </w:tc>
        <w:tc>
          <w:tcPr>
            <w:tcW w:w="280" w:type="dxa"/>
            <w:vAlign w:val="bottom"/>
          </w:tcPr>
          <w:p>
            <w:pPr>
              <w:spacing w:after="0"/>
              <w:rPr>
                <w:sz w:val="16"/>
                <w:szCs w:val="16"/>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9"/>
              </w:rPr>
              <w:t>2.700% Senior Notes due 2030, 3.850% Senior Notes due 2040 and</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8"/>
              </w:rPr>
              <w:t>4.000% Senior Notes due 2050 originally issued on October 29, 2021</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4"/>
              </w:rPr>
              <w:t>registered with the SEC in exchange for the corresponding Unregistered</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2"/>
              </w:rPr>
              <w:t>Upjohn U.S. Dollar Notes in a similar aggregate principal amount and with</w:t>
            </w:r>
          </w:p>
        </w:tc>
        <w:tc>
          <w:tcPr>
            <w:tcW w:w="280" w:type="dxa"/>
            <w:vAlign w:val="bottom"/>
          </w:tcPr>
          <w:p>
            <w:pPr>
              <w:spacing w:after="0"/>
              <w:rPr>
                <w:sz w:val="17"/>
                <w:szCs w:val="17"/>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w w:val="96"/>
              </w:rPr>
              <w:t>terms substantially identical to the corresponding Unregistered Upjohn</w:t>
            </w:r>
          </w:p>
        </w:tc>
        <w:tc>
          <w:tcPr>
            <w:tcW w:w="280" w:type="dxa"/>
            <w:vAlign w:val="bottom"/>
          </w:tcPr>
          <w:p>
            <w:pPr>
              <w:spacing w:after="0"/>
              <w:rPr>
                <w:sz w:val="17"/>
                <w:szCs w:val="17"/>
                <w:color w:val="auto"/>
              </w:rPr>
            </w:pPr>
          </w:p>
        </w:tc>
      </w:tr>
      <w:tr>
        <w:trPr>
          <w:trHeight w:val="189"/>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3"/>
              </w:rPr>
              <w:t>U.S. Dollar Notes and fully and unconditionally guaranteed by Mylan Inc.,</w:t>
            </w:r>
          </w:p>
        </w:tc>
        <w:tc>
          <w:tcPr>
            <w:tcW w:w="280" w:type="dxa"/>
            <w:vAlign w:val="bottom"/>
          </w:tcPr>
          <w:p>
            <w:pPr>
              <w:spacing w:after="0"/>
              <w:rPr>
                <w:sz w:val="16"/>
                <w:szCs w:val="16"/>
                <w:color w:val="auto"/>
              </w:rPr>
            </w:pPr>
          </w:p>
        </w:tc>
      </w:tr>
      <w:tr>
        <w:trPr>
          <w:trHeight w:val="257"/>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Registered Upjohn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and Utah Acquisition Sub Inc.</w:t>
            </w:r>
          </w:p>
        </w:tc>
        <w:tc>
          <w:tcPr>
            <w:tcW w:w="280" w:type="dxa"/>
            <w:vAlign w:val="bottom"/>
          </w:tcPr>
          <w:p>
            <w:pPr>
              <w:spacing w:after="0"/>
              <w:rPr>
                <w:sz w:val="22"/>
                <w:szCs w:val="22"/>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respiratory delivery platform</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Pfizer’s proprietary dry powder inhaler delivery platform</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89"/>
              </w:rPr>
              <w:t>The Company’s nonvested restricted stock and restricted stock unit awards,</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restricted stock awards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including PSUs</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$4.0 billion revolving facility dated as of July 1, 2021, by and among</w:t>
            </w:r>
          </w:p>
        </w:tc>
        <w:tc>
          <w:tcPr>
            <w:tcW w:w="280" w:type="dxa"/>
            <w:vAlign w:val="bottom"/>
          </w:tcPr>
          <w:p>
            <w:pPr>
              <w:spacing w:after="0"/>
              <w:rPr>
                <w:sz w:val="14"/>
                <w:szCs w:val="14"/>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Viatris, certain lenders and issuing banks from time to time party thereto</w:t>
            </w:r>
          </w:p>
        </w:tc>
        <w:tc>
          <w:tcPr>
            <w:tcW w:w="280" w:type="dxa"/>
            <w:vAlign w:val="bottom"/>
          </w:tcPr>
          <w:p>
            <w:pPr>
              <w:spacing w:after="0"/>
              <w:rPr>
                <w:sz w:val="16"/>
                <w:szCs w:val="16"/>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Revolving Facility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 Bank of America, N.A., as administrative agent</w:t>
            </w:r>
          </w:p>
        </w:tc>
        <w:tc>
          <w:tcPr>
            <w:tcW w:w="280" w:type="dxa"/>
            <w:vAlign w:val="bottom"/>
          </w:tcPr>
          <w:p>
            <w:pPr>
              <w:spacing w:after="0"/>
              <w:rPr>
                <w:sz w:val="20"/>
                <w:szCs w:val="20"/>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RICO</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Racketeer Influenced and Corrupt Organizations Act</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RSUs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Company's unvested restricted stock unit awards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Sanofi</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Sanofi-Aventis U.S., LLC</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SARs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Appreciation Rights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SDNY</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District Court for the Southern District of New York</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Securities and Exchange Commission</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Securities Act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Securities Act of 1933, as amended</w:t>
            </w:r>
          </w:p>
        </w:tc>
        <w:tc>
          <w:tcPr>
            <w:tcW w:w="280" w:type="dxa"/>
            <w:vAlign w:val="bottom"/>
          </w:tcPr>
          <w:p>
            <w:pPr>
              <w:spacing w:after="0"/>
              <w:rPr>
                <w:sz w:val="19"/>
                <w:szCs w:val="19"/>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The Upjohn U.S. Dollar Notes, the Utah U.S. Dollar Notes and the Mylan</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Senior U.S. Dollar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 U.S. Dollar Notes, collectively</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Pfizer's transfer to Upjohn of substantially all the assets and liabilities</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Separation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comprising the Upjohn Business</w:t>
            </w:r>
          </w:p>
        </w:tc>
        <w:tc>
          <w:tcPr>
            <w:tcW w:w="280" w:type="dxa"/>
            <w:vAlign w:val="bottom"/>
          </w:tcPr>
          <w:p>
            <w:pPr>
              <w:spacing w:after="0"/>
              <w:rPr>
                <w:sz w:val="21"/>
                <w:szCs w:val="2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Separation and Distribution Agreement between Viatris and Pfizer, dated</w:t>
            </w:r>
          </w:p>
        </w:tc>
        <w:tc>
          <w:tcPr>
            <w:tcW w:w="280" w:type="dxa"/>
            <w:vAlign w:val="bottom"/>
          </w:tcPr>
          <w:p>
            <w:pPr>
              <w:spacing w:after="0"/>
              <w:rPr>
                <w:sz w:val="14"/>
                <w:szCs w:val="14"/>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Separation and Distribution Agreement</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 of July 29, 2019, as amended from time to time</w:t>
            </w:r>
          </w:p>
        </w:tc>
        <w:tc>
          <w:tcPr>
            <w:tcW w:w="280" w:type="dxa"/>
            <w:vAlign w:val="bottom"/>
          </w:tcPr>
          <w:p>
            <w:pPr>
              <w:spacing w:after="0"/>
              <w:rPr>
                <w:sz w:val="21"/>
                <w:szCs w:val="2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SG&amp;A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SOFR</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Secured overnight financial rate</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Stock awards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options and SARs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Teva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Teva Pharmaceutical Industries Ltd.</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TSA</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Transition service agreements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U.K.</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U.S. GAAP</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Accounting principles generally accepted in the U.S.</w:t>
            </w:r>
          </w:p>
        </w:tc>
        <w:tc>
          <w:tcPr>
            <w:tcW w:w="280" w:type="dxa"/>
            <w:vAlign w:val="bottom"/>
          </w:tcPr>
          <w:p>
            <w:pPr>
              <w:spacing w:after="0"/>
              <w:rPr>
                <w:sz w:val="19"/>
                <w:szCs w:val="19"/>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tcPr>
          <w:p>
            <w:pPr>
              <w:spacing w:after="0"/>
              <w:rPr>
                <w:sz w:val="16"/>
                <w:szCs w:val="16"/>
                <w:color w:val="auto"/>
              </w:rPr>
            </w:pP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8"/>
              </w:rPr>
              <w:t>The 1.650% Senior Notes due 2025, 2.300% Senior Notes due 2027,</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9"/>
              </w:rPr>
              <w:t>2.700% Senior Notes due 2030, 3.850% Senior Notes due 2040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8"/>
              </w:rPr>
              <w:t>4.000% Senior Notes due 2050 originally issued on June 22, 2020 by</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Upjohn Inc. (now Viatris Inc.) in a private offering exempt from the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registration requirements of the Securities Act and fully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Unregistered Upjohn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unconditionally guaranteed by Mylan Inc., Mylan II and Utah Acquisition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Upjohn Inc., a wholly owned subsidiary of Pfizer prior to the Distribution,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Upjohn</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that combined with Mylan and was renamed Viatris 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Pfizer’s off-patent branded and generic established medicines business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4"/>
              </w:rPr>
              <w:t>that, in connection with the Combination, was separated from Pfizer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Upjohn Business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combined with Mylan to form Viatris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2"/>
              </w:rPr>
              <w:t>Senior unsecured notes denominated in U.S. dollars and originally issued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1"/>
              </w:rPr>
              <w:t>by Upjohn Inc. or Viatris Inc. pursuant to an indenture dated June 22, 2020</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Upjohn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and fully and unconditionally guaranteed by Mylan Inc., Mylan II B.V.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Utah Acquisition Sub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Utah Acquisition Sub Inc., a Delaware corporation and an indirect wholly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Utah Acquisition Sub</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owned subsidiary of Viatris</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2.250% Senior Notes due 2024 and 3.125% Senior Notes due 2028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5"/>
              </w:rPr>
              <w:t>issued by Utah Acquisition Sub Inc., which are fully and unconditionally</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Euro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guaranteed on a senior unsecured basis by Mylan Inc., Viatris Inc.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The 3.950% Senior Notes due 2026 and 5.250% Senior Notes due 2046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w w:val="95"/>
              </w:rPr>
              <w:t>issued by Utah Acquisition Sub Inc., which are fully and unconditionally</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Utah U.S. Dollar Notes</w:t>
            </w:r>
          </w:p>
        </w:tc>
        <w:tc>
          <w:tcPr>
            <w:tcW w:w="548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guaranteed on a senior unsecured basis by Mylan Inc., Viatris Inc.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Mylan II B.V.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Viatris Inc., formerly known as Upjohn Inc. prior to the completion of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Viatris</w:t>
            </w: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Combination</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480" w:type="dxa"/>
            <w:vAlign w:val="bottom"/>
            <w:tcBorders>
              <w:left w:val="single" w:sz="8" w:color="auto"/>
              <w:right w:val="single" w:sz="8" w:color="auto"/>
            </w:tcBorders>
          </w:tcPr>
          <w:p>
            <w:pPr>
              <w:spacing w:after="0"/>
              <w:rPr>
                <w:sz w:val="16"/>
                <w:szCs w:val="16"/>
                <w:color w:val="auto"/>
              </w:rPr>
            </w:pPr>
          </w:p>
        </w:tc>
        <w:tc>
          <w:tcPr>
            <w:tcW w:w="548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8"/>
              </w:rPr>
              <w:t>The ¥40 billion term loan agreement dated as of July 1, 2021, by and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among Viatris, MUFG Bank, Ltd. and Mizuho Bank, Ltd., as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YEN Term Loan Facility</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administrative agent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71"/>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6"/>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4,067.4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4,520.5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12,351.0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13,482.3</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12,386.7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13,544.7</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9,515.6</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4,029.1</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3,446.3</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3,985.5</w:t>
            </w: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(1,005.3)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r>
      <w:tr>
        <w:trPr>
          <w:trHeight w:val="26"/>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4"/>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2"/>
              <w:spacing w:after="0"/>
              <w:rPr>
                <w:sz w:val="20"/>
                <w:szCs w:val="20"/>
                <w:color w:val="auto"/>
              </w:rPr>
            </w:pPr>
            <w:r>
              <w:rPr>
                <w:rFonts w:ascii="Arial" w:cs="Arial" w:eastAsia="Arial" w:hAnsi="Arial"/>
                <w:sz w:val="14"/>
                <w:szCs w:val="14"/>
                <w:b w:val="1"/>
                <w:bCs w:val="1"/>
                <w:color w:val="auto"/>
                <w:w w:val="96"/>
              </w:rPr>
              <w:t>2021</w:t>
            </w:r>
          </w:p>
        </w:tc>
      </w:tr>
      <w:tr>
        <w:trPr>
          <w:trHeight w:val="26"/>
        </w:trPr>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w:t>
            </w:r>
          </w:p>
        </w:tc>
      </w:tr>
      <w:tr>
        <w:trPr>
          <w:trHeight w:val="175"/>
        </w:trPr>
        <w:tc>
          <w:tcPr>
            <w:tcW w:w="6100" w:type="dxa"/>
            <w:vAlign w:val="bottom"/>
          </w:tcPr>
          <w:p>
            <w:pPr>
              <w:ind w:left="220"/>
              <w:spacing w:after="0" w:line="176" w:lineRule="exact"/>
              <w:rPr>
                <w:sz w:val="20"/>
                <w:szCs w:val="20"/>
                <w:color w:val="auto"/>
              </w:rPr>
            </w:pPr>
            <w:r>
              <w:rPr>
                <w:rFonts w:ascii="Arial" w:cs="Arial" w:eastAsia="Arial" w:hAnsi="Arial"/>
                <w:sz w:val="18"/>
                <w:szCs w:val="18"/>
                <w:color w:val="auto"/>
                <w:w w:val="97"/>
              </w:rPr>
              <w:t>Change in unrecognized (loss) gain and prior service cost related to defined</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6100" w:type="dxa"/>
            <w:vAlign w:val="bottom"/>
          </w:tcPr>
          <w:p>
            <w:pPr>
              <w:ind w:left="220"/>
              <w:spacing w:after="0"/>
              <w:rPr>
                <w:sz w:val="20"/>
                <w:szCs w:val="20"/>
                <w:color w:val="auto"/>
              </w:rPr>
            </w:pPr>
            <w:r>
              <w:rPr>
                <w:rFonts w:ascii="Arial" w:cs="Arial" w:eastAsia="Arial" w:hAnsi="Arial"/>
                <w:sz w:val="18"/>
                <w:szCs w:val="18"/>
                <w:color w:val="auto"/>
              </w:rPr>
              <w:t>benefit plans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on derivatives in cash flow hedging relationships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w w:val="95"/>
              </w:rPr>
              <w:t>Net unrecognized gain on derivatives in net investment hedging relationships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318.4</w:t>
            </w: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6100" w:type="dxa"/>
            <w:vAlign w:val="bottom"/>
          </w:tcPr>
          <w:p>
            <w:pPr>
              <w:ind w:left="480"/>
              <w:spacing w:after="0"/>
              <w:rPr>
                <w:sz w:val="20"/>
                <w:szCs w:val="20"/>
                <w:color w:val="auto"/>
              </w:rPr>
            </w:pPr>
            <w:r>
              <w:rPr>
                <w:rFonts w:ascii="Arial" w:cs="Arial" w:eastAsia="Arial" w:hAnsi="Arial"/>
                <w:sz w:val="18"/>
                <w:szCs w:val="18"/>
                <w:color w:val="auto"/>
              </w:rPr>
              <w:t>Other comprehensive loss, before tax</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(548.7)</w:t>
            </w:r>
          </w:p>
        </w:tc>
      </w:tr>
      <w:tr>
        <w:trPr>
          <w:trHeight w:val="229"/>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3"/>
        </w:trPr>
        <w:tc>
          <w:tcPr>
            <w:tcW w:w="6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(613.9)</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and per share amounts)</w:t>
      </w:r>
    </w:p>
    <w:p>
      <w:pPr>
        <w:spacing w:after="0" w:line="111" w:lineRule="exact"/>
        <w:rPr>
          <w:sz w:val="20"/>
          <w:szCs w:val="20"/>
          <w:color w:val="auto"/>
        </w:rPr>
      </w:pPr>
    </w:p>
    <w:p>
      <w:pPr>
        <w:jc w:val="right"/>
        <w:ind w:right="180"/>
        <w:spacing w:after="0"/>
        <w:tabs>
          <w:tab w:leader="none" w:pos="82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ind w:left="9180"/>
        <w:spacing w:after="0"/>
        <w:tabs>
          <w:tab w:leader="none" w:pos="104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ectPr>
          <w:pgSz w:w="11900" w:h="16838" w:orient="portrait"/>
          <w:cols w:equalWidth="0" w:num="1">
            <w:col w:w="11220"/>
          </w:cols>
          <w:pgMar w:left="320" w:top="118" w:right="359" w:bottom="1440" w:gutter="0" w:footer="0" w:header="0"/>
        </w:sect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480" w:right="320" w:firstLine="14"/>
        <w:spacing w:after="0" w:line="273" w:lineRule="auto"/>
        <w:rPr>
          <w:sz w:val="20"/>
          <w:szCs w:val="20"/>
          <w:color w:val="auto"/>
        </w:rPr>
      </w:pPr>
      <w:r>
        <w:rPr>
          <w:rFonts w:ascii="Arial" w:cs="Arial" w:eastAsia="Arial" w:hAnsi="Arial"/>
          <w:sz w:val="18"/>
          <w:szCs w:val="18"/>
          <w:color w:val="auto"/>
        </w:rPr>
        <w:t>Prepaid expenses and other current assets Assets held for sale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plant and equipment, net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net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income tax benefit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assets</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161290</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-129540</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4220" w:type="dxa"/>
        <w:tblCellMar>
          <w:top w:w="0" w:type="dxa"/>
          <w:left w:w="0" w:type="dxa"/>
          <w:bottom w:w="0" w:type="dxa"/>
          <w:right w:w="0" w:type="dxa"/>
        </w:tblCellMar>
      </w:tblPr>
      <w:tr>
        <w:trPr>
          <w:trHeight w:val="229"/>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701.2</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4,266.4</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3,977.7</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1,957.6</w:t>
            </w:r>
          </w:p>
        </w:tc>
      </w:tr>
      <w:tr>
        <w:trPr>
          <w:trHeight w:val="230"/>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10,902.9</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3,188.6</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23,013.3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26,134.2</w:t>
            </w:r>
          </w:p>
        </w:tc>
      </w:tr>
      <w:tr>
        <w:trPr>
          <w:trHeight w:val="230"/>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10,054.6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12,113.7</w:t>
            </w:r>
          </w:p>
        </w:tc>
      </w:tr>
      <w:tr>
        <w:trPr>
          <w:trHeight w:val="229"/>
        </w:trPr>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1,332.7</w:t>
            </w:r>
          </w:p>
        </w:tc>
      </w:tr>
      <w:tr>
        <w:trPr>
          <w:trHeight w:val="230"/>
        </w:trPr>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w:t>
            </w: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54,842.8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-1654175</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-1362710</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-1071245</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-770890</wp:posOffset>
            </wp:positionV>
            <wp:extent cx="71151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-479425</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-187960</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-129540</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3780" w:space="720"/>
            <w:col w:w="6720"/>
          </w:cols>
          <w:pgMar w:left="320" w:top="118" w:right="3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1,310.5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1,657.4</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Short-term borrowings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236.9</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Current portion of long-term debt and other long-term obligations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1,877.5</w:t>
            </w: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Liabilities held for sale</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4,619.6</w:t>
            </w:r>
          </w:p>
        </w:tc>
      </w:tr>
      <w:tr>
        <w:trPr>
          <w:trHeight w:val="223"/>
        </w:trPr>
        <w:tc>
          <w:tcPr>
            <w:tcW w:w="87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9,884.4</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19,717.1</w:t>
            </w: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Deferred income tax liability</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2,815.0</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obligations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r>
      <w:tr>
        <w:trPr>
          <w:trHeight w:val="223"/>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34,350.1</w:t>
            </w: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Viatris Inc. shareholders’ equity</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5"/>
        </w:trPr>
        <w:tc>
          <w:tcPr>
            <w:tcW w:w="87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Common stock: $0.01 par value, 3,000,000,000 shares authorized; shares issued and outstanding: 1,212,653,465</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1,209,507,463, respectively</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18,536.1</w:t>
            </w:r>
          </w:p>
        </w:tc>
      </w:tr>
      <w:tr>
        <w:trPr>
          <w:trHeight w:val="230"/>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3,688.8</w:t>
            </w:r>
          </w:p>
        </w:tc>
      </w:tr>
      <w:tr>
        <w:trPr>
          <w:trHeight w:val="229"/>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(1,744.3)</w:t>
            </w:r>
          </w:p>
        </w:tc>
      </w:tr>
      <w:tr>
        <w:trPr>
          <w:trHeight w:val="223"/>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20,492.7</w:t>
            </w:r>
          </w:p>
        </w:tc>
      </w:tr>
      <w:tr>
        <w:trPr>
          <w:trHeight w:val="236"/>
        </w:trPr>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54,842.8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 except share amounts)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90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rPr>
              <w:t>Paid-In</w:t>
            </w:r>
          </w:p>
        </w:tc>
        <w:tc>
          <w:tcPr>
            <w:tcW w:w="840" w:type="dxa"/>
            <w:vAlign w:val="bottom"/>
            <w:gridSpan w:val="2"/>
            <w:vMerge w:val="restart"/>
          </w:tcPr>
          <w:p>
            <w:pPr>
              <w:ind w:left="100"/>
              <w:spacing w:after="0" w:line="108" w:lineRule="exact"/>
              <w:rPr>
                <w:sz w:val="20"/>
                <w:szCs w:val="20"/>
                <w:color w:val="auto"/>
              </w:rPr>
            </w:pPr>
            <w:r>
              <w:rPr>
                <w:rFonts w:ascii="Arial" w:cs="Arial" w:eastAsia="Arial" w:hAnsi="Arial"/>
                <w:sz w:val="12"/>
                <w:szCs w:val="12"/>
                <w:b w:val="1"/>
                <w:bCs w:val="1"/>
                <w:color w:val="auto"/>
              </w:rPr>
              <w:t>Retained</w:t>
            </w: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rPr>
              <w:t>Comprehensive</w:t>
            </w:r>
          </w:p>
        </w:tc>
        <w:tc>
          <w:tcPr>
            <w:tcW w:w="82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line="20" w:lineRule="exact"/>
              <w:rPr>
                <w:sz w:val="1"/>
                <w:szCs w:val="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line="20" w:lineRule="exact"/>
              <w:rPr>
                <w:sz w:val="1"/>
                <w:szCs w:val="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3"/>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Balance at June 30, 2022</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1,212,447,457</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$18,585.7</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$ 4,106.8</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(2,899.2)</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$19,805.4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(859.9)</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000" w:type="dxa"/>
            <w:vAlign w:val="bottom"/>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0"/>
              <w:spacing w:after="0"/>
              <w:rPr>
                <w:sz w:val="20"/>
                <w:szCs w:val="20"/>
                <w:color w:val="auto"/>
              </w:rPr>
            </w:pPr>
            <w:r>
              <w:rPr>
                <w:rFonts w:ascii="Arial" w:cs="Arial" w:eastAsia="Arial" w:hAnsi="Arial"/>
                <w:sz w:val="18"/>
                <w:szCs w:val="18"/>
                <w:color w:val="auto"/>
              </w:rPr>
              <w:t>awards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174,805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Cash dividends declared, $0.12 per common share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September 30, 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1,212,653,465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18,616.8</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$ 4,312.5</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$19,182.3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90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00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8"/>
              </w:rPr>
              <w:t>Paid-In</w:t>
            </w:r>
          </w:p>
        </w:tc>
        <w:tc>
          <w:tcPr>
            <w:tcW w:w="840" w:type="dxa"/>
            <w:vAlign w:val="bottom"/>
            <w:gridSpan w:val="2"/>
            <w:vMerge w:val="restart"/>
          </w:tcPr>
          <w:p>
            <w:pPr>
              <w:ind w:left="100"/>
              <w:spacing w:after="0" w:line="129" w:lineRule="exact"/>
              <w:rPr>
                <w:sz w:val="20"/>
                <w:szCs w:val="20"/>
                <w:color w:val="auto"/>
              </w:rPr>
            </w:pPr>
            <w:r>
              <w:rPr>
                <w:rFonts w:ascii="Arial" w:cs="Arial" w:eastAsia="Arial" w:hAnsi="Arial"/>
                <w:sz w:val="14"/>
                <w:szCs w:val="14"/>
                <w:b w:val="1"/>
                <w:bCs w:val="1"/>
                <w:color w:val="auto"/>
              </w:rPr>
              <w:t>Retained</w:t>
            </w:r>
          </w:p>
        </w:tc>
        <w:tc>
          <w:tcPr>
            <w:tcW w:w="1640" w:type="dxa"/>
            <w:vAlign w:val="bottom"/>
            <w:gridSpan w:val="5"/>
            <w:vMerge w:val="continue"/>
          </w:tcPr>
          <w:p>
            <w:pPr>
              <w:spacing w:after="0"/>
              <w:rPr>
                <w:sz w:val="9"/>
                <w:szCs w:val="9"/>
                <w:color w:val="auto"/>
              </w:rPr>
            </w:pP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82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1,209,507,463</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$18,536.1</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$ 3,688.8</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(1,744.3)</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$20,492.7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(2,014.8)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(2,014.8)</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2,911,515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000" w:type="dxa"/>
            <w:vAlign w:val="bottom"/>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0"/>
              <w:spacing w:after="0"/>
              <w:rPr>
                <w:sz w:val="20"/>
                <w:szCs w:val="20"/>
                <w:color w:val="auto"/>
              </w:rPr>
            </w:pPr>
            <w:r>
              <w:rPr>
                <w:rFonts w:ascii="Arial" w:cs="Arial" w:eastAsia="Arial" w:hAnsi="Arial"/>
                <w:sz w:val="18"/>
                <w:szCs w:val="18"/>
                <w:color w:val="auto"/>
              </w:rPr>
              <w:t>awards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9"/>
        </w:trPr>
        <w:tc>
          <w:tcPr>
            <w:tcW w:w="400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234,487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Cash dividends declared, $0.36 per common share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September 30, 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1,212,653,465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18,616.8</w:t>
            </w:r>
          </w:p>
        </w:tc>
        <w:tc>
          <w:tcPr>
            <w:tcW w:w="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$ 4,312.5</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$19,182.3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spacing w:after="0"/>
              <w:rPr>
                <w:sz w:val="20"/>
                <w:szCs w:val="20"/>
                <w:color w:val="auto"/>
              </w:rPr>
            </w:pPr>
            <w:r>
              <w:rPr>
                <w:rFonts w:ascii="Arial" w:cs="Arial" w:eastAsia="Arial" w:hAnsi="Arial"/>
                <w:sz w:val="14"/>
                <w:szCs w:val="14"/>
                <w:b w:val="1"/>
                <w:bCs w:val="1"/>
                <w:color w:val="0000FF"/>
              </w:rPr>
              <w:t>Table of Contents</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5"/>
        </w:trPr>
        <w:tc>
          <w:tcPr>
            <w:tcW w:w="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90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8"/>
              </w:rPr>
              <w:t>Paid-In</w:t>
            </w:r>
          </w:p>
        </w:tc>
        <w:tc>
          <w:tcPr>
            <w:tcW w:w="840" w:type="dxa"/>
            <w:vAlign w:val="bottom"/>
            <w:gridSpan w:val="2"/>
            <w:vMerge w:val="restart"/>
          </w:tcPr>
          <w:p>
            <w:pPr>
              <w:ind w:left="100"/>
              <w:spacing w:after="0" w:line="129" w:lineRule="exact"/>
              <w:rPr>
                <w:sz w:val="20"/>
                <w:szCs w:val="20"/>
                <w:color w:val="auto"/>
              </w:rPr>
            </w:pPr>
            <w:r>
              <w:rPr>
                <w:rFonts w:ascii="Arial" w:cs="Arial" w:eastAsia="Arial" w:hAnsi="Arial"/>
                <w:sz w:val="14"/>
                <w:szCs w:val="14"/>
                <w:b w:val="1"/>
                <w:bCs w:val="1"/>
                <w:color w:val="auto"/>
              </w:rPr>
              <w:t>Retained</w:t>
            </w:r>
          </w:p>
        </w:tc>
        <w:tc>
          <w:tcPr>
            <w:tcW w:w="1660" w:type="dxa"/>
            <w:vAlign w:val="bottom"/>
            <w:gridSpan w:val="5"/>
            <w:vMerge w:val="continue"/>
          </w:tcPr>
          <w:p>
            <w:pPr>
              <w:spacing w:after="0"/>
              <w:rPr>
                <w:sz w:val="9"/>
                <w:szCs w:val="9"/>
                <w:color w:val="auto"/>
              </w:rPr>
            </w:pPr>
          </w:p>
        </w:tc>
        <w:tc>
          <w:tcPr>
            <w:tcW w:w="1080" w:type="dxa"/>
            <w:vAlign w:val="bottom"/>
            <w:gridSpan w:val="3"/>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80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Balance at June 30, 2021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1,209,212,338</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$18,489.9</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$ 3,909.9</w:t>
            </w:r>
          </w:p>
        </w:tc>
        <w:tc>
          <w:tcPr>
            <w:tcW w:w="80" w:type="dxa"/>
            <w:vAlign w:val="bottom"/>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$21,206.9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earnings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(266.9)</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00" w:type="dxa"/>
            <w:vAlign w:val="bottom"/>
            <w:gridSpan w:val="2"/>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awards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w w:val="92"/>
              </w:rPr>
              <w:t>Cash dividends declared, $0.11 per common share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1,209,378,962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18,514.1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$ 4,087.0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$21,141.3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90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8"/>
              </w:rPr>
              <w:t>Paid-In</w:t>
            </w:r>
          </w:p>
        </w:tc>
        <w:tc>
          <w:tcPr>
            <w:tcW w:w="840" w:type="dxa"/>
            <w:vAlign w:val="bottom"/>
            <w:gridSpan w:val="2"/>
            <w:vMerge w:val="restart"/>
          </w:tcPr>
          <w:p>
            <w:pPr>
              <w:ind w:left="100"/>
              <w:spacing w:after="0" w:line="129" w:lineRule="exact"/>
              <w:rPr>
                <w:sz w:val="20"/>
                <w:szCs w:val="20"/>
                <w:color w:val="auto"/>
              </w:rPr>
            </w:pPr>
            <w:r>
              <w:rPr>
                <w:rFonts w:ascii="Arial" w:cs="Arial" w:eastAsia="Arial" w:hAnsi="Arial"/>
                <w:sz w:val="14"/>
                <w:szCs w:val="14"/>
                <w:b w:val="1"/>
                <w:bCs w:val="1"/>
                <w:color w:val="auto"/>
              </w:rPr>
              <w:t>Retained</w:t>
            </w:r>
          </w:p>
        </w:tc>
        <w:tc>
          <w:tcPr>
            <w:tcW w:w="1660" w:type="dxa"/>
            <w:vAlign w:val="bottom"/>
            <w:gridSpan w:val="5"/>
            <w:vMerge w:val="continue"/>
          </w:tcPr>
          <w:p>
            <w:pPr>
              <w:spacing w:after="0"/>
              <w:rPr>
                <w:sz w:val="9"/>
                <w:szCs w:val="9"/>
                <w:color w:val="auto"/>
              </w:rPr>
            </w:pPr>
          </w:p>
        </w:tc>
        <w:tc>
          <w:tcPr>
            <w:tcW w:w="1080" w:type="dxa"/>
            <w:vAlign w:val="bottom"/>
            <w:gridSpan w:val="3"/>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80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1,206,895,644</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$18,438.8</w:t>
            </w:r>
          </w:p>
        </w:tc>
        <w:tc>
          <w:tcPr>
            <w:tcW w:w="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$ 5,361.2</w:t>
            </w:r>
          </w:p>
        </w:tc>
        <w:tc>
          <w:tcPr>
            <w:tcW w:w="80" w:type="dxa"/>
            <w:vAlign w:val="bottom"/>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$22,954.1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(1,005.3)</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 net of tax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(613.9)</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(613.9)</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Issuance of restricted stock and stock options</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exercised,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2,483,318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000" w:type="dxa"/>
            <w:vAlign w:val="bottom"/>
            <w:gridSpan w:val="2"/>
          </w:tcPr>
          <w:p>
            <w:pPr>
              <w:ind w:left="200"/>
              <w:spacing w:after="0" w:line="176" w:lineRule="exact"/>
              <w:rPr>
                <w:sz w:val="20"/>
                <w:szCs w:val="20"/>
                <w:color w:val="auto"/>
              </w:rPr>
            </w:pPr>
            <w:r>
              <w:rPr>
                <w:rFonts w:ascii="Arial" w:cs="Arial" w:eastAsia="Arial" w:hAnsi="Arial"/>
                <w:sz w:val="18"/>
                <w:szCs w:val="18"/>
                <w:color w:val="auto"/>
                <w:w w:val="94"/>
              </w:rPr>
              <w:t>Taxes related to the net share settlement of equity</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rPr>
              <w:t>awards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2"/>
          </w:tcPr>
          <w:p>
            <w:pPr>
              <w:ind w:left="200"/>
              <w:spacing w:after="0"/>
              <w:rPr>
                <w:sz w:val="20"/>
                <w:szCs w:val="20"/>
                <w:color w:val="auto"/>
              </w:rPr>
            </w:pPr>
            <w:r>
              <w:rPr>
                <w:rFonts w:ascii="Arial" w:cs="Arial" w:eastAsia="Arial" w:hAnsi="Arial"/>
                <w:sz w:val="18"/>
                <w:szCs w:val="18"/>
                <w:color w:val="auto"/>
                <w:w w:val="92"/>
              </w:rPr>
              <w:t>Cash dividends declared, $0.22 per common share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(268.9)</w:t>
            </w:r>
          </w:p>
        </w:tc>
        <w:tc>
          <w:tcPr>
            <w:tcW w:w="8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1,209,378,962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18,514.1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$ 4,087.0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$21,141.3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millions)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r>
      <w:tr>
        <w:trPr>
          <w:trHeight w:val="26"/>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4"/>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2021</w:t>
            </w:r>
          </w:p>
        </w:tc>
      </w:tr>
      <w:tr>
        <w:trPr>
          <w:trHeight w:val="26"/>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870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(1,005.3)</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3,756.7</w:t>
            </w:r>
          </w:p>
        </w:tc>
      </w:tr>
      <w:tr>
        <w:trPr>
          <w:trHeight w:val="229"/>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Deferred income tax (benefit)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728.6</w:t>
            </w:r>
          </w:p>
        </w:tc>
      </w:tr>
      <w:tr>
        <w:trPr>
          <w:trHeight w:val="229"/>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equity method investments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8700" w:type="dxa"/>
            <w:vAlign w:val="bottom"/>
          </w:tcPr>
          <w:p>
            <w:pPr>
              <w:ind w:left="460"/>
              <w:spacing w:after="0"/>
              <w:rPr>
                <w:sz w:val="20"/>
                <w:szCs w:val="20"/>
                <w:color w:val="auto"/>
              </w:rPr>
            </w:pPr>
            <w:r>
              <w:rPr>
                <w:rFonts w:ascii="Arial" w:cs="Arial" w:eastAsia="Arial" w:hAnsi="Arial"/>
                <w:sz w:val="18"/>
                <w:szCs w:val="18"/>
                <w:color w:val="auto"/>
              </w:rPr>
              <w:t>Other non-cash items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288.2</w:t>
            </w:r>
          </w:p>
        </w:tc>
      </w:tr>
      <w:tr>
        <w:trPr>
          <w:trHeight w:val="229"/>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Litigation settlements and other contingencies,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700" w:type="dxa"/>
            <w:vAlign w:val="bottom"/>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87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(351.1)</w:t>
            </w:r>
          </w:p>
        </w:tc>
      </w:tr>
      <w:tr>
        <w:trPr>
          <w:trHeight w:val="230"/>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29"/>
        </w:trPr>
        <w:tc>
          <w:tcPr>
            <w:tcW w:w="870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(675.3)</w:t>
            </w:r>
          </w:p>
        </w:tc>
      </w:tr>
      <w:tr>
        <w:trPr>
          <w:trHeight w:val="229"/>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operating assets and liabilities,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r>
      <w:tr>
        <w:trPr>
          <w:trHeight w:val="223"/>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2,493.8</w:t>
            </w:r>
          </w:p>
        </w:tc>
      </w:tr>
      <w:tr>
        <w:trPr>
          <w:trHeight w:val="20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Cash received from acquisitions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Purchase of marketable securities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marketable securities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Payments for product rights and other,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assets and subsidiaries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10"/>
        </w:trPr>
        <w:tc>
          <w:tcPr>
            <w:tcW w:w="87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1,710.1</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(4,200.7)</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short-term borrowings,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Non-contingent payments for product rights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Contingent consideration payments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financing fees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(266.0)</w:t>
            </w: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items,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(2,662.8)</w:t>
            </w:r>
          </w:p>
        </w:tc>
      </w:tr>
      <w:tr>
        <w:trPr>
          <w:trHeight w:val="22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on cash of changes in exchange rates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financial position, equity and cash flows for the periods presented.</w:t>
      </w:r>
    </w:p>
    <w:p>
      <w:pPr>
        <w:spacing w:after="0" w:line="176"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These interim financial statements should be read in conjunction with the consolidated financial statements and notes thereto in Viatris’ 2021 Form 10-K. The December 31, 2021 condensed consolidated balance sheet was derived from audited financial statements.</w:t>
      </w:r>
    </w:p>
    <w:p>
      <w:pPr>
        <w:spacing w:after="0" w:line="14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Turkey Highly Inflationary </w:t>
      </w:r>
      <w:r>
        <w:rPr>
          <w:rFonts w:ascii="Arial" w:cs="Arial" w:eastAsia="Arial" w:hAnsi="Arial"/>
          <w:sz w:val="16"/>
          <w:szCs w:val="16"/>
          <w:color w:val="auto"/>
        </w:rPr>
        <w:t>- Under ASC 830,</w:t>
      </w:r>
      <w:r>
        <w:rPr>
          <w:rFonts w:ascii="Arial" w:cs="Arial" w:eastAsia="Arial" w:hAnsi="Arial"/>
          <w:sz w:val="16"/>
          <w:szCs w:val="16"/>
          <w:i w:val="1"/>
          <w:iCs w:val="1"/>
          <w:color w:val="auto"/>
        </w:rPr>
        <w:t xml:space="preserve"> Foreign Currency Matters </w:t>
      </w:r>
      <w:r>
        <w:rPr>
          <w:rFonts w:ascii="Arial" w:cs="Arial" w:eastAsia="Arial" w:hAnsi="Arial"/>
          <w:sz w:val="16"/>
          <w:szCs w:val="16"/>
          <w:color w:val="auto"/>
        </w:rPr>
        <w:t>(“ASC 830”), a highly inflationary economy is one that has cumulative</w:t>
      </w:r>
      <w:r>
        <w:rPr>
          <w:rFonts w:ascii="Arial" w:cs="Arial" w:eastAsia="Arial" w:hAnsi="Arial"/>
          <w:sz w:val="16"/>
          <w:szCs w:val="16"/>
          <w:i w:val="1"/>
          <w:iCs w:val="1"/>
          <w:color w:val="auto"/>
        </w:rPr>
        <w:t xml:space="preserve"> </w:t>
      </w:r>
      <w:r>
        <w:rPr>
          <w:rFonts w:ascii="Arial" w:cs="Arial" w:eastAsia="Arial" w:hAnsi="Arial"/>
          <w:sz w:val="16"/>
          <w:szCs w:val="16"/>
          <w:color w:val="auto"/>
        </w:rPr>
        <w:t>inflation of approximately 100% or more over a three-year period. Effective April 1, 2022, we classified Turkey as highly inflationary. In accordance with ASC 830, starting with the second quarter of 2022, we began to utilize the U.S. dollar as our functional currency in Turkey, which historically utilized the Turkish lira as the functional currency. Application of the guidance in ASC 830 did not have a material impact on our condensed consolidated financial statements for the three and nine months ended September 30, 2022. The impacted net sales for the three and nine months ended September 30, 2022 and total assets at September 30, 2022 represented less than 1% of our consolidated net sales and total assets, respectively.</w:t>
      </w:r>
    </w:p>
    <w:p>
      <w:pPr>
        <w:spacing w:after="0" w:line="16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interim results of operations and comprehensive earnings for the three and nine months ended September 30, 2022, and cash flows for the nine months ended September 30, 2022, are not necessarily indicative of the results to be expected for the full fiscal year or any other future period.</w:t>
      </w:r>
    </w:p>
    <w:p>
      <w:pPr>
        <w:spacing w:after="0" w:line="12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Accounts Receivable</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The Company recognizes revenues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spacing w:after="0" w:line="16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net sales by product category for each of our reportable segments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respectively:</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40" w:type="dxa"/>
            <w:vAlign w:val="bottom"/>
          </w:tcPr>
          <w:p>
            <w:pPr>
              <w:spacing w:after="0"/>
              <w:rPr>
                <w:sz w:val="16"/>
                <w:szCs w:val="16"/>
                <w:color w:val="auto"/>
              </w:rPr>
            </w:pPr>
          </w:p>
        </w:tc>
        <w:tc>
          <w:tcPr>
            <w:tcW w:w="438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93"/>
              </w:rPr>
              <w:t>Three Months Ended September 30, 2022</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Product Category</w:t>
            </w: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180" w:type="dxa"/>
            <w:vAlign w:val="bottom"/>
            <w:vMerge w:val="continue"/>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rPr>
              <w:t>Developed Markets</w:t>
            </w:r>
          </w:p>
        </w:tc>
        <w:tc>
          <w:tcPr>
            <w:tcW w:w="1460" w:type="dxa"/>
            <w:vAlign w:val="bottom"/>
          </w:tcPr>
          <w:p>
            <w:pPr>
              <w:ind w:left="180"/>
              <w:spacing w:after="0"/>
              <w:rPr>
                <w:sz w:val="20"/>
                <w:szCs w:val="20"/>
                <w:color w:val="auto"/>
              </w:rPr>
            </w:pPr>
            <w:r>
              <w:rPr>
                <w:rFonts w:ascii="Arial" w:cs="Arial" w:eastAsia="Arial" w:hAnsi="Arial"/>
                <w:sz w:val="14"/>
                <w:szCs w:val="14"/>
                <w:b w:val="1"/>
                <w:bCs w:val="1"/>
                <w:color w:val="auto"/>
              </w:rPr>
              <w:t>Greater China</w:t>
            </w:r>
          </w:p>
        </w:tc>
        <w:tc>
          <w:tcPr>
            <w:tcW w:w="1100" w:type="dxa"/>
            <w:vAlign w:val="bottom"/>
          </w:tcPr>
          <w:p>
            <w:pPr>
              <w:jc w:val="center"/>
              <w:ind w:left="8"/>
              <w:spacing w:after="0"/>
              <w:rPr>
                <w:sz w:val="20"/>
                <w:szCs w:val="20"/>
                <w:color w:val="auto"/>
              </w:rPr>
            </w:pPr>
            <w:r>
              <w:rPr>
                <w:rFonts w:ascii="Arial" w:cs="Arial" w:eastAsia="Arial" w:hAnsi="Arial"/>
                <w:sz w:val="14"/>
                <w:szCs w:val="14"/>
                <w:b w:val="1"/>
                <w:bCs w:val="1"/>
                <w:color w:val="auto"/>
              </w:rPr>
              <w:t>JANZ</w:t>
            </w:r>
          </w:p>
        </w:tc>
        <w:tc>
          <w:tcPr>
            <w:tcW w:w="1820" w:type="dxa"/>
            <w:vAlign w:val="bottom"/>
          </w:tcPr>
          <w:p>
            <w:pPr>
              <w:ind w:left="320"/>
              <w:spacing w:after="0"/>
              <w:rPr>
                <w:sz w:val="20"/>
                <w:szCs w:val="20"/>
                <w:color w:val="auto"/>
              </w:rPr>
            </w:pPr>
            <w:r>
              <w:rPr>
                <w:rFonts w:ascii="Arial" w:cs="Arial" w:eastAsia="Arial" w:hAnsi="Arial"/>
                <w:sz w:val="14"/>
                <w:szCs w:val="14"/>
                <w:b w:val="1"/>
                <w:bCs w:val="1"/>
                <w:color w:val="auto"/>
              </w:rPr>
              <w:t>Emerging Markets</w:t>
            </w:r>
          </w:p>
        </w:tc>
        <w:tc>
          <w:tcPr>
            <w:tcW w:w="1160" w:type="dxa"/>
            <w:vAlign w:val="bottom"/>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420" w:type="dxa"/>
            <w:vAlign w:val="bottom"/>
            <w:tcBorders>
              <w:top w:val="single" w:sz="8" w:color="auto"/>
            </w:tcBorders>
            <w:gridSpan w:val="3"/>
            <w:shd w:val="clear" w:color="auto" w:fill="CCEEFF"/>
          </w:tcPr>
          <w:p>
            <w:pPr>
              <w:jc w:val="right"/>
              <w:ind w:right="24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w:t>
            </w: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gridSpan w:val="3"/>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Complex Gx and Biosimilars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0"/>
        </w:trPr>
        <w:tc>
          <w:tcPr>
            <w:tcW w:w="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14"/>
          </w:tcPr>
          <w:p>
            <w:pPr>
              <w:jc w:val="center"/>
              <w:ind w:left="455"/>
              <w:spacing w:after="0"/>
              <w:rPr>
                <w:sz w:val="20"/>
                <w:szCs w:val="20"/>
                <w:color w:val="auto"/>
              </w:rPr>
            </w:pPr>
            <w:r>
              <w:rPr>
                <w:rFonts w:ascii="Arial" w:cs="Arial" w:eastAsia="Arial" w:hAnsi="Arial"/>
                <w:sz w:val="14"/>
                <w:szCs w:val="14"/>
                <w:b w:val="1"/>
                <w:bCs w:val="1"/>
                <w:color w:val="auto"/>
                <w:w w:val="92"/>
              </w:rPr>
              <w:t>Nine Months Ended September 30, 2022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4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rPr>
              <w:t>Developed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ind w:left="40"/>
              <w:spacing w:after="0"/>
              <w:rPr>
                <w:sz w:val="20"/>
                <w:szCs w:val="20"/>
                <w:color w:val="auto"/>
              </w:rPr>
            </w:pPr>
            <w:r>
              <w:rPr>
                <w:rFonts w:ascii="Arial" w:cs="Arial" w:eastAsia="Arial" w:hAnsi="Arial"/>
                <w:sz w:val="14"/>
                <w:szCs w:val="14"/>
                <w:b w:val="1"/>
                <w:bCs w:val="1"/>
                <w:color w:val="auto"/>
              </w:rPr>
              <w:t>Greater China</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JANZ</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rPr>
              <w:t>Emerging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3,931.8</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1,687.9</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1,254.1</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7,577.5</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986.1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2,468.8</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7,386.7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2,035.0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12,351.0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0"/>
        </w:trPr>
        <w:tc>
          <w:tcPr>
            <w:tcW w:w="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14"/>
          </w:tcPr>
          <w:p>
            <w:pPr>
              <w:jc w:val="center"/>
              <w:ind w:left="475"/>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4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rPr>
              <w:t>Developed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Greater China</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JANZ</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ind w:left="60"/>
              <w:spacing w:after="0"/>
              <w:rPr>
                <w:sz w:val="20"/>
                <w:szCs w:val="20"/>
                <w:color w:val="auto"/>
              </w:rPr>
            </w:pPr>
            <w:r>
              <w:rPr>
                <w:rFonts w:ascii="Arial" w:cs="Arial" w:eastAsia="Arial" w:hAnsi="Arial"/>
                <w:sz w:val="14"/>
                <w:szCs w:val="14"/>
                <w:b w:val="1"/>
                <w:bCs w:val="1"/>
                <w:color w:val="auto"/>
              </w:rPr>
              <w:t>Emerging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40" w:type="dxa"/>
            <w:vAlign w:val="bottom"/>
            <w:tcBorders>
              <w:top w:val="single" w:sz="8" w:color="CCEEFF"/>
            </w:tcBorders>
            <w:gridSpan w:val="2"/>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1,522.7</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gridSpan w:val="2"/>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2,803.1</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2,655.9</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4,520.5</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300" w:type="dxa"/>
            <w:vAlign w:val="bottom"/>
            <w:tcBorders>
              <w:bottom w:val="single" w:sz="8" w:color="auto"/>
            </w:tcBorders>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14"/>
          </w:tcPr>
          <w:p>
            <w:pPr>
              <w:jc w:val="center"/>
              <w:ind w:left="455"/>
              <w:spacing w:after="0"/>
              <w:rPr>
                <w:sz w:val="20"/>
                <w:szCs w:val="20"/>
                <w:color w:val="auto"/>
              </w:rPr>
            </w:pPr>
            <w:r>
              <w:rPr>
                <w:rFonts w:ascii="Arial" w:cs="Arial" w:eastAsia="Arial" w:hAnsi="Arial"/>
                <w:sz w:val="14"/>
                <w:szCs w:val="14"/>
                <w:b w:val="1"/>
                <w:bCs w:val="1"/>
                <w:color w:val="auto"/>
                <w:w w:val="92"/>
              </w:rPr>
              <w:t>Nine Months Ended September 30, 2021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1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Product Category</w:t>
            </w: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rPr>
              <w:t>Developed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ind w:left="40"/>
              <w:spacing w:after="0"/>
              <w:rPr>
                <w:sz w:val="20"/>
                <w:szCs w:val="20"/>
                <w:color w:val="auto"/>
              </w:rPr>
            </w:pPr>
            <w:r>
              <w:rPr>
                <w:rFonts w:ascii="Arial" w:cs="Arial" w:eastAsia="Arial" w:hAnsi="Arial"/>
                <w:sz w:val="14"/>
                <w:szCs w:val="14"/>
                <w:b w:val="1"/>
                <w:bCs w:val="1"/>
                <w:color w:val="auto"/>
              </w:rPr>
              <w:t>Greater China</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JANZ</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rPr>
              <w:t>Emerging Markets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Brands</w:t>
            </w: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4,350.5</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1,706.9</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1,293.5</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8,229.4</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Complex Gx and Biosimilars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Generics</w:t>
            </w: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1,088.3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2,417.2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13,482.3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63" w:lineRule="exact"/>
        <w:rPr>
          <w:sz w:val="20"/>
          <w:szCs w:val="20"/>
          <w:color w:val="auto"/>
        </w:rPr>
      </w:pPr>
    </w:p>
    <w:p>
      <w:pPr>
        <w:ind w:left="660" w:hanging="328"/>
        <w:spacing w:after="0" w:line="227" w:lineRule="auto"/>
        <w:tabs>
          <w:tab w:leader="none" w:pos="655"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Amounts for the three and nine months ended September 30, 2022 include the unfavorable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net sales on a consolidated basis for select key products for the three and nine months ended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7"/>
                <w:szCs w:val="17"/>
                <w:color w:val="auto"/>
              </w:rPr>
            </w:pPr>
          </w:p>
        </w:tc>
        <w:tc>
          <w:tcPr>
            <w:tcW w:w="12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7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Select Key Global Products</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4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Lipitor ®</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Norvasc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Lyrica ®</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Viagra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EpiPen® Auto-Injectors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Celebrex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Creon ®</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Effexor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Zoloft ®</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Xalabrands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b w:val="1"/>
                <w:bCs w:val="1"/>
                <w:color w:val="auto"/>
              </w:rPr>
              <w:t>Select Key Segment Products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Influvac ®</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Yupelri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Amitiza ®</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Dymista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Xanax ®</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Company does not disclose net sales for any products considered competitively sensitive.</w:t>
      </w:r>
    </w:p>
    <w:p>
      <w:pPr>
        <w:spacing w:after="0" w:line="4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Products disclosed may change in future periods, including as a result of seasonality, competition or new product launches.</w:t>
      </w:r>
    </w:p>
    <w:p>
      <w:pPr>
        <w:spacing w:after="0" w:line="56" w:lineRule="exact"/>
        <w:rPr>
          <w:rFonts w:ascii="Arial" w:cs="Arial" w:eastAsia="Arial" w:hAnsi="Arial"/>
          <w:sz w:val="23"/>
          <w:szCs w:val="23"/>
          <w:color w:val="auto"/>
          <w:vertAlign w:val="superscript"/>
        </w:rPr>
      </w:pPr>
    </w:p>
    <w:p>
      <w:pPr>
        <w:ind w:left="660" w:hanging="328"/>
        <w:spacing w:after="0" w:line="219" w:lineRule="auto"/>
        <w:tabs>
          <w:tab w:leader="none" w:pos="655"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Amounts for the three and nine months ended September 30, 2022 include the unfavorable impact of foreign currency translations compared to the prior year period.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 and Accounts Receivable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a reconciliation of gross sales to net sales by each significant category of variable consideration during the three and nine months ended September 30, 2022 and 2021, respectively: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23,058.8</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Gross to net adjustments: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Chargebacks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(4,112.1)</w:t>
            </w:r>
          </w:p>
        </w:tc>
        <w:tc>
          <w:tcPr>
            <w:tcW w:w="0" w:type="dxa"/>
            <w:vAlign w:val="bottom"/>
          </w:tcPr>
          <w:p>
            <w:pPr>
              <w:spacing w:after="0"/>
              <w:rPr>
                <w:sz w:val="1"/>
                <w:szCs w:val="1"/>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Rebates, promotional programs and other sales allowances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(4,656.7)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Governmental rebate programs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gross to net adjustments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(9,576.5)</w:t>
            </w:r>
          </w:p>
        </w:tc>
        <w:tc>
          <w:tcPr>
            <w:tcW w:w="0" w:type="dxa"/>
            <w:vAlign w:val="bottom"/>
          </w:tcPr>
          <w:p>
            <w:pPr>
              <w:spacing w:after="0"/>
              <w:rPr>
                <w:sz w:val="1"/>
                <w:szCs w:val="1"/>
                <w:color w:val="auto"/>
              </w:rPr>
            </w:pP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13,482.3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No significant revisions were made to the methodology used in determining these provisions or the nature of the provisions during the three and nine months ended September 30, 2022. Such allowances were comprised of the following at September 30, 2022 and December 31, 2021, respectively:</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was comprised of the following at September 30, 2022 and December 31, 2021, respectively:</w:t>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6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3,774.4</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$42.1 million and $29.6 million of accounts receivable as of September 30, 2022 and December 31, 2021, respectively, under these factoring arrangements.</w:t>
      </w:r>
    </w:p>
    <w:p>
      <w:pPr>
        <w:spacing w:after="0" w:line="18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Adoption of New Accounting Standard</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In November 2021, the FASB issued Accounting Standards Update 2021-10, </w:t>
      </w:r>
      <w:r>
        <w:rPr>
          <w:rFonts w:ascii="Arial" w:cs="Arial" w:eastAsia="Arial" w:hAnsi="Arial"/>
          <w:sz w:val="17"/>
          <w:szCs w:val="17"/>
          <w:i w:val="1"/>
          <w:iCs w:val="1"/>
          <w:color w:val="auto"/>
        </w:rPr>
        <w:t>Government Assistance (Topic 832): Disclosures by Business Entities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about Government Assistance </w:t>
      </w:r>
      <w:r>
        <w:rPr>
          <w:rFonts w:ascii="Arial" w:cs="Arial" w:eastAsia="Arial" w:hAnsi="Arial"/>
          <w:sz w:val="17"/>
          <w:szCs w:val="17"/>
          <w:color w:val="auto"/>
        </w:rPr>
        <w:t>(“ASU 2021-10”), which requires entities to provide annual disclosures about transactions with a government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by applying a grant or contribution accounting model by analogy. We adopted the ASU prospectively on January 1, 2022. The additional annual disclosures required are not expected to have a material impact on our consolidated financial statements.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Standards Issued Not Yet Adopted</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In September 2022, the FASB issued Accounting Standards Update 2022-04, </w:t>
      </w:r>
      <w:r>
        <w:rPr>
          <w:rFonts w:ascii="Arial" w:cs="Arial" w:eastAsia="Arial" w:hAnsi="Arial"/>
          <w:sz w:val="17"/>
          <w:szCs w:val="17"/>
          <w:i w:val="1"/>
          <w:iCs w:val="1"/>
          <w:color w:val="auto"/>
        </w:rPr>
        <w:t>Liabilities—Supplier Finance Programs (Subtopic 405-50),</w:t>
      </w:r>
      <w:r>
        <w:rPr>
          <w:rFonts w:ascii="Arial" w:cs="Arial" w:eastAsia="Arial" w:hAnsi="Arial"/>
          <w:sz w:val="17"/>
          <w:szCs w:val="17"/>
          <w:color w:val="auto"/>
        </w:rPr>
        <w:t xml:space="preserve"> which requires entities to provide qualitative and quantitative disclosures about their supplier finance programs, including a rollforward of related obligations. The ASU will be effective for fiscal years beginning after December 15, 2022, including interim periods within those fiscal years, except for the rollforward requirement, which becomes effective for fiscal years beginning after December 15, 2023, with early adoption permitted. The Company is currently assessing the impact of the adoption of this guidance on its condensed consolidated financial statements and disclosures.</w:t>
      </w:r>
    </w:p>
    <w:p>
      <w:pPr>
        <w:spacing w:after="0" w:line="17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There were no other significant changes in new accounting standards from those disclosed in Viatris’ 2021 Form 10-K. Refer to Viatris’ 2021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Incentive Plan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Prior to the Distribution, Viatris adopted and Pfizer, in the capacity as Viatris’ sole stockholder at such time, approved the Plan which became effective as of the Distribution. In connection with the Combination, as of November 16, 2020, the Company assumed the 2003 LTIP, which had previously been approved by Mylan shareholders. The Plan and 2003 LTIP include (i) 72,500,000 shares of common stock authorized for grant pursuant to the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spacing w:after="0" w:line="17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Under the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awards (stock options and SARs) activity under the Plan and 2003 LTIP:</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9"/>
        </w:trPr>
        <w:tc>
          <w:tcPr>
            <w:tcW w:w="8520" w:type="dxa"/>
            <w:vAlign w:val="bottom"/>
          </w:tcPr>
          <w:p>
            <w:pPr>
              <w:spacing w:after="0"/>
              <w:rPr>
                <w:sz w:val="12"/>
                <w:szCs w:val="12"/>
                <w:color w:val="auto"/>
              </w:rPr>
            </w:pPr>
          </w:p>
        </w:tc>
        <w:tc>
          <w:tcPr>
            <w:tcW w:w="12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Under Stock</w:t>
            </w:r>
          </w:p>
        </w:tc>
        <w:tc>
          <w:tcPr>
            <w:tcW w:w="120" w:type="dxa"/>
            <w:vAlign w:val="bottom"/>
          </w:tcPr>
          <w:p>
            <w:pPr>
              <w:spacing w:after="0"/>
              <w:rPr>
                <w:sz w:val="12"/>
                <w:szCs w:val="12"/>
                <w:color w:val="auto"/>
              </w:rPr>
            </w:pPr>
          </w:p>
        </w:tc>
        <w:tc>
          <w:tcPr>
            <w:tcW w:w="13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Exercise Price per</w:t>
            </w:r>
          </w:p>
        </w:tc>
        <w:tc>
          <w:tcPr>
            <w:tcW w:w="0" w:type="dxa"/>
            <w:vAlign w:val="bottom"/>
          </w:tcPr>
          <w:p>
            <w:pPr>
              <w:spacing w:after="0"/>
              <w:rPr>
                <w:sz w:val="1"/>
                <w:szCs w:val="1"/>
                <w:color w:val="auto"/>
              </w:rPr>
            </w:pPr>
          </w:p>
        </w:tc>
      </w:tr>
      <w:tr>
        <w:trPr>
          <w:trHeight w:val="186"/>
        </w:trPr>
        <w:tc>
          <w:tcPr>
            <w:tcW w:w="85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213"/>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6"/>
        </w:trPr>
        <w:tc>
          <w:tcPr>
            <w:tcW w:w="85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5,576,490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(987,134)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4,589,356</w:t>
            </w:r>
          </w:p>
        </w:tc>
        <w:tc>
          <w:tcPr>
            <w:tcW w:w="4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expected to vest at September 30, 2022</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line="20" w:lineRule="exact"/>
              <w:rPr>
                <w:sz w:val="1"/>
                <w:szCs w:val="1"/>
                <w:color w:val="auto"/>
              </w:rPr>
            </w:pPr>
          </w:p>
        </w:tc>
      </w:tr>
      <w:tr>
        <w:trPr>
          <w:trHeight w:val="203"/>
        </w:trPr>
        <w:tc>
          <w:tcPr>
            <w:tcW w:w="852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4,547,686</w:t>
            </w:r>
          </w:p>
        </w:tc>
        <w:tc>
          <w:tcPr>
            <w:tcW w:w="40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4,340,604</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As of September 30, 2022, stock awards outstanding, stock awards vested and expected to vest and stock awards exercisable had average remaining contractual terms of 4.3 years, 4.3 years and 4.1 years, respectively. Also, as of September 30, 2022, stock awards outstanding, stock awards vested and expected to vest and stock awards exercisable had no aggregate intrinsic value.</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summary of the status of the Company’s nonvested restricted stock awards (restricted stock and restricted stock unit awards, including PSUs) as of September 30, 2022 and the changes during the nine months ended September 30, 2022 are presented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4"/>
        </w:trPr>
        <w:tc>
          <w:tcPr>
            <w:tcW w:w="85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49"/>
        </w:trPr>
        <w:tc>
          <w:tcPr>
            <w:tcW w:w="85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Awards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16,858,128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9"/>
        </w:trPr>
        <w:tc>
          <w:tcPr>
            <w:tcW w:w="85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80" w:type="dxa"/>
            <w:vAlign w:val="bottom"/>
          </w:tcPr>
          <w:p>
            <w:pPr>
              <w:ind w:left="400"/>
              <w:spacing w:after="0"/>
              <w:rPr>
                <w:sz w:val="20"/>
                <w:szCs w:val="20"/>
                <w:color w:val="auto"/>
              </w:rPr>
            </w:pPr>
            <w:r>
              <w:rPr>
                <w:rFonts w:ascii="Arial" w:cs="Arial" w:eastAsia="Arial" w:hAnsi="Arial"/>
                <w:sz w:val="18"/>
                <w:szCs w:val="18"/>
                <w:color w:val="auto"/>
                <w:w w:val="95"/>
              </w:rPr>
              <w:t>16,868,245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1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(3,607,011)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1"/>
              </w:rPr>
              <w:t>(1,045,664)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2022</w:t>
            </w:r>
          </w:p>
        </w:tc>
        <w:tc>
          <w:tcPr>
            <w:tcW w:w="1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5"/>
              </w:rPr>
              <w:t>29,073,698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As of September 30, 2022, the Company had $206.7 million of total unrecognized compensation expense, net of estimated forfeitures, related to all of its stock-based awards, which we expect to recognize over the remaining weighted average vesting period of 1.6 years. The total intrinsic value of restricted stock awards released during the nine months ended September 30, 2022 and 2021 was $39.6 million and $75.6 million, respectively.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right="7540" w:hanging="332"/>
        <w:spacing w:after="0" w:line="503"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i w:val="1"/>
          <w:iCs w:val="1"/>
          <w:color w:val="auto"/>
        </w:rPr>
        <w:t>Defined Benefit Plans</w:t>
      </w:r>
    </w:p>
    <w:p>
      <w:pPr>
        <w:ind w:right="40" w:firstLine="648"/>
        <w:spacing w:after="0" w:line="263" w:lineRule="auto"/>
        <w:rPr>
          <w:sz w:val="20"/>
          <w:szCs w:val="20"/>
          <w:color w:val="auto"/>
        </w:rPr>
      </w:pPr>
      <w:r>
        <w:rPr>
          <w:rFonts w:ascii="Arial" w:cs="Arial" w:eastAsia="Arial" w:hAnsi="Arial"/>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8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Periodic Benefit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benefit cost for the three and nine months ended September 30, 2022 and 2021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20" w:type="dxa"/>
            <w:vAlign w:val="bottom"/>
            <w:gridSpan w:val="7"/>
          </w:tcPr>
          <w:p>
            <w:pPr>
              <w:ind w:left="40"/>
              <w:spacing w:after="0"/>
              <w:rPr>
                <w:sz w:val="20"/>
                <w:szCs w:val="20"/>
                <w:color w:val="auto"/>
              </w:rPr>
            </w:pPr>
            <w:r>
              <w:rPr>
                <w:rFonts w:ascii="Arial" w:cs="Arial" w:eastAsia="Arial" w:hAnsi="Arial"/>
                <w:sz w:val="14"/>
                <w:szCs w:val="14"/>
                <w:b w:val="1"/>
                <w:bCs w:val="1"/>
                <w:color w:val="auto"/>
                <w:w w:val="92"/>
              </w:rPr>
              <w:t>Pension and Other Postretirement Benefits</w:t>
            </w: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3"/>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gain</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During the nine months ended September 30, 2021, the Company recognized a settlement gain as a result of cash payments from lump sum elections related to the U.S. and Puerto Rico pension plans.</w:t>
      </w:r>
    </w:p>
    <w:p>
      <w:pPr>
        <w:spacing w:after="0" w:line="170"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The Company is making the minimum mandatory contributions to its defined benefit pension plans in the U.S. and Puerto Rico for the 2022 plan year. The Company expects to make total benefit payments of approximately $118.0 million from pension and other postretirement benefit plans in 2022. The Company anticipates making contributions to pension and other postretirement benefit plans of approximately $52.0 million in 2022.</w:t>
      </w:r>
    </w:p>
    <w:p>
      <w:pPr>
        <w:spacing w:after="0" w:line="14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b w:val="1"/>
                <w:bCs w:val="1"/>
                <w:color w:val="auto"/>
              </w:rPr>
              <w:t>Inventories</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3,977.7</w:t>
            </w:r>
          </w:p>
        </w:tc>
        <w:tc>
          <w:tcPr>
            <w:tcW w:w="0" w:type="dxa"/>
            <w:vAlign w:val="bottom"/>
          </w:tcPr>
          <w:p>
            <w:pPr>
              <w:spacing w:after="0"/>
              <w:rPr>
                <w:sz w:val="1"/>
                <w:szCs w:val="1"/>
                <w:color w:val="auto"/>
              </w:rPr>
            </w:pPr>
          </w:p>
        </w:tc>
      </w:tr>
      <w:tr>
        <w:trPr>
          <w:trHeight w:val="21"/>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Available-for-sale fixed income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financial instruments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b w:val="1"/>
                <w:bCs w:val="1"/>
                <w:color w:val="auto"/>
              </w:rPr>
              <w:t>Prepaid expenses and other current assets</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640"/>
              <w:spacing w:after="0"/>
              <w:rPr>
                <w:sz w:val="20"/>
                <w:szCs w:val="20"/>
                <w:color w:val="auto"/>
              </w:rPr>
            </w:pPr>
            <w:r>
              <w:rPr>
                <w:rFonts w:ascii="Arial" w:cs="Arial" w:eastAsia="Arial" w:hAnsi="Arial"/>
                <w:sz w:val="18"/>
                <w:szCs w:val="18"/>
                <w:color w:val="auto"/>
                <w:w w:val="98"/>
              </w:rPr>
              <w:t>Prepaid expenses consist primarily of prepaid rent, insurance and other individually insignificant items.</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1"/>
                <w:szCs w:val="2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Land and improvements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property, plant and equipment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Property, plant and equipment, net</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Accounts payable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payables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allowances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Legal and professional accruals, including litigation accruals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employee benefit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clean energy investments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Fair value of financial instruments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1,254.6</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long-term obligations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22"/>
                <w:szCs w:val="2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related items, including contingencies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Other long-term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held for sale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February 27, 2022, the Company entered into an agreement to contribute its biosimilars portfolio to Biocon Biologics. Under the terms of the Biocon Agreement, at closing Viatris will receive an up-front cash payment of $2.0 billion, subject to certain adjustments, ownership of at least 12.9% of Biocon Biologics, on a fully diluted basis, in the form of convertible preferred equity which will have certain priority rights with respect to certain liquidity events, and $335 million as additional cash payments that are expected to be paid in 2024. Upon closing of the transaction, we expect to record a gain for the difference between the consideration received, including the fair value of the convertible preferred equity, and the carrying value of the biosimilars portfolio. The companies will also enter into a two-year transition services agreement, subject to extension in certain circumstances, during which time Viatris will provide certain commercial and administrative services for an applicable service fee. The transaction is expected to close by the end of 2022 and is subject to various closing conditions (including regulatory approvals). Assets and liabilities associated with the biosimilars portfolio were reclassified as held for sale in the condensed consolidated balance sheets as of September 30, 2022.</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associated with the biosimilars portfolio, as well as other assets classified as held for sale, consisted of the following:</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long-term obligations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liabilities held for sale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38"/>
        <w:spacing w:after="0"/>
        <w:rPr>
          <w:sz w:val="20"/>
          <w:szCs w:val="20"/>
          <w:color w:val="auto"/>
        </w:rPr>
      </w:pPr>
      <w:r>
        <w:rPr>
          <w:rFonts w:ascii="Arial" w:cs="Arial" w:eastAsia="Arial" w:hAnsi="Arial"/>
          <w:sz w:val="14"/>
          <w:szCs w:val="14"/>
          <w:b w:val="1"/>
          <w:bCs w:val="1"/>
          <w:color w:val="auto"/>
        </w:rPr>
        <w:t>As of</w:t>
      </w:r>
    </w:p>
    <w:p>
      <w:pPr>
        <w:spacing w:after="0" w:line="42" w:lineRule="exact"/>
        <w:rPr>
          <w:sz w:val="20"/>
          <w:szCs w:val="20"/>
          <w:color w:val="auto"/>
        </w:rPr>
      </w:pPr>
    </w:p>
    <w:p>
      <w:pPr>
        <w:jc w:val="center"/>
        <w:ind w:right="-38"/>
        <w:spacing w:after="0"/>
        <w:rPr>
          <w:sz w:val="20"/>
          <w:szCs w:val="20"/>
          <w:color w:val="auto"/>
        </w:rPr>
      </w:pPr>
      <w:r>
        <w:rPr>
          <w:rFonts w:ascii="Arial" w:cs="Arial" w:eastAsia="Arial" w:hAnsi="Arial"/>
          <w:sz w:val="12"/>
          <w:szCs w:val="12"/>
          <w:b w:val="1"/>
          <w:bCs w:val="1"/>
          <w:color w:val="auto"/>
        </w:rPr>
        <w:t>September 30, 2022</w:t>
      </w:r>
    </w:p>
    <w:p>
      <w:pPr>
        <w:spacing w:after="0" w:line="302" w:lineRule="exact"/>
        <w:rPr>
          <w:sz w:val="20"/>
          <w:szCs w:val="20"/>
          <w:color w:val="auto"/>
        </w:rPr>
      </w:pPr>
    </w:p>
    <w:p>
      <w:pPr>
        <w:ind w:left="839" w:hanging="839"/>
        <w:spacing w:after="0"/>
        <w:tabs>
          <w:tab w:leader="none" w:pos="839" w:val="left"/>
        </w:tabs>
        <w:numPr>
          <w:ilvl w:val="0"/>
          <w:numId w:val="10"/>
        </w:numPr>
        <w:rPr>
          <w:rFonts w:ascii="Arial" w:cs="Arial" w:eastAsia="Arial" w:hAnsi="Arial"/>
          <w:sz w:val="16"/>
          <w:szCs w:val="16"/>
          <w:color w:val="auto"/>
        </w:rPr>
      </w:pPr>
      <w:r>
        <w:rPr>
          <w:rFonts w:ascii="Arial" w:cs="Arial" w:eastAsia="Arial" w:hAnsi="Arial"/>
          <w:sz w:val="16"/>
          <w:szCs w:val="16"/>
          <w:color w:val="auto"/>
        </w:rPr>
        <w:t>159.5</w:t>
      </w:r>
    </w:p>
    <w:p>
      <w:pPr>
        <w:spacing w:after="0" w:line="46" w:lineRule="exact"/>
        <w:rPr>
          <w:rFonts w:ascii="Arial" w:cs="Arial" w:eastAsia="Arial" w:hAnsi="Arial"/>
          <w:sz w:val="16"/>
          <w:szCs w:val="16"/>
          <w:color w:val="auto"/>
        </w:rPr>
      </w:pPr>
    </w:p>
    <w:p>
      <w:pPr>
        <w:ind w:left="839"/>
        <w:spacing w:after="0"/>
        <w:rPr>
          <w:rFonts w:ascii="Arial" w:cs="Arial" w:eastAsia="Arial" w:hAnsi="Arial"/>
          <w:sz w:val="16"/>
          <w:szCs w:val="16"/>
          <w:color w:val="auto"/>
        </w:rPr>
      </w:pPr>
      <w:r>
        <w:rPr>
          <w:rFonts w:ascii="Arial" w:cs="Arial" w:eastAsia="Arial" w:hAnsi="Arial"/>
          <w:sz w:val="16"/>
          <w:szCs w:val="16"/>
          <w:color w:val="auto"/>
        </w:rPr>
        <w:t>163.2</w:t>
      </w:r>
    </w:p>
    <w:p>
      <w:pPr>
        <w:spacing w:after="0" w:line="45" w:lineRule="exact"/>
        <w:rPr>
          <w:rFonts w:ascii="Arial" w:cs="Arial" w:eastAsia="Arial" w:hAnsi="Arial"/>
          <w:sz w:val="16"/>
          <w:szCs w:val="16"/>
          <w:color w:val="auto"/>
        </w:rPr>
      </w:pPr>
    </w:p>
    <w:p>
      <w:pPr>
        <w:ind w:left="939"/>
        <w:spacing w:after="0"/>
        <w:rPr>
          <w:rFonts w:ascii="Arial" w:cs="Arial" w:eastAsia="Arial" w:hAnsi="Arial"/>
          <w:sz w:val="16"/>
          <w:szCs w:val="16"/>
          <w:color w:val="auto"/>
        </w:rPr>
      </w:pPr>
      <w:r>
        <w:rPr>
          <w:rFonts w:ascii="Arial" w:cs="Arial" w:eastAsia="Arial" w:hAnsi="Arial"/>
          <w:sz w:val="16"/>
          <w:szCs w:val="16"/>
          <w:color w:val="auto"/>
        </w:rPr>
        <w:t>27.0</w:t>
      </w:r>
    </w:p>
    <w:p>
      <w:pPr>
        <w:spacing w:after="0" w:line="45" w:lineRule="exact"/>
        <w:rPr>
          <w:rFonts w:ascii="Arial" w:cs="Arial" w:eastAsia="Arial" w:hAnsi="Arial"/>
          <w:sz w:val="16"/>
          <w:szCs w:val="16"/>
          <w:color w:val="auto"/>
        </w:rPr>
      </w:pPr>
    </w:p>
    <w:p>
      <w:pPr>
        <w:ind w:left="939"/>
        <w:spacing w:after="0"/>
        <w:rPr>
          <w:rFonts w:ascii="Arial" w:cs="Arial" w:eastAsia="Arial" w:hAnsi="Arial"/>
          <w:sz w:val="16"/>
          <w:szCs w:val="16"/>
          <w:color w:val="auto"/>
        </w:rPr>
      </w:pPr>
      <w:r>
        <w:rPr>
          <w:rFonts w:ascii="Arial" w:cs="Arial" w:eastAsia="Arial" w:hAnsi="Arial"/>
          <w:sz w:val="16"/>
          <w:szCs w:val="16"/>
          <w:color w:val="auto"/>
        </w:rPr>
        <w:t>59.8</w:t>
      </w:r>
    </w:p>
    <w:p>
      <w:pPr>
        <w:spacing w:after="0" w:line="45" w:lineRule="exact"/>
        <w:rPr>
          <w:rFonts w:ascii="Arial" w:cs="Arial" w:eastAsia="Arial" w:hAnsi="Arial"/>
          <w:sz w:val="16"/>
          <w:szCs w:val="16"/>
          <w:color w:val="auto"/>
        </w:rPr>
      </w:pPr>
    </w:p>
    <w:p>
      <w:pPr>
        <w:ind w:left="859"/>
        <w:spacing w:after="0"/>
        <w:rPr>
          <w:rFonts w:ascii="Arial" w:cs="Arial" w:eastAsia="Arial" w:hAnsi="Arial"/>
          <w:sz w:val="16"/>
          <w:szCs w:val="16"/>
          <w:color w:val="auto"/>
        </w:rPr>
      </w:pPr>
      <w:r>
        <w:rPr>
          <w:rFonts w:ascii="Arial" w:cs="Arial" w:eastAsia="Arial" w:hAnsi="Arial"/>
          <w:sz w:val="15"/>
          <w:szCs w:val="15"/>
          <w:color w:val="auto"/>
        </w:rPr>
        <w:t>911.8</w:t>
      </w:r>
    </w:p>
    <w:p>
      <w:pPr>
        <w:spacing w:after="0" w:line="57" w:lineRule="exact"/>
        <w:rPr>
          <w:rFonts w:ascii="Arial" w:cs="Arial" w:eastAsia="Arial" w:hAnsi="Arial"/>
          <w:sz w:val="16"/>
          <w:szCs w:val="16"/>
          <w:color w:val="auto"/>
        </w:rPr>
      </w:pPr>
    </w:p>
    <w:p>
      <w:pPr>
        <w:ind w:left="839"/>
        <w:spacing w:after="0"/>
        <w:rPr>
          <w:rFonts w:ascii="Arial" w:cs="Arial" w:eastAsia="Arial" w:hAnsi="Arial"/>
          <w:sz w:val="16"/>
          <w:szCs w:val="16"/>
          <w:color w:val="auto"/>
        </w:rPr>
      </w:pPr>
      <w:r>
        <w:rPr>
          <w:rFonts w:ascii="Arial" w:cs="Arial" w:eastAsia="Arial" w:hAnsi="Arial"/>
          <w:sz w:val="16"/>
          <w:szCs w:val="16"/>
          <w:color w:val="auto"/>
        </w:rPr>
        <w:t>105.1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8483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8" w:lineRule="exact"/>
        <w:rPr>
          <w:sz w:val="20"/>
          <w:szCs w:val="20"/>
          <w:color w:val="auto"/>
        </w:rPr>
      </w:pPr>
    </w:p>
    <w:p>
      <w:pPr>
        <w:ind w:left="699" w:hanging="699"/>
        <w:spacing w:after="0"/>
        <w:tabs>
          <w:tab w:leader="none" w:pos="699" w:val="left"/>
        </w:tabs>
        <w:numPr>
          <w:ilvl w:val="0"/>
          <w:numId w:val="11"/>
        </w:numPr>
        <w:rPr>
          <w:rFonts w:ascii="Arial" w:cs="Arial" w:eastAsia="Arial" w:hAnsi="Arial"/>
          <w:sz w:val="16"/>
          <w:szCs w:val="16"/>
          <w:color w:val="auto"/>
        </w:rPr>
      </w:pPr>
      <w:r>
        <w:rPr>
          <w:rFonts w:ascii="Arial" w:cs="Arial" w:eastAsia="Arial" w:hAnsi="Arial"/>
          <w:sz w:val="16"/>
          <w:szCs w:val="16"/>
          <w:color w:val="auto"/>
        </w:rPr>
        <w:t>1,426.4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8483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839" w:hanging="839"/>
        <w:spacing w:after="0"/>
        <w:tabs>
          <w:tab w:leader="none" w:pos="8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131.2</w:t>
      </w:r>
    </w:p>
    <w:p>
      <w:pPr>
        <w:spacing w:after="0" w:line="46" w:lineRule="exact"/>
        <w:rPr>
          <w:rFonts w:ascii="Arial" w:cs="Arial" w:eastAsia="Arial" w:hAnsi="Arial"/>
          <w:sz w:val="16"/>
          <w:szCs w:val="16"/>
          <w:color w:val="auto"/>
        </w:rPr>
      </w:pPr>
    </w:p>
    <w:p>
      <w:pPr>
        <w:ind w:left="839"/>
        <w:spacing w:after="0"/>
        <w:rPr>
          <w:rFonts w:ascii="Arial" w:cs="Arial" w:eastAsia="Arial" w:hAnsi="Arial"/>
          <w:sz w:val="16"/>
          <w:szCs w:val="16"/>
          <w:color w:val="auto"/>
        </w:rPr>
      </w:pPr>
      <w:r>
        <w:rPr>
          <w:rFonts w:ascii="Arial" w:cs="Arial" w:eastAsia="Arial" w:hAnsi="Arial"/>
          <w:sz w:val="16"/>
          <w:szCs w:val="16"/>
          <w:color w:val="auto"/>
        </w:rPr>
        <w:t>202.1</w:t>
      </w:r>
    </w:p>
    <w:p>
      <w:pPr>
        <w:spacing w:after="0" w:line="45" w:lineRule="exact"/>
        <w:rPr>
          <w:rFonts w:ascii="Arial" w:cs="Arial" w:eastAsia="Arial" w:hAnsi="Arial"/>
          <w:sz w:val="16"/>
          <w:szCs w:val="16"/>
          <w:color w:val="auto"/>
        </w:rPr>
      </w:pPr>
    </w:p>
    <w:p>
      <w:pPr>
        <w:ind w:left="1019"/>
        <w:spacing w:after="0"/>
        <w:rPr>
          <w:rFonts w:ascii="Arial" w:cs="Arial" w:eastAsia="Arial" w:hAnsi="Arial"/>
          <w:sz w:val="16"/>
          <w:szCs w:val="16"/>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848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7" w:lineRule="exact"/>
        <w:rPr>
          <w:sz w:val="20"/>
          <w:szCs w:val="20"/>
          <w:color w:val="auto"/>
        </w:rPr>
      </w:pPr>
    </w:p>
    <w:p>
      <w:pPr>
        <w:ind w:left="839" w:hanging="839"/>
        <w:spacing w:after="0"/>
        <w:tabs>
          <w:tab w:leader="none" w:pos="8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335.3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8483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8483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9201" w:space="720"/>
            <w:col w:w="1279"/>
          </w:cols>
          <w:pgMar w:left="320" w:top="118" w:right="379" w:bottom="1440" w:gutter="0" w:footer="0" w:header="0"/>
          <w:type w:val="continuous"/>
        </w:sectPr>
      </w:pPr>
    </w:p>
    <w:p>
      <w:pPr>
        <w:spacing w:after="0" w:line="16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the three and nine months ended September 30, 2022, total revenues relating to the biosimilars portfolio expected to be contributed to Biocon Biologics were approximately $185.3 million and $521.3 million, respectively.</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law that provides for IRC Section 45 tax credits expired during the year ended December 31, 2021 for all three clean energy investments and all of the clean energy investments have wound down operations. Summarized financial information, in the aggregate, for the Company’s three equity method, clean energy investments on a 100% basis for the three and nine months ended September 30, 2021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6"/>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86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3"/>
                <w:szCs w:val="13"/>
                <w:color w:val="auto"/>
              </w:rPr>
            </w:pPr>
          </w:p>
        </w:tc>
        <w:tc>
          <w:tcPr>
            <w:tcW w:w="118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September 30, 2021</w:t>
            </w:r>
          </w:p>
        </w:tc>
        <w:tc>
          <w:tcPr>
            <w:tcW w:w="0" w:type="dxa"/>
            <w:vAlign w:val="bottom"/>
          </w:tcPr>
          <w:p>
            <w:pPr>
              <w:spacing w:after="0"/>
              <w:rPr>
                <w:sz w:val="1"/>
                <w:szCs w:val="1"/>
                <w:color w:val="auto"/>
              </w:rPr>
            </w:pPr>
          </w:p>
        </w:tc>
      </w:tr>
      <w:tr>
        <w:trPr>
          <w:trHeight w:val="196"/>
        </w:trPr>
        <w:tc>
          <w:tcPr>
            <w:tcW w:w="86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Gross loss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non-operating expense</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86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Company’s net losses from its equity method investments included amortization expense related to the excess of the cost basis of the Company’s investment over the underlying assets of each individual investee. For the three and nine months ended September 30, 2021, the Company recognized net losses from equity method investments of $17.6 million and $52.2 million, respectively, which were recognized as a component of other (income) expense, net in the condensed consolidated statements of operations. The Company recognized the income tax credits and benefits from the clean energy investments as part of its provision for income taxes.</w:t>
      </w:r>
    </w:p>
    <w:p>
      <w:pPr>
        <w:spacing w:after="0" w:line="18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Basic earnings (loss) per share is computed by dividing net earnings (loss) by the weighted average number of shares outstanding during the period. Diluted earnings (loss) per share is computed by dividing net earnings (loss) by the weighted average number of shares outstanding during the period increased by the number of additional shares that would have been outstanding related to potentially dilutive securities or instruments, if the impact is dilutive.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earnings (loss) per share attributable to Viatris Inc. are calculated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attributable to Viatris Inc. common shareholders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Net earnings (loss)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Basic earnings (loss)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Diluted earnings (loss) attributable to Viatris Inc. common shareholders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Net earnings (loss) attributable to Viatris Inc.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Shares (denominator):</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awards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340"/>
              <w:spacing w:after="0"/>
              <w:rPr>
                <w:sz w:val="20"/>
                <w:szCs w:val="20"/>
                <w:color w:val="auto"/>
              </w:rPr>
            </w:pPr>
            <w:r>
              <w:rPr>
                <w:rFonts w:ascii="Arial" w:cs="Arial" w:eastAsia="Arial" w:hAnsi="Arial"/>
                <w:sz w:val="18"/>
                <w:szCs w:val="18"/>
                <w:color w:val="auto"/>
              </w:rPr>
              <w:t>Total dilutive shares outstanding</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Diluted earnings (loss) per share attributable to Viatris Inc.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Additional stock awards and restricted stock awards were outstanding during the three and nine months ended September 30, 2022 and 2021, but were not included in the computation of diluted earnings per share for each respective period because the effect would be anti-dilutive. Excluded shares at September 30, 2022 include certain share-based compensation awards whose performance conditions had not been fully met. Such excluded shares and anti-dilutive awards represented 14.7 million shares and 13.3 million shares for the three and nine months ended September 30, 2022, respectively, and 11.4 million shares and 10.8 million shares for the three and nine months ended September 30, 2021, respectively.</w:t>
      </w:r>
    </w:p>
    <w:p>
      <w:pPr>
        <w:spacing w:after="0" w:line="16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Company paid quarterly dividends of $0.12 per share on the Company’s issued and outstanding common stock on March 16, 2022, June 16, 2022 and September 16, 2022. On November 3, 2022, the Company’s Board of Directors declared a quarterly cash dividend of $0.12 per share on the Company’s issued and outstanding common stock, which will be payable on December 16, 2022 to shareholders of record as of the close of business on November 23, 2022.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spacing w:after="0" w:line="164"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On May 6, 2022, the Company announced that its Board of Directors had authorized a DRIP. The DRIP allows shareholders to automatically reinvest all or a portion of the cash dividends paid on their shares of the Company’s common stock and to make certain additional optional cash investments in the Company’s common stock.</w:t>
      </w:r>
    </w:p>
    <w:p>
      <w:pPr>
        <w:spacing w:after="0" w:line="21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The Company has not yet repurchased any shares of common stock under the share repurchase program and the share repurchase program does not obligate the Company to acquire any particular amount of common stock.</w:t>
      </w:r>
    </w:p>
    <w:p>
      <w:pPr>
        <w:spacing w:after="0" w:line="200" w:lineRule="exact"/>
        <w:rPr>
          <w:sz w:val="20"/>
          <w:szCs w:val="20"/>
          <w:color w:val="auto"/>
        </w:rPr>
      </w:pPr>
    </w:p>
    <w:p>
      <w:pPr>
        <w:spacing w:after="0" w:line="20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nine months ended September 30, 2022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Developed</w:t>
            </w:r>
          </w:p>
        </w:tc>
        <w:tc>
          <w:tcPr>
            <w:tcW w:w="14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Greater China</w:t>
            </w:r>
          </w:p>
        </w:tc>
        <w:tc>
          <w:tcPr>
            <w:tcW w:w="26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JANZ</w:t>
            </w: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Emerging Markets</w:t>
            </w:r>
          </w:p>
        </w:tc>
        <w:tc>
          <w:tcPr>
            <w:tcW w:w="280" w:type="dxa"/>
            <w:vAlign w:val="bottom"/>
          </w:tcPr>
          <w:p>
            <w:pPr>
              <w:spacing w:after="0"/>
              <w:rPr>
                <w:sz w:val="14"/>
                <w:szCs w:val="14"/>
                <w:color w:val="auto"/>
              </w:rPr>
            </w:pPr>
          </w:p>
        </w:tc>
        <w:tc>
          <w:tcPr>
            <w:tcW w:w="9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9,108.4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12,498.7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impairment losses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8,723.4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12,113.7</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Reclassification to assets held for sale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(1,147.3)</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Balance at September 30, 2022: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10,439.6</w:t>
            </w: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ind w:left="640" w:hanging="308"/>
        <w:spacing w:after="0" w:line="217" w:lineRule="auto"/>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Primarily reflects goodwill relating to the biosimilars portfolio.</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The Company reviews goodwill for impairment annually on April 1st or more frequently if events or changes in circumstances indicate that the carrying value of goodwill may not be recoverable. As a result of the Biocon Biologics Transaction (refer to Note 6 </w:t>
      </w:r>
      <w:r>
        <w:rPr>
          <w:rFonts w:ascii="Arial" w:cs="Arial" w:eastAsia="Arial" w:hAnsi="Arial"/>
          <w:sz w:val="17"/>
          <w:szCs w:val="17"/>
          <w:i w:val="1"/>
          <w:iCs w:val="1"/>
          <w:color w:val="auto"/>
        </w:rPr>
        <w:t>Balance Sheet Components</w:t>
      </w:r>
      <w:r>
        <w:rPr>
          <w:rFonts w:ascii="Arial" w:cs="Arial" w:eastAsia="Arial" w:hAnsi="Arial"/>
          <w:sz w:val="17"/>
          <w:szCs w:val="17"/>
          <w:color w:val="auto"/>
        </w:rPr>
        <w:t xml:space="preserve"> for additional information) and the decline in the Company’s share price during the first quarter of 2022, the Company performed an interim goodwill impairment test as of March 31, 2022. The Company performed the annual goodwill impairment test as of April 1, 2022. There were no significant changes from the interim goodwill test performed at March 31, 2022 and the results were consistent with the interim goodwill impairment test.</w:t>
      </w:r>
    </w:p>
    <w:p>
      <w:pPr>
        <w:spacing w:after="0" w:line="17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March 31, 2022 and April 1, 2022, the allocation of the Company’s total goodwill (prior to the reclassification of goodwill to assets held for sale) was as follows: North America $3.61 billion, Europe $4.95 billion, Emerging Markets $1.64 billion, JANZ $0.78 billion and Greater China $0.97 billion.</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March 31, 2022 and April 1, 2022, the Company determined that the fair value of the North America and Greater China reporting units was substantially in excess of the respective unit’s carrying value.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Europe reporting unit, the estimated fair value exceeded its carrying value by approximately $797 million or 5.3% for both the interim and annual goodwill impairment tests. As it relates to the income approach for the Europe reporting unit at March 31, 2022 and April 1, 2022, the Company forecasted cash flows for the next 10 years. During the forecast period, the revenue compound annual growth rate was approximately 0.5%. A terminal year value was calculated with a negative 1.0% revenue growth rate applied. The discount rate utilized was 9.5% and the estimated tax rate was 15.3%. Under the market-based approach, we utilized an estimated range of market multiples of 7.5 to 8.0 times EBITDA plus a control premium of 15.0%. If all other assumptions are held constant, a reduction in the terminal value growth rate by 3.0% or an increase in discount rate by 1.5% would result in an impairment charge for the Europe reporting unit.</w:t>
      </w:r>
    </w:p>
    <w:p>
      <w:pPr>
        <w:spacing w:after="0" w:line="22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For the JANZ reporting unit, the estimated fair value exceeded its carrying value by approximately $231 million or 7.4% for both the interim and annual goodwill impairment tests. As it relates to the income approach for the JANZ reporting unit at March 31, 2022 and April 1, 2022, the Company forecasted cash flows for the next 10 years. During the forecast period, the revenue compound annual growth rate was approximately negative 4.8%. A terminal year value was calculated assuming no revenue growth. The discount rate utilized was 6.0% and the estimated tax rate was 30.4%. Under the market-based approach, we utilized an estimated market multiple of 6.0 times EBITDA plus a control premium of 15.0%. If all other assumptions are held constant, a reduction in the terminal value growth rate by 3.5% or an increase in discount rate by 2.0% would result in an impairment charge for the JANZ reporting unit.</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the Emerging Markets reporting unit, the estimated fair value exceeded its carrying value by approximately $816 million or 10.3% for both the interim and annual goodwill impairment tests. As it relates to the income approach for the Emerging Markets reporting unit at March 31, 2022 and April 1, 2022, the Company forecasted cash flows for the next 10 years. During the forecast period, the revenue compound annual growth rate was approximately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1.6%. A terminal year value was calculated with a 0.8% revenue growth rate applied. The discount rate utilized was 10.5% and the estimated tax rate was 18.4%. Under the market-based approach, we utilized an estimated market multiple of 7.5 times EBITDA plus a control premium of 15.0%. If all other assumptions are held constant, a reduction in the terminal value growth rate by approximately 8.5% or an increase in discount rate by 3.0% would result in an impairment charge for the Emerging Markets reporting unit.</w:t>
      </w:r>
    </w:p>
    <w:p>
      <w:pPr>
        <w:spacing w:after="0" w:line="19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Subsequent to the completion of the interim goodwill impairment test, the Company allocated goodwill to its biosimilars portfolio, which totals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$901.8 million as of September 30, 2022, using a relative fair value approach and then reclassified the amount to assets held for sale in conjunction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Biocon Biologics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components at September 30, 2022 and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Original Cost</w:t>
            </w: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36,450.6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13,479.8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22,970.8</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36,493.1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13,479.8</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23,013.3</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December 31, 2021</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3"/>
                <w:szCs w:val="23"/>
                <w:color w:val="auto"/>
                <w:vertAlign w:val="superscript"/>
              </w:rPr>
              <w:t>(1)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39,006.2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12,918.5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26,087.7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39,052.7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12,918.5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26,134.2</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amortizable intangible assets. Other intangible assets consists principally of customer lists and contractual rights.</w:t>
      </w:r>
    </w:p>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Amortization expense, which is classified primarily within cost of sales in the condensed consolidated statements of operations for the three and nine months ended September 30, 2022 and 2021 totaled: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22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Intangible asset impairment charges</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8"/>
              </w:rPr>
              <w:t>Total intangible asset amortization expense (including impairment charges)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On April 30, 2021, the Company completed an agreement to divest a group of OTC products in the U.S. As a result of this transaction, the Company recognized an intangible asset impairment charge of approximately $83.4 million during the nine months ended September 30, 2021.</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 amortization expense over the remainder of 2022 and for the years ending December 31, 2023 through 2026 is estimated to be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50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
        </w:trPr>
        <w:tc>
          <w:tcPr>
            <w:tcW w:w="54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2023</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2,280</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2025</w:t>
            </w:r>
          </w:p>
        </w:tc>
        <w:tc>
          <w:tcPr>
            <w:tcW w:w="5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 and Risk Management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spacing w:after="0" w:line="171"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The Company has also entered into forward contracts to hedge forecasted foreign currency denominated sales from certain international subsidiaries and a portion of forecasted intercompany inventory sales denominated in Euro, Japanese Yen, Chinese Renminbi and Indian Rupee for up to eighteen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principal amounts of the Company’s outstanding Euro and Yen borrowings and the notional amounts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 and Yen borrowings designated as net investment hedges:</w:t>
      </w:r>
    </w:p>
    <w:p>
      <w:pPr>
        <w:spacing w:after="0" w:line="111"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Notional Amount Designated as a Net</w:t>
      </w:r>
    </w:p>
    <w:p>
      <w:pPr>
        <w:jc w:val="center"/>
        <w:ind w:left="8540"/>
        <w:spacing w:after="0"/>
        <w:rPr>
          <w:sz w:val="20"/>
          <w:szCs w:val="20"/>
          <w:color w:val="auto"/>
        </w:rPr>
      </w:pPr>
      <w:r>
        <w:rPr>
          <w:rFonts w:ascii="Arial" w:cs="Arial" w:eastAsia="Arial" w:hAnsi="Arial"/>
          <w:sz w:val="14"/>
          <w:szCs w:val="14"/>
          <w:b w:val="1"/>
          <w:bCs w:val="1"/>
          <w:color w:val="auto"/>
        </w:rPr>
        <w:t>Investment Hedge</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540" w:type="dxa"/>
            <w:vAlign w:val="bottom"/>
            <w:vMerge w:val="restart"/>
          </w:tcPr>
          <w:p>
            <w:pPr>
              <w:ind w:left="3240"/>
              <w:spacing w:after="0"/>
              <w:rPr>
                <w:sz w:val="20"/>
                <w:szCs w:val="20"/>
                <w:color w:val="auto"/>
              </w:rPr>
            </w:pPr>
            <w:r>
              <w:rPr>
                <w:rFonts w:ascii="Arial" w:cs="Arial" w:eastAsia="Arial" w:hAnsi="Arial"/>
                <w:sz w:val="14"/>
                <w:szCs w:val="14"/>
                <w:b w:val="1"/>
                <w:bCs w:val="1"/>
                <w:color w:val="auto"/>
              </w:rPr>
              <w:t>Principal Amount</w:t>
            </w:r>
          </w:p>
        </w:tc>
        <w:tc>
          <w:tcPr>
            <w:tcW w:w="132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000" w:type="dxa"/>
            <w:vAlign w:val="bottom"/>
            <w:vMerge w:val="continue"/>
          </w:tcPr>
          <w:p>
            <w:pPr>
              <w:spacing w:after="0"/>
              <w:rPr>
                <w:sz w:val="16"/>
                <w:szCs w:val="16"/>
                <w:color w:val="auto"/>
              </w:rPr>
            </w:pPr>
          </w:p>
        </w:tc>
        <w:tc>
          <w:tcPr>
            <w:tcW w:w="4540" w:type="dxa"/>
            <w:vAlign w:val="bottom"/>
            <w:vMerge w:val="continue"/>
          </w:tcPr>
          <w:p>
            <w:pPr>
              <w:spacing w:after="0"/>
              <w:rPr>
                <w:sz w:val="16"/>
                <w:szCs w:val="16"/>
                <w:color w:val="auto"/>
              </w:rPr>
            </w:pPr>
          </w:p>
        </w:tc>
        <w:tc>
          <w:tcPr>
            <w:tcW w:w="13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1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10160</wp:posOffset>
            </wp:positionV>
            <wp:extent cx="710628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2.250% Euro Senior Notes due 2024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3.125% Euro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2.125% Euro Senior Notes due 2025</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0.816% Euro Senior Notes due 2022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-8890</wp:posOffset>
            </wp:positionV>
            <wp:extent cx="710628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1.023% Euro Senior Notes due 2024</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1.362% Euro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1.908% Euro Senior Notes due 2032</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YEN Term Loan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Yen Total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w:t>
      </w:r>
    </w:p>
    <w:p>
      <w:pPr>
        <w:spacing w:after="0" w:line="106"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The Senior Notes were repaid at maturity during the second quarter of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r>
      <w:tr>
        <w:trPr>
          <w:trHeight w:val="223"/>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95"/>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r>
      <w:tr>
        <w:trPr>
          <w:trHeight w:val="223"/>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20" w:lineRule="exact"/>
        <w:rPr>
          <w:sz w:val="20"/>
          <w:szCs w:val="20"/>
          <w:color w:val="auto"/>
        </w:rPr>
      </w:pPr>
    </w:p>
    <w:p>
      <w:pPr>
        <w:sectPr>
          <w:pgSz w:w="11900" w:h="16838" w:orient="portrait"/>
          <w:cols w:equalWidth="0" w:num="2">
            <w:col w:w="6480" w:space="720"/>
            <w:col w:w="4040"/>
          </w:cols>
          <w:pgMar w:left="320" w:top="118" w:right="339" w:bottom="1440" w:gutter="0" w:footer="0" w:header="0"/>
          <w:type w:val="continuous"/>
        </w:sectPr>
      </w:pPr>
    </w:p>
    <w:p>
      <w:pPr>
        <w:spacing w:after="0" w:line="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At September 30, 2022, the principal amount of the Company’s outstanding Yen borrowings and the notional amount of the Yen borrowings designated as net investment hedge was $276.4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the classification and fair values of derivative instruments in our condensed consolidated balance sheets: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840" w:type="dxa"/>
            <w:vAlign w:val="bottom"/>
            <w:tcBorders>
              <w:top w:val="single" w:sz="8" w:color="auto"/>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top w:val="single" w:sz="8" w:color="auto"/>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w w:val="95"/>
              </w:rPr>
              <w:t>Liability Derivatives</w:t>
            </w: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7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6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September 30,</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78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7"/>
              </w:rPr>
              <w:t>Balance Sheet Location</w:t>
            </w:r>
          </w:p>
        </w:tc>
        <w:tc>
          <w:tcPr>
            <w:tcW w:w="106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auto"/>
                <w:w w:val="95"/>
              </w:rPr>
              <w:t>2022 Fair</w:t>
            </w:r>
          </w:p>
        </w:tc>
        <w:tc>
          <w:tcPr>
            <w:tcW w:w="1140" w:type="dxa"/>
            <w:vAlign w:val="bottom"/>
            <w:gridSpan w:val="2"/>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2022 Fair</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780" w:type="dxa"/>
            <w:vAlign w:val="bottom"/>
            <w:vMerge w:val="continue"/>
          </w:tcPr>
          <w:p>
            <w:pPr>
              <w:spacing w:after="0"/>
              <w:rPr>
                <w:sz w:val="16"/>
                <w:szCs w:val="16"/>
                <w:color w:val="auto"/>
              </w:rPr>
            </w:pPr>
          </w:p>
        </w:tc>
        <w:tc>
          <w:tcPr>
            <w:tcW w:w="106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2021 Fair Value</w:t>
            </w:r>
          </w:p>
        </w:tc>
        <w:tc>
          <w:tcPr>
            <w:tcW w:w="124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Location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2021 Fair Value</w:t>
            </w: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200"/>
          </w:cols>
          <w:pgMar w:left="320" w:top="118" w:right="37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Derivatives designated as hedges: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Foreign currency forward contracts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derivatives designated as hedges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Derivatives not designated as hedges: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20"/>
                <w:szCs w:val="20"/>
                <w:color w:val="auto"/>
              </w:rPr>
            </w:pPr>
            <w:r>
              <w:rPr>
                <w:rFonts w:ascii="Arial" w:cs="Arial" w:eastAsia="Arial" w:hAnsi="Arial"/>
                <w:sz w:val="18"/>
                <w:szCs w:val="18"/>
                <w:color w:val="auto"/>
              </w:rPr>
              <w:t>Prepaid expenses &amp;</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rPr>
              <w:t>Other current</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43"/>
        </w:trPr>
        <w:tc>
          <w:tcPr>
            <w:tcW w:w="1840" w:type="dxa"/>
            <w:vAlign w:val="bottom"/>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420" w:type="dxa"/>
            <w:vAlign w:val="bottom"/>
          </w:tcPr>
          <w:p>
            <w:pPr>
              <w:ind w:left="120"/>
              <w:spacing w:after="0"/>
              <w:rPr>
                <w:sz w:val="20"/>
                <w:szCs w:val="20"/>
                <w:color w:val="auto"/>
              </w:rPr>
            </w:pPr>
            <w:r>
              <w:rPr>
                <w:rFonts w:ascii="Arial" w:cs="Arial" w:eastAsia="Arial" w:hAnsi="Arial"/>
                <w:sz w:val="18"/>
                <w:szCs w:val="18"/>
                <w:color w:val="auto"/>
              </w:rPr>
              <w:t>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1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-161925</wp:posOffset>
            </wp:positionV>
            <wp:extent cx="704659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46595"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-565150</wp:posOffset>
            </wp:positionV>
            <wp:extent cx="704659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46595" cy="13716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3080" w:space="720"/>
            <w:col w:w="7400"/>
          </w:cols>
          <w:pgMar w:left="320" w:top="118" w:right="3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420" w:type="dxa"/>
            <w:vAlign w:val="bottom"/>
            <w:shd w:val="clear" w:color="auto" w:fill="CCEEFF"/>
          </w:tcPr>
          <w:p>
            <w:pPr>
              <w:spacing w:after="0"/>
              <w:rPr>
                <w:sz w:val="18"/>
                <w:szCs w:val="18"/>
                <w:color w:val="auto"/>
              </w:rPr>
            </w:pPr>
          </w:p>
        </w:tc>
        <w:tc>
          <w:tcPr>
            <w:tcW w:w="2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&amp;</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43"/>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contracts</w:t>
            </w:r>
          </w:p>
        </w:tc>
        <w:tc>
          <w:tcPr>
            <w:tcW w:w="2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4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23"/>
        </w:trPr>
        <w:tc>
          <w:tcPr>
            <w:tcW w:w="3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color w:val="auto"/>
                <w:w w:val="99"/>
              </w:rPr>
              <w:t>Total derivatives not designated as hedges</w:t>
            </w:r>
          </w:p>
        </w:tc>
        <w:tc>
          <w:tcPr>
            <w:tcW w:w="2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r>
      <w:tr>
        <w:trPr>
          <w:trHeight w:val="248"/>
        </w:trPr>
        <w:tc>
          <w:tcPr>
            <w:tcW w:w="3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derivatives</w:t>
            </w:r>
          </w:p>
        </w:tc>
        <w:tc>
          <w:tcPr>
            <w:tcW w:w="2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gains/(losses) incurred to hedge or offset operational foreign exchange or interest rate risk:</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Amount of Gains/(Losses)</w:t>
            </w: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72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5"/>
              </w:rPr>
              <w:t>Recognized in AOCE (Net</w:t>
            </w:r>
          </w:p>
        </w:tc>
        <w:tc>
          <w:tcPr>
            <w:tcW w:w="120" w:type="dxa"/>
            <w:vAlign w:val="bottom"/>
          </w:tcPr>
          <w:p>
            <w:pPr>
              <w:spacing w:after="0"/>
              <w:rPr>
                <w:sz w:val="12"/>
                <w:szCs w:val="12"/>
                <w:color w:val="auto"/>
              </w:rPr>
            </w:pPr>
          </w:p>
        </w:tc>
        <w:tc>
          <w:tcPr>
            <w:tcW w:w="1620" w:type="dxa"/>
            <w:vAlign w:val="bottom"/>
            <w:gridSpan w:val="2"/>
          </w:tcPr>
          <w:p>
            <w:pPr>
              <w:jc w:val="center"/>
              <w:ind w:right="15"/>
              <w:spacing w:after="0" w:line="145" w:lineRule="exact"/>
              <w:rPr>
                <w:sz w:val="20"/>
                <w:szCs w:val="20"/>
                <w:color w:val="auto"/>
              </w:rPr>
            </w:pPr>
            <w:r>
              <w:rPr>
                <w:rFonts w:ascii="Arial" w:cs="Arial" w:eastAsia="Arial" w:hAnsi="Arial"/>
                <w:sz w:val="14"/>
                <w:szCs w:val="14"/>
                <w:b w:val="1"/>
                <w:bCs w:val="1"/>
                <w:color w:val="auto"/>
                <w:w w:val="94"/>
              </w:rPr>
              <w:t>Reclassified from AOCE</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w w:val="90"/>
              </w:rPr>
              <w:t>Recognized in Earnings</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55"/>
              <w:spacing w:after="0"/>
              <w:rPr>
                <w:sz w:val="20"/>
                <w:szCs w:val="20"/>
                <w:color w:val="auto"/>
              </w:rPr>
            </w:pPr>
            <w:r>
              <w:rPr>
                <w:rFonts w:ascii="Arial" w:cs="Arial" w:eastAsia="Arial" w:hAnsi="Arial"/>
                <w:sz w:val="14"/>
                <w:szCs w:val="14"/>
                <w:b w:val="1"/>
                <w:bCs w:val="1"/>
                <w:color w:val="auto"/>
                <w:w w:val="92"/>
              </w:rPr>
              <w:t>of Tax) on Derivatives</w:t>
            </w: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w w:val="93"/>
              </w:rPr>
              <w:t>into Earnings</w:t>
            </w:r>
          </w:p>
        </w:tc>
        <w:tc>
          <w:tcPr>
            <w:tcW w:w="0" w:type="dxa"/>
            <w:vAlign w:val="bottom"/>
          </w:tcPr>
          <w:p>
            <w:pPr>
              <w:spacing w:after="0"/>
              <w:rPr>
                <w:sz w:val="1"/>
                <w:szCs w:val="1"/>
                <w:color w:val="auto"/>
              </w:rPr>
            </w:pPr>
          </w:p>
        </w:tc>
      </w:tr>
      <w:tr>
        <w:trPr>
          <w:trHeight w:val="139"/>
        </w:trPr>
        <w:tc>
          <w:tcPr>
            <w:tcW w:w="3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5"/>
              <w:spacing w:after="0" w:line="139" w:lineRule="exact"/>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2"/>
                <w:szCs w:val="12"/>
                <w:color w:val="auto"/>
              </w:rPr>
            </w:pPr>
          </w:p>
        </w:tc>
        <w:tc>
          <w:tcPr>
            <w:tcW w:w="1560" w:type="dxa"/>
            <w:vAlign w:val="bottom"/>
            <w:gridSpan w:val="2"/>
          </w:tcPr>
          <w:p>
            <w:pPr>
              <w:jc w:val="center"/>
              <w:ind w:right="55"/>
              <w:spacing w:after="0" w:line="139" w:lineRule="exact"/>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2"/>
                <w:szCs w:val="12"/>
                <w:color w:val="auto"/>
              </w:rPr>
            </w:pPr>
          </w:p>
        </w:tc>
        <w:tc>
          <w:tcPr>
            <w:tcW w:w="1620" w:type="dxa"/>
            <w:vAlign w:val="bottom"/>
            <w:gridSpan w:val="2"/>
          </w:tcPr>
          <w:p>
            <w:pPr>
              <w:jc w:val="center"/>
              <w:ind w:right="35"/>
              <w:spacing w:after="0" w:line="139" w:lineRule="exact"/>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35"/>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560" w:type="dxa"/>
            <w:vAlign w:val="bottom"/>
            <w:gridSpan w:val="2"/>
          </w:tcPr>
          <w:p>
            <w:pPr>
              <w:jc w:val="center"/>
              <w:ind w:right="75"/>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620" w:type="dxa"/>
            <w:vAlign w:val="bottom"/>
            <w:gridSpan w:val="2"/>
          </w:tcPr>
          <w:p>
            <w:pPr>
              <w:jc w:val="center"/>
              <w:ind w:right="15"/>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80" w:type="dxa"/>
            <w:vAlign w:val="bottom"/>
          </w:tcPr>
          <w:p>
            <w:pPr>
              <w:ind w:left="3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Pr>
          <w:p>
            <w:pPr>
              <w:spacing w:after="0"/>
              <w:rPr>
                <w:sz w:val="16"/>
                <w:szCs w:val="16"/>
                <w:color w:val="auto"/>
              </w:rPr>
            </w:pPr>
          </w:p>
        </w:tc>
        <w:tc>
          <w:tcPr>
            <w:tcW w:w="940" w:type="dxa"/>
            <w:vAlign w:val="bottom"/>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900" w:type="dxa"/>
            <w:vAlign w:val="bottom"/>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960" w:type="dxa"/>
            <w:vAlign w:val="bottom"/>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39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w w:val="94"/>
              </w:rPr>
              <w:t>Derivative Financial Instruments in Cash Flow Hedging</w:t>
            </w: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40"/>
              <w:spacing w:after="0"/>
              <w:rPr>
                <w:sz w:val="20"/>
                <w:szCs w:val="20"/>
                <w:color w:val="auto"/>
              </w:rPr>
            </w:pPr>
            <w:r>
              <w:rPr>
                <w:rFonts w:ascii="Arial" w:cs="Arial" w:eastAsia="Arial" w:hAnsi="Arial"/>
                <w:sz w:val="18"/>
                <w:szCs w:val="18"/>
                <w:color w:val="auto"/>
              </w:rPr>
              <w:t>Foreign currency forward contracts</w:t>
            </w:r>
          </w:p>
        </w:tc>
        <w:tc>
          <w:tcPr>
            <w:tcW w:w="2080" w:type="dxa"/>
            <w:vAlign w:val="bottom"/>
          </w:tcPr>
          <w:p>
            <w:pPr>
              <w:ind w:left="6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480"/>
              <w:spacing w:after="0"/>
              <w:rPr>
                <w:sz w:val="20"/>
                <w:szCs w:val="20"/>
                <w:color w:val="auto"/>
              </w:rPr>
            </w:pPr>
            <w:r>
              <w:rPr>
                <w:rFonts w:ascii="Arial" w:cs="Arial" w:eastAsia="Arial" w:hAnsi="Arial"/>
                <w:sz w:val="18"/>
                <w:szCs w:val="18"/>
                <w:color w:val="auto"/>
              </w:rPr>
              <w:t>— $</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900" w:type="dxa"/>
            <w:vAlign w:val="bottom"/>
          </w:tcPr>
          <w:p>
            <w:pPr>
              <w:ind w:left="320"/>
              <w:spacing w:after="0"/>
              <w:rPr>
                <w:sz w:val="20"/>
                <w:szCs w:val="20"/>
                <w:color w:val="auto"/>
              </w:rPr>
            </w:pPr>
            <w:r>
              <w:rPr>
                <w:rFonts w:ascii="Arial" w:cs="Arial" w:eastAsia="Arial" w:hAnsi="Arial"/>
                <w:sz w:val="18"/>
                <w:szCs w:val="18"/>
                <w:color w:val="auto"/>
              </w:rPr>
              <w:t>35.3 $</w:t>
            </w: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360"/>
              <w:spacing w:after="0"/>
              <w:rPr>
                <w:sz w:val="20"/>
                <w:szCs w:val="20"/>
                <w:color w:val="auto"/>
              </w:rPr>
            </w:pPr>
            <w:r>
              <w:rPr>
                <w:rFonts w:ascii="Arial" w:cs="Arial" w:eastAsia="Arial" w:hAnsi="Arial"/>
                <w:sz w:val="18"/>
                <w:szCs w:val="18"/>
                <w:color w:val="auto"/>
              </w:rPr>
              <w:t>32.2 $</w:t>
            </w: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2080" w:type="dxa"/>
            <w:vAlign w:val="bottom"/>
            <w:shd w:val="clear" w:color="auto" w:fill="CCEEFF"/>
          </w:tcPr>
          <w:p>
            <w:pPr>
              <w:ind w:left="6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2"/>
        </w:trPr>
        <w:tc>
          <w:tcPr>
            <w:tcW w:w="398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4"/>
              </w:rPr>
              <w:t>Non-derivative Financial Instruments in Net Investment</w:t>
            </w: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borrowings</w:t>
            </w:r>
          </w:p>
        </w:tc>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292.9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9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Not Designated as</w:t>
            </w: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118" w:right="339" w:bottom="1440" w:gutter="0" w:footer="0" w:header="0"/>
        </w:sectPr>
      </w:pPr>
    </w:p>
    <w:p>
      <w:pPr>
        <w:ind w:left="4040"/>
        <w:spacing w:after="0"/>
        <w:rPr>
          <w:sz w:val="20"/>
          <w:szCs w:val="20"/>
          <w:color w:val="auto"/>
        </w:rPr>
      </w:pPr>
      <w:r>
        <w:rPr>
          <w:rFonts w:ascii="Arial" w:cs="Arial" w:eastAsia="Arial" w:hAnsi="Arial"/>
          <w:sz w:val="16"/>
          <w:szCs w:val="16"/>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40"/>
        <w:spacing w:after="0"/>
        <w:tabs>
          <w:tab w:leader="none" w:pos="4020" w:val="left"/>
        </w:tabs>
        <w:rPr>
          <w:sz w:val="20"/>
          <w:szCs w:val="20"/>
          <w:color w:val="auto"/>
        </w:rPr>
      </w:pPr>
      <w:r>
        <w:rPr>
          <w:rFonts w:ascii="Arial" w:cs="Arial" w:eastAsia="Arial" w:hAnsi="Arial"/>
          <w:sz w:val="18"/>
          <w:szCs w:val="18"/>
          <w:color w:val="auto"/>
        </w:rPr>
        <w:t>Foreign currency option and forward contracts</w:t>
      </w:r>
      <w:r>
        <w:rPr>
          <w:sz w:val="20"/>
          <w:szCs w:val="20"/>
          <w:color w:val="auto"/>
        </w:rPr>
        <w:tab/>
      </w:r>
      <w:r>
        <w:rPr>
          <w:rFonts w:ascii="Arial" w:cs="Arial" w:eastAsia="Arial" w:hAnsi="Arial"/>
          <w:sz w:val="15"/>
          <w:szCs w:val="15"/>
          <w:color w:val="auto"/>
        </w:rPr>
        <w:t xml:space="preserve">net </w:t>
      </w:r>
      <w:r>
        <w:rPr>
          <w:rFonts w:ascii="Arial" w:cs="Arial" w:eastAsia="Arial" w:hAnsi="Arial"/>
          <w:sz w:val="19"/>
          <w:szCs w:val="19"/>
          <w:color w:val="auto"/>
          <w:vertAlign w:val="superscript"/>
        </w:rPr>
        <w:t>(3)</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(82.7)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(82.7) $</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327.3 $</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31.0 $</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Amount of Gains/(Losses)</w:t>
            </w: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Amount of Gains/(Losses)</w:t>
            </w: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Amount of Gains/(Losses)</w:t>
            </w:r>
          </w:p>
        </w:tc>
        <w:tc>
          <w:tcPr>
            <w:tcW w:w="0" w:type="dxa"/>
            <w:vAlign w:val="bottom"/>
          </w:tcPr>
          <w:p>
            <w:pPr>
              <w:spacing w:after="0"/>
              <w:rPr>
                <w:sz w:val="1"/>
                <w:szCs w:val="1"/>
                <w:color w:val="auto"/>
              </w:rPr>
            </w:pPr>
          </w:p>
        </w:tc>
      </w:tr>
      <w:tr>
        <w:trPr>
          <w:trHeight w:val="148"/>
        </w:trPr>
        <w:tc>
          <w:tcPr>
            <w:tcW w:w="1700" w:type="dxa"/>
            <w:vAlign w:val="bottom"/>
            <w:gridSpan w:val="3"/>
            <w:vMerge w:val="continue"/>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Recognized in AOCE (Net</w:t>
            </w:r>
          </w:p>
        </w:tc>
        <w:tc>
          <w:tcPr>
            <w:tcW w:w="120" w:type="dxa"/>
            <w:vAlign w:val="bottom"/>
          </w:tcPr>
          <w:p>
            <w:pPr>
              <w:spacing w:after="0"/>
              <w:rPr>
                <w:sz w:val="12"/>
                <w:szCs w:val="12"/>
                <w:color w:val="auto"/>
              </w:rPr>
            </w:pPr>
          </w:p>
        </w:tc>
        <w:tc>
          <w:tcPr>
            <w:tcW w:w="1620" w:type="dxa"/>
            <w:vAlign w:val="bottom"/>
            <w:gridSpan w:val="2"/>
          </w:tcPr>
          <w:p>
            <w:pPr>
              <w:jc w:val="center"/>
              <w:ind w:right="10"/>
              <w:spacing w:after="0" w:line="149" w:lineRule="exact"/>
              <w:rPr>
                <w:sz w:val="20"/>
                <w:szCs w:val="20"/>
                <w:color w:val="auto"/>
              </w:rPr>
            </w:pPr>
            <w:r>
              <w:rPr>
                <w:rFonts w:ascii="Arial" w:cs="Arial" w:eastAsia="Arial" w:hAnsi="Arial"/>
                <w:sz w:val="14"/>
                <w:szCs w:val="14"/>
                <w:b w:val="1"/>
                <w:bCs w:val="1"/>
                <w:color w:val="auto"/>
                <w:w w:val="94"/>
              </w:rPr>
              <w:t>Reclassified from AOCE</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0"/>
              </w:rPr>
              <w:t>Recognized in Earnings</w:t>
            </w:r>
          </w:p>
        </w:tc>
        <w:tc>
          <w:tcPr>
            <w:tcW w:w="180" w:type="dxa"/>
            <w:vAlign w:val="bottom"/>
          </w:tcPr>
          <w:p>
            <w:pPr>
              <w:spacing w:after="0"/>
              <w:rPr>
                <w:sz w:val="16"/>
                <w:szCs w:val="16"/>
                <w:color w:val="auto"/>
              </w:rPr>
            </w:pPr>
          </w:p>
        </w:tc>
        <w:tc>
          <w:tcPr>
            <w:tcW w:w="156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2"/>
              </w:rPr>
              <w:t>of Tax) on Derivatives</w:t>
            </w:r>
          </w:p>
        </w:tc>
        <w:tc>
          <w:tcPr>
            <w:tcW w:w="120" w:type="dxa"/>
            <w:vAlign w:val="bottom"/>
          </w:tcPr>
          <w:p>
            <w:pPr>
              <w:spacing w:after="0"/>
              <w:rPr>
                <w:sz w:val="16"/>
                <w:szCs w:val="16"/>
                <w:color w:val="auto"/>
              </w:rPr>
            </w:pPr>
          </w:p>
        </w:tc>
        <w:tc>
          <w:tcPr>
            <w:tcW w:w="1240" w:type="dxa"/>
            <w:vAlign w:val="bottom"/>
          </w:tcPr>
          <w:p>
            <w:pPr>
              <w:jc w:val="center"/>
              <w:ind w:left="199"/>
              <w:spacing w:after="0"/>
              <w:rPr>
                <w:sz w:val="20"/>
                <w:szCs w:val="20"/>
                <w:color w:val="auto"/>
              </w:rPr>
            </w:pPr>
            <w:r>
              <w:rPr>
                <w:rFonts w:ascii="Arial" w:cs="Arial" w:eastAsia="Arial" w:hAnsi="Arial"/>
                <w:sz w:val="14"/>
                <w:szCs w:val="14"/>
                <w:b w:val="1"/>
                <w:bCs w:val="1"/>
                <w:color w:val="auto"/>
                <w:w w:val="93"/>
              </w:rPr>
              <w:t>into Earnings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820" w:space="240"/>
            <w:col w:w="51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3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center"/>
              <w:ind w:right="73"/>
              <w:spacing w:after="0" w:line="145" w:lineRule="exact"/>
              <w:rPr>
                <w:sz w:val="20"/>
                <w:szCs w:val="20"/>
                <w:color w:val="auto"/>
              </w:rPr>
            </w:pPr>
            <w:r>
              <w:rPr>
                <w:rFonts w:ascii="Arial" w:cs="Arial" w:eastAsia="Arial" w:hAnsi="Arial"/>
                <w:sz w:val="14"/>
                <w:szCs w:val="14"/>
                <w:b w:val="1"/>
                <w:bCs w:val="1"/>
                <w:color w:val="auto"/>
                <w:w w:val="92"/>
              </w:rPr>
              <w:t>Nine months ended</w:t>
            </w: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right"/>
              <w:ind w:right="173"/>
              <w:spacing w:after="0" w:line="145" w:lineRule="exact"/>
              <w:rPr>
                <w:sz w:val="20"/>
                <w:szCs w:val="20"/>
                <w:color w:val="auto"/>
              </w:rPr>
            </w:pPr>
            <w:r>
              <w:rPr>
                <w:rFonts w:ascii="Arial" w:cs="Arial" w:eastAsia="Arial" w:hAnsi="Arial"/>
                <w:sz w:val="14"/>
                <w:szCs w:val="14"/>
                <w:b w:val="1"/>
                <w:bCs w:val="1"/>
                <w:color w:val="auto"/>
                <w:w w:val="95"/>
              </w:rPr>
              <w:t>Nine months ended</w:t>
            </w:r>
          </w:p>
        </w:tc>
        <w:tc>
          <w:tcPr>
            <w:tcW w:w="2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ind w:right="193"/>
              <w:spacing w:after="0" w:line="145" w:lineRule="exact"/>
              <w:rPr>
                <w:sz w:val="20"/>
                <w:szCs w:val="20"/>
                <w:color w:val="auto"/>
              </w:rPr>
            </w:pPr>
            <w:r>
              <w:rPr>
                <w:rFonts w:ascii="Arial" w:cs="Arial" w:eastAsia="Arial" w:hAnsi="Arial"/>
                <w:sz w:val="14"/>
                <w:szCs w:val="14"/>
                <w:b w:val="1"/>
                <w:bCs w:val="1"/>
                <w:color w:val="auto"/>
                <w:w w:val="95"/>
              </w:rPr>
              <w:t>Nine months ended</w:t>
            </w:r>
          </w:p>
        </w:tc>
      </w:tr>
      <w:tr>
        <w:trPr>
          <w:trHeight w:val="186"/>
        </w:trPr>
        <w:tc>
          <w:tcPr>
            <w:tcW w:w="3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73"/>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52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54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September 30,</w:t>
            </w:r>
          </w:p>
        </w:tc>
      </w:tr>
      <w:tr>
        <w:trPr>
          <w:trHeight w:val="193"/>
        </w:trPr>
        <w:tc>
          <w:tcPr>
            <w:tcW w:w="3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80" w:type="dxa"/>
            <w:vAlign w:val="bottom"/>
          </w:tcPr>
          <w:p>
            <w:pPr>
              <w:ind w:left="340"/>
              <w:spacing w:after="0"/>
              <w:rPr>
                <w:sz w:val="20"/>
                <w:szCs w:val="20"/>
                <w:color w:val="auto"/>
              </w:rPr>
            </w:pPr>
            <w:r>
              <w:rPr>
                <w:rFonts w:ascii="Arial" w:cs="Arial" w:eastAsia="Arial" w:hAnsi="Arial"/>
                <w:sz w:val="14"/>
                <w:szCs w:val="14"/>
                <w:b w:val="1"/>
                <w:bCs w:val="1"/>
                <w:color w:val="auto"/>
              </w:rPr>
              <w:t>Location of Gain/(Loss)</w:t>
            </w:r>
          </w:p>
        </w:tc>
        <w:tc>
          <w:tcPr>
            <w:tcW w:w="18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680" w:type="dxa"/>
            <w:vAlign w:val="bottom"/>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r>
      <w:tr>
        <w:trPr>
          <w:trHeight w:val="26"/>
        </w:trPr>
        <w:tc>
          <w:tcPr>
            <w:tcW w:w="39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42"/>
        </w:trPr>
        <w:tc>
          <w:tcPr>
            <w:tcW w:w="39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w w:val="94"/>
              </w:rPr>
              <w:t>Derivative Financial Instruments in Cash Flow Hedging</w:t>
            </w:r>
          </w:p>
        </w:tc>
        <w:tc>
          <w:tcPr>
            <w:tcW w:w="2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16"/>
        </w:trPr>
        <w:tc>
          <w:tcPr>
            <w:tcW w:w="39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Relationships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3980" w:type="dxa"/>
            <w:vAlign w:val="bottom"/>
          </w:tcPr>
          <w:p>
            <w:pPr>
              <w:ind w:left="240"/>
              <w:spacing w:after="0"/>
              <w:rPr>
                <w:sz w:val="20"/>
                <w:szCs w:val="20"/>
                <w:color w:val="auto"/>
              </w:rPr>
            </w:pPr>
            <w:r>
              <w:rPr>
                <w:rFonts w:ascii="Arial" w:cs="Arial" w:eastAsia="Arial" w:hAnsi="Arial"/>
                <w:sz w:val="18"/>
                <w:szCs w:val="18"/>
                <w:color w:val="auto"/>
              </w:rPr>
              <w:t>Foreign currency forward contracts</w:t>
            </w:r>
          </w:p>
        </w:tc>
        <w:tc>
          <w:tcPr>
            <w:tcW w:w="2080" w:type="dxa"/>
            <w:vAlign w:val="bottom"/>
          </w:tcPr>
          <w:p>
            <w:pPr>
              <w:ind w:left="60"/>
              <w:spacing w:after="0" w:line="230"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3"/>
                <w:szCs w:val="23"/>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42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78.1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2080" w:type="dxa"/>
            <w:vAlign w:val="bottom"/>
            <w:shd w:val="clear" w:color="auto" w:fill="CCEEFF"/>
          </w:tcPr>
          <w:p>
            <w:pPr>
              <w:ind w:left="6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162"/>
        </w:trPr>
        <w:tc>
          <w:tcPr>
            <w:tcW w:w="398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4"/>
              </w:rPr>
              <w:t>Non-derivative Financial Instruments in Net Investment</w:t>
            </w: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Hedging Relationships: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2"/>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borrowings</w:t>
            </w:r>
          </w:p>
        </w:tc>
        <w:tc>
          <w:tcPr>
            <w:tcW w:w="2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62"/>
        </w:trPr>
        <w:tc>
          <w:tcPr>
            <w:tcW w:w="39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Derivative Financial Instruments Not Designated as</w:t>
            </w: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78"/>
        </w:trPr>
        <w:tc>
          <w:tcPr>
            <w:tcW w:w="3980" w:type="dxa"/>
            <w:vAlign w:val="bottom"/>
            <w:shd w:val="clear" w:color="auto" w:fill="CCEEFF"/>
          </w:tcPr>
          <w:p>
            <w:pPr>
              <w:spacing w:after="0"/>
              <w:rPr>
                <w:sz w:val="15"/>
                <w:szCs w:val="15"/>
                <w:color w:val="auto"/>
              </w:rPr>
            </w:pPr>
          </w:p>
        </w:tc>
        <w:tc>
          <w:tcPr>
            <w:tcW w:w="2080" w:type="dxa"/>
            <w:vAlign w:val="bottom"/>
            <w:shd w:val="clear" w:color="auto" w:fill="CCEEFF"/>
          </w:tcPr>
          <w:p>
            <w:pPr>
              <w:ind w:left="60"/>
              <w:spacing w:after="0" w:line="178" w:lineRule="exact"/>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43"/>
        </w:trPr>
        <w:tc>
          <w:tcPr>
            <w:tcW w:w="3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option and forward contracts</w:t>
            </w:r>
          </w:p>
        </w:tc>
        <w:tc>
          <w:tcPr>
            <w:tcW w:w="2080" w:type="dxa"/>
            <w:vAlign w:val="bottom"/>
            <w:shd w:val="clear" w:color="auto" w:fill="CCEEFF"/>
          </w:tcPr>
          <w:p>
            <w:pPr>
              <w:ind w:left="60"/>
              <w:spacing w:after="0" w:line="243" w:lineRule="exact"/>
              <w:rPr>
                <w:sz w:val="20"/>
                <w:szCs w:val="20"/>
                <w:color w:val="auto"/>
              </w:rPr>
            </w:pPr>
            <w:r>
              <w:rPr>
                <w:rFonts w:ascii="Arial" w:cs="Arial" w:eastAsia="Arial" w:hAnsi="Arial"/>
                <w:sz w:val="18"/>
                <w:szCs w:val="18"/>
                <w:color w:val="auto"/>
              </w:rPr>
              <w:t xml:space="preserve">net </w:t>
            </w:r>
            <w:r>
              <w:rPr>
                <w:rFonts w:ascii="Arial" w:cs="Arial" w:eastAsia="Arial" w:hAnsi="Arial"/>
                <w:sz w:val="23"/>
                <w:szCs w:val="23"/>
                <w:color w:val="auto"/>
                <w:vertAlign w:val="superscript"/>
              </w:rPr>
              <w:t>(3)</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(7.9)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20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(7.9)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3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660" w:right="120" w:hanging="328"/>
        <w:spacing w:after="0" w:line="219" w:lineRule="auto"/>
        <w:tabs>
          <w:tab w:leader="none" w:pos="64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At September 30, 2022, the Company expects that approximately $53.0 million of pre-tax net gains on cash flow hedges will be reclassified from AOCE into earnings during the next twelve months.</w:t>
      </w:r>
    </w:p>
    <w:p>
      <w:pPr>
        <w:spacing w:after="0" w:line="47"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reclassified from AOCE into earnings.</w:t>
      </w:r>
    </w:p>
    <w:p>
      <w:pPr>
        <w:spacing w:after="0" w:line="68" w:lineRule="exact"/>
        <w:rPr>
          <w:rFonts w:ascii="Arial" w:cs="Arial" w:eastAsia="Arial" w:hAnsi="Arial"/>
          <w:sz w:val="23"/>
          <w:szCs w:val="23"/>
          <w:color w:val="auto"/>
          <w:vertAlign w:val="superscript"/>
        </w:rPr>
      </w:pPr>
    </w:p>
    <w:p>
      <w:pPr>
        <w:ind w:left="640" w:hanging="308"/>
        <w:spacing w:after="0" w:line="219" w:lineRule="auto"/>
        <w:tabs>
          <w:tab w:leader="none" w:pos="6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location of the gain/(loss) recognized in earnings on derivatives.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9" w:lineRule="exact"/>
        <w:rPr>
          <w:sz w:val="20"/>
          <w:szCs w:val="20"/>
          <w:color w:val="auto"/>
        </w:rPr>
      </w:pPr>
    </w:p>
    <w:p>
      <w:pPr>
        <w:ind w:left="980" w:right="320" w:hanging="324"/>
        <w:spacing w:after="0" w:line="277" w:lineRule="auto"/>
        <w:tabs>
          <w:tab w:leader="none" w:pos="97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(unadjusted) in active markets that are accessible at the measurement date for identical assets or liabilities.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hierarchy gives the highest priority to Level 1 inputs.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market-based inputs other than quoted prices in active markets for identical assets or liabilities.</w:t>
      </w:r>
    </w:p>
    <w:p>
      <w:pPr>
        <w:spacing w:after="0" w:line="117" w:lineRule="exact"/>
        <w:rPr>
          <w:rFonts w:ascii="Arial" w:cs="Arial" w:eastAsia="Arial" w:hAnsi="Arial"/>
          <w:sz w:val="18"/>
          <w:szCs w:val="18"/>
          <w:i w:val="1"/>
          <w:iCs w:val="1"/>
          <w:color w:val="auto"/>
        </w:rPr>
      </w:pPr>
    </w:p>
    <w:p>
      <w:pPr>
        <w:ind w:left="980" w:right="140" w:hanging="324"/>
        <w:spacing w:after="0" w:line="277" w:lineRule="auto"/>
        <w:tabs>
          <w:tab w:leader="none" w:pos="97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are used when little or no market data is available. The fair value hierarchy gives the lowest priority to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inputs.</w:t>
      </w:r>
    </w:p>
    <w:p>
      <w:pPr>
        <w:spacing w:after="0" w:line="170"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gridSpan w:val="6"/>
          </w:tcPr>
          <w:p>
            <w:pPr>
              <w:jc w:val="center"/>
              <w:ind w:right="10"/>
              <w:spacing w:after="0"/>
              <w:rPr>
                <w:sz w:val="20"/>
                <w:szCs w:val="20"/>
                <w:color w:val="auto"/>
              </w:rPr>
            </w:pPr>
            <w:r>
              <w:rPr>
                <w:rFonts w:ascii="Arial" w:cs="Arial" w:eastAsia="Arial" w:hAnsi="Arial"/>
                <w:sz w:val="14"/>
                <w:szCs w:val="14"/>
                <w:b w:val="1"/>
                <w:bCs w:val="1"/>
                <w:color w:val="auto"/>
                <w:w w:val="91"/>
              </w:rPr>
              <w:t>September 30, 2022</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gridSpan w:val="6"/>
          </w:tcPr>
          <w:p>
            <w:pPr>
              <w:jc w:val="center"/>
              <w:ind w:right="10"/>
              <w:spacing w:after="0"/>
              <w:rPr>
                <w:sz w:val="20"/>
                <w:szCs w:val="20"/>
                <w:color w:val="auto"/>
              </w:rPr>
            </w:pPr>
            <w:r>
              <w:rPr>
                <w:rFonts w:ascii="Arial" w:cs="Arial" w:eastAsia="Arial" w:hAnsi="Arial"/>
                <w:sz w:val="14"/>
                <w:szCs w:val="14"/>
                <w:b w:val="1"/>
                <w:bCs w:val="1"/>
                <w:color w:val="auto"/>
                <w:w w:val="93"/>
              </w:rPr>
              <w:t>December 31, 2021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91"/>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6"/>
                <w:szCs w:val="16"/>
                <w:color w:val="auto"/>
              </w:rPr>
            </w:pPr>
          </w:p>
        </w:tc>
        <w:tc>
          <w:tcPr>
            <w:tcW w:w="680" w:type="dxa"/>
            <w:vAlign w:val="bottom"/>
          </w:tcPr>
          <w:p>
            <w:pPr>
              <w:jc w:val="right"/>
              <w:ind w:right="71"/>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6"/>
                <w:szCs w:val="16"/>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320" w:type="dxa"/>
            <w:vAlign w:val="bottom"/>
          </w:tcPr>
          <w:p>
            <w:pPr>
              <w:ind w:left="22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Exchange traded funds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equity securities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fixed income investments: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U.S. Treasuries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Agency mortgage-backed securities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Asset backed securities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available-for-sale fixed income investments</w:t>
            </w: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derivative assets</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assets at recurring fair value measurement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Foreign exchange derivative liabilities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liabilities at recurring fair value measurement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For financial assets and liabilities that utilize Level 2 inputs, the Company utilizes both direct and indirect observable price quotes, including the LIBOR yield curve, foreign exchange forward prices and bank price quotes. Below is a summary of valuation techniques for Level 1 and Level 2 financial assets and liabilities:</w:t>
      </w:r>
    </w:p>
    <w:p>
      <w:pPr>
        <w:spacing w:after="0" w:line="7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117" w:lineRule="exact"/>
        <w:rPr>
          <w:rFonts w:ascii="Arial" w:cs="Arial" w:eastAsia="Arial" w:hAnsi="Arial"/>
          <w:sz w:val="18"/>
          <w:szCs w:val="18"/>
          <w:color w:val="auto"/>
        </w:rPr>
      </w:pPr>
    </w:p>
    <w:p>
      <w:pPr>
        <w:jc w:val="both"/>
        <w:ind w:left="980" w:right="140" w:hanging="324"/>
        <w:spacing w:after="0" w:line="263"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Equity securities, exchange traded funds </w:t>
      </w:r>
      <w:r>
        <w:rPr>
          <w:rFonts w:ascii="Arial" w:cs="Arial" w:eastAsia="Arial" w:hAnsi="Arial"/>
          <w:sz w:val="18"/>
          <w:szCs w:val="18"/>
          <w:color w:val="auto"/>
        </w:rPr>
        <w:t>— valued at the active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are included in other (income) expense, net, in the condensed consolidated statements of operations.</w:t>
      </w:r>
    </w:p>
    <w:p>
      <w:pPr>
        <w:spacing w:after="0" w:line="75"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Equity securities, marketable securities </w:t>
      </w:r>
      <w:r>
        <w:rPr>
          <w:rFonts w:ascii="Arial" w:cs="Arial" w:eastAsia="Arial" w:hAnsi="Arial"/>
          <w:sz w:val="18"/>
          <w:szCs w:val="18"/>
          <w:color w:val="auto"/>
        </w:rPr>
        <w:t>— valued using quoted stock prices from public exchanges at the reporting date. Unrealized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attributable to changes in fair value are included in other (income) expense, net,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980" w:right="400" w:hanging="324"/>
        <w:spacing w:after="0" w:line="263" w:lineRule="auto"/>
        <w:tabs>
          <w:tab w:leader="none" w:pos="97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75" w:lineRule="exact"/>
        <w:rPr>
          <w:rFonts w:ascii="Arial" w:cs="Arial" w:eastAsia="Arial" w:hAnsi="Arial"/>
          <w:sz w:val="18"/>
          <w:szCs w:val="18"/>
          <w:i w:val="1"/>
          <w:iCs w:val="1"/>
          <w:color w:val="auto"/>
        </w:rPr>
      </w:pPr>
    </w:p>
    <w:p>
      <w:pPr>
        <w:ind w:left="980" w:right="2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and spot rates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fair value measurement of contingent consideration is determined using Level 3 inputs. The Company’s contingent consideration represents a component of the total purchase consideration for Pfizer’s respiratory delivery platform and certain other acquisitions. The measurement is calculated using unobservable inputs based on the Company’s own assumptions primarily related to the probability and timing of future development and commercial milestones and future profit sharing payments which are discounted using a market rate of return. At September 30, 2022 and December 31, 2021, discount rates ranging from 8.0% to 9.0% were utilized in the valuations. Significant changes in unobservable inputs could result in material changes to the contingent consideration liability.</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rollforward of the activity in the Company’s fair value of contingent consideration from December 31, 2021 to September 30, 2022 is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Current Portion </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Long-Term</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Total Contingent</w:t>
            </w:r>
          </w:p>
        </w:tc>
        <w:tc>
          <w:tcPr>
            <w:tcW w:w="0" w:type="dxa"/>
            <w:vAlign w:val="bottom"/>
          </w:tcPr>
          <w:p>
            <w:pPr>
              <w:spacing w:after="0"/>
              <w:rPr>
                <w:sz w:val="1"/>
                <w:szCs w:val="1"/>
                <w:color w:val="auto"/>
              </w:rPr>
            </w:pPr>
          </w:p>
        </w:tc>
      </w:tr>
      <w:tr>
        <w:trPr>
          <w:trHeight w:val="203"/>
        </w:trPr>
        <w:tc>
          <w:tcPr>
            <w:tcW w:w="7380" w:type="dxa"/>
            <w:vAlign w:val="bottom"/>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 xml:space="preserve">Portion </w:t>
            </w:r>
            <w:r>
              <w:rPr>
                <w:rFonts w:ascii="Arial" w:cs="Arial" w:eastAsia="Arial" w:hAnsi="Arial"/>
                <w:sz w:val="9"/>
                <w:szCs w:val="9"/>
                <w:b w:val="1"/>
                <w:bCs w:val="1"/>
                <w:color w:val="auto"/>
                <w:w w:val="96"/>
              </w:rPr>
              <w:t>(2)</w:t>
            </w:r>
          </w:p>
        </w:tc>
        <w:tc>
          <w:tcPr>
            <w:tcW w:w="140" w:type="dxa"/>
            <w:vAlign w:val="bottom"/>
          </w:tcPr>
          <w:p>
            <w:pPr>
              <w:spacing w:after="0"/>
              <w:rPr>
                <w:sz w:val="17"/>
                <w:szCs w:val="17"/>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Payments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Accretion</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Fair value loss </w:t>
            </w:r>
            <w:r>
              <w:rPr>
                <w:rFonts w:ascii="Arial" w:cs="Arial" w:eastAsia="Arial" w:hAnsi="Arial"/>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Included in other current liabilities in the condensed consolidated balance sheets.</w:t>
      </w:r>
    </w:p>
    <w:p>
      <w:pPr>
        <w:spacing w:after="0" w:line="55"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Included in other long-term obligations in the condensed consolidated balance sheets.</w:t>
      </w:r>
    </w:p>
    <w:p>
      <w:pPr>
        <w:spacing w:after="0" w:line="56"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Included in litigation settlements and other contingencies, net in the condensed consolidated statements of operations.</w:t>
      </w:r>
    </w:p>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other financial assets and liabilities, any future transacted financial asset or liability will be evaluated for the fair value election.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see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Viatris’ 2021 Form 10-K.</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$500.4 million and $1.49 billion of short-term borrowings as of September 30, 2022 and December 31, 2021, respectively.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 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Securitization Facility</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87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Short-term borrowings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Receivables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August 2022, the Note Securitization Facility was amended to extend its maturity to August 2023.</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has a $400 million Receivables Facility, which originally was to expire on April 22, 2022. On April 22, 2022, the Company entered into an agreement to extend the expiration date of the Receivables Facility to April 22, 2025.</w:t>
      </w:r>
    </w:p>
    <w:p>
      <w:pPr>
        <w:spacing w:after="0" w:line="17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Under the terms of the Receivables Facility, our subsidiary, MPI, sells certain accounts receivable to Mylan Securitization LLC (“Mylan Securitization”), a wholly-owned special purpose entity which in turn sells a percentage ownership interest in the receivables to financial institutions and commercial paper conduits sponsored by financial institutions. Mylan Securitization’s assets have been pledged to MUFG Bank, Ltd., as agent, in support of its obligations under the Receivables Facility. Any amounts outstanding under the facility are recorded as borrowings and the underlying receivables are included in accounts receivable, net,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Debt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p>
      <w:pPr>
        <w:spacing w:after="0" w:line="1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540" w:type="dxa"/>
            <w:vAlign w:val="bottom"/>
          </w:tcPr>
          <w:p>
            <w:pPr>
              <w:jc w:val="center"/>
              <w:ind w:left="2948"/>
              <w:spacing w:after="0"/>
              <w:rPr>
                <w:sz w:val="20"/>
                <w:szCs w:val="20"/>
                <w:color w:val="auto"/>
              </w:rPr>
            </w:pPr>
            <w:r>
              <w:rPr>
                <w:rFonts w:ascii="Arial" w:cs="Arial" w:eastAsia="Arial" w:hAnsi="Arial"/>
                <w:sz w:val="14"/>
                <w:szCs w:val="14"/>
                <w:b w:val="1"/>
                <w:bCs w:val="1"/>
                <w:color w:val="auto"/>
                <w:w w:val="92"/>
              </w:rPr>
              <w:t>Interest Rate as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040" w:type="dxa"/>
            <w:vAlign w:val="bottom"/>
            <w:vMerge w:val="continue"/>
          </w:tcPr>
          <w:p>
            <w:pPr>
              <w:spacing w:after="0"/>
              <w:rPr>
                <w:sz w:val="16"/>
                <w:szCs w:val="16"/>
                <w:color w:val="auto"/>
              </w:rPr>
            </w:pPr>
          </w:p>
        </w:tc>
        <w:tc>
          <w:tcPr>
            <w:tcW w:w="4540" w:type="dxa"/>
            <w:vAlign w:val="bottom"/>
          </w:tcPr>
          <w:p>
            <w:pPr>
              <w:jc w:val="center"/>
              <w:ind w:left="2948"/>
              <w:spacing w:after="0"/>
              <w:rPr>
                <w:sz w:val="20"/>
                <w:szCs w:val="20"/>
                <w:color w:val="auto"/>
              </w:rPr>
            </w:pPr>
            <w:r>
              <w:rPr>
                <w:rFonts w:ascii="Arial" w:cs="Arial" w:eastAsia="Arial" w:hAnsi="Arial"/>
                <w:sz w:val="14"/>
                <w:szCs w:val="14"/>
                <w:b w:val="1"/>
                <w:bCs w:val="1"/>
                <w:color w:val="auto"/>
                <w:w w:val="91"/>
              </w:rPr>
              <w:t>September 30, 2022</w:t>
            </w:r>
          </w:p>
        </w:tc>
        <w:tc>
          <w:tcPr>
            <w:tcW w:w="1280" w:type="dxa"/>
            <w:vAlign w:val="bottom"/>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2022</w:t>
            </w:r>
          </w:p>
        </w:tc>
        <w:tc>
          <w:tcPr>
            <w:tcW w:w="482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(a) ****</w:t>
            </w:r>
          </w:p>
        </w:tc>
        <w:tc>
          <w:tcPr>
            <w:tcW w:w="3700" w:type="dxa"/>
            <w:vAlign w:val="bottom"/>
            <w:gridSpan w:val="2"/>
          </w:tcPr>
          <w:p>
            <w:pPr>
              <w:jc w:val="right"/>
              <w:ind w:right="210"/>
              <w:spacing w:after="0"/>
              <w:rPr>
                <w:sz w:val="20"/>
                <w:szCs w:val="20"/>
                <w:color w:val="auto"/>
              </w:rPr>
            </w:pPr>
            <w:r>
              <w:rPr>
                <w:rFonts w:ascii="Arial" w:cs="Arial" w:eastAsia="Arial" w:hAnsi="Arial"/>
                <w:sz w:val="18"/>
                <w:szCs w:val="18"/>
                <w:color w:val="auto"/>
              </w:rPr>
              <w:t>0.816 %  $</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856.6</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2022</w:t>
            </w:r>
          </w:p>
        </w:tc>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(b) ***</w:t>
            </w:r>
          </w:p>
        </w:tc>
        <w:tc>
          <w:tcPr>
            <w:tcW w:w="3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1.125 %</w:t>
            </w:r>
          </w:p>
        </w:tc>
        <w:tc>
          <w:tcPr>
            <w:tcW w:w="4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2023</w:t>
            </w:r>
          </w:p>
        </w:tc>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(c) *</w:t>
            </w:r>
          </w:p>
        </w:tc>
        <w:tc>
          <w:tcPr>
            <w:tcW w:w="3280" w:type="dxa"/>
            <w:vAlign w:val="bottom"/>
          </w:tcPr>
          <w:p>
            <w:pPr>
              <w:jc w:val="right"/>
              <w:ind w:right="30"/>
              <w:spacing w:after="0"/>
              <w:rPr>
                <w:sz w:val="20"/>
                <w:szCs w:val="20"/>
                <w:color w:val="auto"/>
              </w:rPr>
            </w:pPr>
            <w:r>
              <w:rPr>
                <w:rFonts w:ascii="Arial" w:cs="Arial" w:eastAsia="Arial" w:hAnsi="Arial"/>
                <w:sz w:val="18"/>
                <w:szCs w:val="18"/>
                <w:color w:val="auto"/>
              </w:rPr>
              <w:t>3.125 %</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5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Deferred financing fees</w:t>
            </w:r>
          </w:p>
        </w:tc>
        <w:tc>
          <w:tcPr>
            <w:tcW w:w="32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54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Current portion of long-term debt</w:t>
            </w:r>
          </w:p>
        </w:tc>
        <w:tc>
          <w:tcPr>
            <w:tcW w:w="3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1,860.3</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7"/>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2023</w:t>
            </w:r>
          </w:p>
        </w:tc>
        <w:tc>
          <w:tcPr>
            <w:tcW w:w="450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(c) *</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3.125 %</w:t>
            </w:r>
          </w:p>
        </w:tc>
        <w:tc>
          <w:tcPr>
            <w:tcW w:w="32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766.1</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2023</w:t>
            </w:r>
          </w:p>
        </w:tc>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2024</w:t>
            </w:r>
          </w:p>
        </w:tc>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2.250 %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1,135.8</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2024</w:t>
            </w:r>
          </w:p>
        </w:tc>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1.023 %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2025</w:t>
            </w:r>
          </w:p>
        </w:tc>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2.125 %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567.8</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2025</w:t>
            </w:r>
          </w:p>
        </w:tc>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1.650 %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2026</w:t>
            </w:r>
          </w:p>
        </w:tc>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3.950 %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2,241.4</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2027</w:t>
            </w:r>
          </w:p>
        </w:tc>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1.362 %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2027</w:t>
            </w:r>
          </w:p>
        </w:tc>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2.300 %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780.8</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2028</w:t>
            </w:r>
          </w:p>
        </w:tc>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3.125 %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r>
      <w:tr>
        <w:trPr>
          <w:trHeight w:val="229"/>
        </w:trPr>
        <w:tc>
          <w:tcPr>
            <w:tcW w:w="620" w:type="dxa"/>
            <w:vAlign w:val="bottom"/>
          </w:tcPr>
          <w:p>
            <w:pPr>
              <w:ind w:left="220"/>
              <w:spacing w:after="0"/>
              <w:rPr>
                <w:sz w:val="20"/>
                <w:szCs w:val="20"/>
                <w:color w:val="auto"/>
              </w:rPr>
            </w:pPr>
            <w:r>
              <w:rPr>
                <w:rFonts w:ascii="Arial" w:cs="Arial" w:eastAsia="Arial" w:hAnsi="Arial"/>
                <w:sz w:val="18"/>
                <w:szCs w:val="18"/>
                <w:color w:val="auto"/>
                <w:w w:val="94"/>
              </w:rPr>
              <w:t>2028</w:t>
            </w:r>
          </w:p>
        </w:tc>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4.550 %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748.7</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2030</w:t>
            </w:r>
          </w:p>
        </w:tc>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2.700 %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2032</w:t>
            </w:r>
          </w:p>
        </w:tc>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3"/>
                <w:szCs w:val="23"/>
                <w:color w:val="auto"/>
                <w:vertAlign w:val="superscript"/>
              </w:rPr>
              <w:t>****</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1.908 %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1,546.6</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2040</w:t>
            </w:r>
          </w:p>
        </w:tc>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3.850 %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2043</w:t>
            </w:r>
          </w:p>
        </w:tc>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5.400 %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497.3</w:t>
            </w:r>
          </w:p>
        </w:tc>
      </w:tr>
      <w:tr>
        <w:trPr>
          <w:trHeight w:val="230"/>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2046</w:t>
            </w:r>
          </w:p>
        </w:tc>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5.250 %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r>
      <w:tr>
        <w:trPr>
          <w:trHeight w:val="230"/>
        </w:trPr>
        <w:tc>
          <w:tcPr>
            <w:tcW w:w="620" w:type="dxa"/>
            <w:vAlign w:val="bottom"/>
          </w:tcPr>
          <w:p>
            <w:pPr>
              <w:ind w:left="220"/>
              <w:spacing w:after="0"/>
              <w:rPr>
                <w:sz w:val="20"/>
                <w:szCs w:val="20"/>
                <w:color w:val="auto"/>
              </w:rPr>
            </w:pPr>
            <w:r>
              <w:rPr>
                <w:rFonts w:ascii="Arial" w:cs="Arial" w:eastAsia="Arial" w:hAnsi="Arial"/>
                <w:sz w:val="18"/>
                <w:szCs w:val="18"/>
                <w:color w:val="auto"/>
                <w:w w:val="94"/>
              </w:rPr>
              <w:t>2048</w:t>
            </w:r>
          </w:p>
        </w:tc>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600" w:type="dxa"/>
            <w:vAlign w:val="bottom"/>
          </w:tcPr>
          <w:p>
            <w:pPr>
              <w:jc w:val="right"/>
              <w:ind w:right="30"/>
              <w:spacing w:after="0"/>
              <w:rPr>
                <w:sz w:val="20"/>
                <w:szCs w:val="20"/>
                <w:color w:val="auto"/>
              </w:rPr>
            </w:pPr>
            <w:r>
              <w:rPr>
                <w:rFonts w:ascii="Arial" w:cs="Arial" w:eastAsia="Arial" w:hAnsi="Arial"/>
                <w:sz w:val="18"/>
                <w:szCs w:val="18"/>
                <w:color w:val="auto"/>
              </w:rPr>
              <w:t>5.200 %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747.8</w:t>
            </w:r>
          </w:p>
        </w:tc>
      </w:tr>
      <w:tr>
        <w:trPr>
          <w:trHeight w:val="229"/>
        </w:trPr>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2050</w:t>
            </w:r>
          </w:p>
        </w:tc>
        <w:tc>
          <w:tcPr>
            <w:tcW w:w="4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2,205.1</w:t>
            </w:r>
          </w:p>
        </w:tc>
      </w:tr>
      <w:tr>
        <w:trPr>
          <w:trHeight w:val="230"/>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YEN Term Loan Facility</w:t>
            </w:r>
          </w:p>
        </w:tc>
        <w:tc>
          <w:tcPr>
            <w:tcW w:w="3920" w:type="dxa"/>
            <w:vAlign w:val="bottom"/>
            <w:gridSpan w:val="2"/>
          </w:tcPr>
          <w:p>
            <w:pPr>
              <w:jc w:val="right"/>
              <w:ind w:right="350"/>
              <w:spacing w:after="0"/>
              <w:rPr>
                <w:sz w:val="20"/>
                <w:szCs w:val="20"/>
                <w:color w:val="auto"/>
              </w:rPr>
            </w:pPr>
            <w:r>
              <w:rPr>
                <w:rFonts w:ascii="Arial" w:cs="Arial" w:eastAsia="Arial" w:hAnsi="Arial"/>
                <w:sz w:val="18"/>
                <w:szCs w:val="18"/>
                <w:color w:val="auto"/>
              </w:rPr>
              <w:t>Variable</w:t>
            </w:r>
          </w:p>
        </w:tc>
        <w:tc>
          <w:tcPr>
            <w:tcW w:w="90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347.6</w:t>
            </w:r>
          </w:p>
        </w:tc>
      </w:tr>
      <w:tr>
        <w:trPr>
          <w:trHeight w:val="230"/>
        </w:trPr>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Facility</w:t>
            </w:r>
          </w:p>
        </w:tc>
        <w:tc>
          <w:tcPr>
            <w:tcW w:w="39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Variable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financing fees</w:t>
            </w:r>
          </w:p>
        </w:tc>
        <w:tc>
          <w:tcPr>
            <w:tcW w:w="36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3"/>
        </w:trPr>
        <w:tc>
          <w:tcPr>
            <w:tcW w:w="5120" w:type="dxa"/>
            <w:vAlign w:val="bottom"/>
            <w:gridSpan w:val="2"/>
          </w:tcPr>
          <w:p>
            <w:pPr>
              <w:ind w:left="480"/>
              <w:spacing w:after="0"/>
              <w:rPr>
                <w:sz w:val="20"/>
                <w:szCs w:val="20"/>
                <w:color w:val="auto"/>
              </w:rPr>
            </w:pPr>
            <w:r>
              <w:rPr>
                <w:rFonts w:ascii="Arial" w:cs="Arial" w:eastAsia="Arial" w:hAnsi="Arial"/>
                <w:sz w:val="18"/>
                <w:szCs w:val="18"/>
                <w:color w:val="auto"/>
              </w:rPr>
              <w:t>Long-term debt</w:t>
            </w:r>
          </w:p>
        </w:tc>
        <w:tc>
          <w:tcPr>
            <w:tcW w:w="36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18,724.5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19,717.1</w:t>
            </w:r>
          </w:p>
        </w:tc>
      </w:tr>
      <w:tr>
        <w:trPr>
          <w:trHeight w:val="20"/>
        </w:trPr>
        <w:tc>
          <w:tcPr>
            <w:tcW w:w="6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2022 Euro Senior Notes were repaid at maturity in the second quarter of 2022.</w:t>
      </w:r>
    </w:p>
    <w:p>
      <w:pPr>
        <w:spacing w:after="0" w:line="1"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The 2022 Senior Notes were repaid at maturity in the second quarter of 2022.</w:t>
      </w:r>
    </w:p>
    <w:p>
      <w:pPr>
        <w:spacing w:after="0" w:line="2" w:lineRule="exact"/>
        <w:rPr>
          <w:rFonts w:ascii="Arial" w:cs="Arial" w:eastAsia="Arial" w:hAnsi="Arial"/>
          <w:sz w:val="23"/>
          <w:szCs w:val="23"/>
          <w:color w:val="auto"/>
          <w:vertAlign w:val="superscript"/>
        </w:rPr>
      </w:pPr>
    </w:p>
    <w:p>
      <w:pPr>
        <w:ind w:left="660" w:hanging="328"/>
        <w:spacing w:after="0" w:line="219" w:lineRule="auto"/>
        <w:tabs>
          <w:tab w:leader="none" w:pos="582"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In the first quarter of 2020, the Company terminated interest rate swaps designated as a fair value hedge resulting in net proceeds of approximately $45 million. The fair value adjustment is being amortized to interest expense over the remaining term of the notes.</w:t>
      </w:r>
    </w:p>
    <w:p>
      <w:pPr>
        <w:spacing w:after="0" w:line="6" w:lineRule="exact"/>
        <w:rPr>
          <w:sz w:val="20"/>
          <w:szCs w:val="20"/>
          <w:color w:val="auto"/>
        </w:rPr>
      </w:pPr>
    </w:p>
    <w:p>
      <w:pPr>
        <w:ind w:left="500" w:hanging="168"/>
        <w:spacing w:after="0"/>
        <w:tabs>
          <w:tab w:leader="none" w:pos="50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Mylan Inc.</w:t>
      </w:r>
    </w:p>
    <w:p>
      <w:pPr>
        <w:spacing w:after="0" w:line="6" w:lineRule="exact"/>
        <w:rPr>
          <w:sz w:val="20"/>
          <w:szCs w:val="20"/>
          <w:color w:val="auto"/>
        </w:rPr>
      </w:pPr>
    </w:p>
    <w:p>
      <w:pPr>
        <w:ind w:left="560" w:hanging="228"/>
        <w:spacing w:after="0"/>
        <w:tabs>
          <w:tab w:leader="none" w:pos="56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Instrument was originally issued by Mylan N.V.; now held by Utah Acquisition Sub Inc.</w:t>
      </w:r>
    </w:p>
    <w:p>
      <w:pPr>
        <w:spacing w:after="0" w:line="55" w:lineRule="exact"/>
        <w:rPr>
          <w:rFonts w:ascii="Arial" w:cs="Arial" w:eastAsia="Arial" w:hAnsi="Arial"/>
          <w:sz w:val="23"/>
          <w:szCs w:val="23"/>
          <w:color w:val="auto"/>
          <w:vertAlign w:val="superscript"/>
        </w:rPr>
      </w:pPr>
    </w:p>
    <w:p>
      <w:pPr>
        <w:ind w:left="660" w:hanging="328"/>
        <w:spacing w:after="0" w:line="194" w:lineRule="auto"/>
        <w:tabs>
          <w:tab w:leader="none" w:pos="66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Viatris Inc.</w:t>
      </w:r>
    </w:p>
    <w:p>
      <w:pPr>
        <w:spacing w:after="0" w:line="56" w:lineRule="exact"/>
        <w:rPr>
          <w:rFonts w:ascii="Arial" w:cs="Arial" w:eastAsia="Arial" w:hAnsi="Arial"/>
          <w:sz w:val="23"/>
          <w:szCs w:val="23"/>
          <w:color w:val="auto"/>
          <w:vertAlign w:val="superscript"/>
        </w:rPr>
      </w:pPr>
    </w:p>
    <w:p>
      <w:pPr>
        <w:ind w:left="720" w:hanging="388"/>
        <w:spacing w:after="0" w:line="194" w:lineRule="auto"/>
        <w:tabs>
          <w:tab w:leader="none" w:pos="7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Instrument was issued by Upjohn Finance B.V.</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At September 30, 2022 and December 31, 2021, the aggregate fair value of the Company’s outstanding notes was approximately $14.36 billion and $22.01 billion, respectively. The fair values of the outstanding notes were valued at quoted market prices from broker or dealer quotations and were classified as Level 2 in the fair value hierarchy.</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Mandatory minimum repayments remaining on the notional amount of outstanding long-term debt at September 30, 2022 were as follows for each of the periods ending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6"/>
        </w:trPr>
        <w:tc>
          <w:tcPr>
            <w:tcW w:w="10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30"/>
        </w:trPr>
        <w:tc>
          <w:tcPr>
            <w:tcW w:w="1000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r>
      <w:tr>
        <w:trPr>
          <w:trHeight w:val="230"/>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11,493</w:t>
            </w:r>
          </w:p>
        </w:tc>
      </w:tr>
      <w:tr>
        <w:trPr>
          <w:trHeight w:val="248"/>
        </w:trPr>
        <w:tc>
          <w:tcPr>
            <w:tcW w:w="10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18,924</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as reflected on the condensed consolidated balance sheets, is comprised of the following:</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unrealized loss on marketable securities, net of tax</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and prior service cost related to defined benefit plans, net of tax</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Net unrecognized gain on derivatives in cash flow hedging relationships, net of tax</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unrecognized gain on derivatives in net investment hedging relationships, net of tax</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Components of accumulated other comprehensive loss, before tax, consist of the following, for the three and nine months ended September 30, 2022 and 2021:</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74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08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74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7"/>
        </w:trPr>
        <w:tc>
          <w:tcPr>
            <w:tcW w:w="3200" w:type="dxa"/>
            <w:vAlign w:val="bottom"/>
          </w:tcPr>
          <w:p>
            <w:pPr>
              <w:spacing w:after="0"/>
              <w:rPr>
                <w:sz w:val="17"/>
                <w:szCs w:val="17"/>
                <w:color w:val="auto"/>
              </w:rPr>
            </w:pPr>
          </w:p>
        </w:tc>
        <w:tc>
          <w:tcPr>
            <w:tcW w:w="27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Flow Hedging Relationships</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960" w:type="dxa"/>
            <w:vAlign w:val="bottom"/>
            <w:tcBorders>
              <w:top w:val="single" w:sz="8" w:color="auto"/>
            </w:tcBorders>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0"/>
              </w:rPr>
              <w:t>Interest</w:t>
            </w: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9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8"/>
              </w:rPr>
              <w:t>Rate</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Contracts</w:t>
            </w:r>
          </w:p>
        </w:tc>
        <w:tc>
          <w:tcPr>
            <w:tcW w:w="102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85"/>
              </w:rPr>
              <w:t>Swaps</w:t>
            </w: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(2,899.2)</w:t>
            </w:r>
          </w:p>
        </w:tc>
        <w:tc>
          <w:tcPr>
            <w:tcW w:w="0" w:type="dxa"/>
            <w:vAlign w:val="bottom"/>
          </w:tcPr>
          <w:p>
            <w:pPr>
              <w:spacing w:after="0"/>
              <w:rPr>
                <w:sz w:val="1"/>
                <w:szCs w:val="1"/>
                <w:color w:val="auto"/>
              </w:rPr>
            </w:pPr>
          </w:p>
        </w:tc>
      </w:tr>
      <w:tr>
        <w:trPr>
          <w:trHeight w:val="155"/>
        </w:trPr>
        <w:tc>
          <w:tcPr>
            <w:tcW w:w="320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9"/>
              </w:rPr>
              <w:t>other comprehensive earnings (loss),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w w:val="99"/>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tcPr>
          <w:p>
            <w:pPr>
              <w:ind w:left="480"/>
              <w:spacing w:after="0" w:line="189" w:lineRule="exact"/>
              <w:rPr>
                <w:sz w:val="20"/>
                <w:szCs w:val="20"/>
                <w:color w:val="auto"/>
              </w:rPr>
            </w:pPr>
            <w:r>
              <w:rPr>
                <w:rFonts w:ascii="Arial" w:cs="Arial" w:eastAsia="Arial" w:hAnsi="Arial"/>
                <w:sz w:val="18"/>
                <w:szCs w:val="18"/>
                <w:color w:val="auto"/>
              </w:rPr>
              <w:t>contracts classified as cash flow</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0"/>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0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6"/>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w w:val="99"/>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56"/>
        </w:trPr>
        <w:tc>
          <w:tcPr>
            <w:tcW w:w="32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Net other comprehensive earnings</w:t>
            </w: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Balance at September 30, 2022, net of tax</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9"/>
          </w:tcPr>
          <w:p>
            <w:pPr>
              <w:ind w:left="40"/>
              <w:spacing w:after="0"/>
              <w:rPr>
                <w:sz w:val="20"/>
                <w:szCs w:val="20"/>
                <w:color w:val="auto"/>
              </w:rPr>
            </w:pPr>
            <w:r>
              <w:rPr>
                <w:rFonts w:ascii="Arial" w:cs="Arial" w:eastAsia="Arial" w:hAnsi="Arial"/>
                <w:sz w:val="14"/>
                <w:szCs w:val="14"/>
                <w:b w:val="1"/>
                <w:bCs w:val="1"/>
                <w:color w:val="auto"/>
              </w:rPr>
              <w:t>Nine Months Ended September 30, 2022</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74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4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7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Flow Hedging Relationships</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Foreign</w:t>
            </w:r>
          </w:p>
        </w:tc>
        <w:tc>
          <w:tcPr>
            <w:tcW w:w="102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0"/>
              </w:rPr>
              <w:t>Interest</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9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Forward</w:t>
            </w:r>
          </w:p>
        </w:tc>
        <w:tc>
          <w:tcPr>
            <w:tcW w:w="1020" w:type="dxa"/>
            <w:vAlign w:val="bottom"/>
            <w:gridSpan w:val="3"/>
          </w:tcPr>
          <w:p>
            <w:pPr>
              <w:jc w:val="center"/>
              <w:ind w:right="190"/>
              <w:spacing w:after="0" w:line="139" w:lineRule="exact"/>
              <w:rPr>
                <w:sz w:val="20"/>
                <w:szCs w:val="20"/>
                <w:color w:val="auto"/>
              </w:rPr>
            </w:pPr>
            <w:r>
              <w:rPr>
                <w:rFonts w:ascii="Arial" w:cs="Arial" w:eastAsia="Arial" w:hAnsi="Arial"/>
                <w:sz w:val="14"/>
                <w:szCs w:val="14"/>
                <w:b w:val="1"/>
                <w:bCs w:val="1"/>
                <w:color w:val="auto"/>
                <w:w w:val="98"/>
              </w:rPr>
              <w:t>Rate</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Contracts</w:t>
            </w:r>
          </w:p>
        </w:tc>
        <w:tc>
          <w:tcPr>
            <w:tcW w:w="102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85"/>
              </w:rPr>
              <w:t>Swaps</w:t>
            </w: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Balance at December 31, 2021, net of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155"/>
        </w:trPr>
        <w:tc>
          <w:tcPr>
            <w:tcW w:w="320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other comprehensive earnings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w w:val="99"/>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rPr>
              <w:t>contracts classified as cash flow</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0"/>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76"/>
        </w:trPr>
        <w:tc>
          <w:tcPr>
            <w:tcW w:w="3200" w:type="dxa"/>
            <w:vAlign w:val="bottom"/>
          </w:tcPr>
          <w:p>
            <w:pPr>
              <w:ind w:left="480"/>
              <w:spacing w:after="0" w:line="176" w:lineRule="exact"/>
              <w:rPr>
                <w:sz w:val="20"/>
                <w:szCs w:val="20"/>
                <w:color w:val="auto"/>
              </w:rPr>
            </w:pPr>
            <w:r>
              <w:rPr>
                <w:rFonts w:ascii="Arial" w:cs="Arial" w:eastAsia="Arial" w:hAnsi="Arial"/>
                <w:sz w:val="18"/>
                <w:szCs w:val="18"/>
                <w:color w:val="auto"/>
                <w:w w:val="99"/>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56"/>
        </w:trPr>
        <w:tc>
          <w:tcPr>
            <w:tcW w:w="3200" w:type="dxa"/>
            <w:vAlign w:val="bottom"/>
          </w:tcPr>
          <w:p>
            <w:pPr>
              <w:ind w:left="220"/>
              <w:spacing w:after="0" w:line="156" w:lineRule="exact"/>
              <w:rPr>
                <w:sz w:val="20"/>
                <w:szCs w:val="20"/>
                <w:color w:val="auto"/>
              </w:rPr>
            </w:pPr>
            <w:r>
              <w:rPr>
                <w:rFonts w:ascii="Arial" w:cs="Arial" w:eastAsia="Arial" w:hAnsi="Arial"/>
                <w:sz w:val="18"/>
                <w:szCs w:val="18"/>
                <w:color w:val="auto"/>
              </w:rPr>
              <w:t>Net other comprehensive earnings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Arial" w:cs="Arial" w:eastAsia="Arial" w:hAnsi="Arial"/>
                <w:sz w:val="18"/>
                <w:szCs w:val="18"/>
                <w:color w:val="auto"/>
              </w:rPr>
              <w:t>(loss),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(1,793.0)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w w:val="93"/>
              </w:rPr>
              <w:t>Balance at September 30, 2022,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Flow Hedging Relationships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96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Forward</w:t>
            </w:r>
          </w:p>
        </w:tc>
        <w:tc>
          <w:tcPr>
            <w:tcW w:w="1000" w:type="dxa"/>
            <w:vAlign w:val="bottom"/>
            <w:gridSpan w:val="3"/>
          </w:tcPr>
          <w:p>
            <w:pPr>
              <w:jc w:val="center"/>
              <w:ind w:right="190"/>
              <w:spacing w:after="0" w:line="139" w:lineRule="exact"/>
              <w:rPr>
                <w:sz w:val="20"/>
                <w:szCs w:val="20"/>
                <w:color w:val="auto"/>
              </w:rPr>
            </w:pPr>
            <w:r>
              <w:rPr>
                <w:rFonts w:ascii="Arial" w:cs="Arial" w:eastAsia="Arial" w:hAnsi="Arial"/>
                <w:sz w:val="14"/>
                <w:szCs w:val="14"/>
                <w:b w:val="1"/>
                <w:bCs w:val="1"/>
                <w:color w:val="auto"/>
                <w:w w:val="92"/>
              </w:rPr>
              <w:t>Rate</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0"/>
              </w:rPr>
              <w:t>Swaps</w:t>
            </w: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2021, net of tax</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155"/>
        </w:trPr>
        <w:tc>
          <w:tcPr>
            <w:tcW w:w="328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comprehensive earnings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contracts classified as cash flow</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Arial" w:cs="Arial" w:eastAsia="Arial" w:hAnsi="Arial"/>
                <w:sz w:val="18"/>
                <w:szCs w:val="18"/>
                <w:color w:val="auto"/>
                <w:w w:val="92"/>
              </w:rPr>
              <w:t>Net 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w w:val="96"/>
              </w:rPr>
              <w:t>Balance at September 30, 2021,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9"/>
          </w:tcPr>
          <w:p>
            <w:pPr>
              <w:ind w:left="40"/>
              <w:spacing w:after="0"/>
              <w:rPr>
                <w:sz w:val="20"/>
                <w:szCs w:val="20"/>
                <w:color w:val="auto"/>
              </w:rPr>
            </w:pPr>
            <w:r>
              <w:rPr>
                <w:rFonts w:ascii="Arial" w:cs="Arial" w:eastAsia="Arial" w:hAnsi="Arial"/>
                <w:sz w:val="14"/>
                <w:szCs w:val="14"/>
                <w:b w:val="1"/>
                <w:bCs w:val="1"/>
                <w:color w:val="auto"/>
              </w:rPr>
              <w:t>Nine Months Ended September 30, 2021</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3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Gains and</w:t>
            </w:r>
          </w:p>
        </w:tc>
        <w:tc>
          <w:tcPr>
            <w:tcW w:w="12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24"/>
                <w:szCs w:val="2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Defined</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2700" w:type="dxa"/>
            <w:vAlign w:val="bottom"/>
            <w:gridSpan w:val="7"/>
            <w:vMerge w:val="restart"/>
          </w:tcPr>
          <w:p>
            <w:pPr>
              <w:jc w:val="center"/>
              <w:ind w:right="100"/>
              <w:spacing w:after="0"/>
              <w:rPr>
                <w:sz w:val="20"/>
                <w:szCs w:val="20"/>
                <w:color w:val="auto"/>
              </w:rPr>
            </w:pPr>
            <w:r>
              <w:rPr>
                <w:rFonts w:ascii="Arial" w:cs="Arial" w:eastAsia="Arial" w:hAnsi="Arial"/>
                <w:sz w:val="14"/>
                <w:szCs w:val="14"/>
                <w:b w:val="1"/>
                <w:bCs w:val="1"/>
                <w:color w:val="auto"/>
                <w:w w:val="90"/>
              </w:rPr>
              <w:t>Gains and Losses on Derivatives in Cash</w:t>
            </w:r>
          </w:p>
        </w:tc>
        <w:tc>
          <w:tcPr>
            <w:tcW w:w="10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70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7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Flow Hedging Relationships</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Plan Items</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960" w:type="dxa"/>
            <w:vAlign w:val="bottom"/>
            <w:tcBorders>
              <w:top w:val="single" w:sz="8" w:color="auto"/>
            </w:tcBorders>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4"/>
              </w:rPr>
              <w:t>Interest</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9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Currency</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Forward</w:t>
            </w:r>
          </w:p>
        </w:tc>
        <w:tc>
          <w:tcPr>
            <w:tcW w:w="100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Rate</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0"/>
              </w:rPr>
              <w:t>Swaps</w:t>
            </w: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at December 31, 2020, net of tax</w:t>
            </w: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bottom w:val="single" w:sz="8" w:color="auto"/>
            </w:tcBorders>
            <w:shd w:val="clear" w:color="auto" w:fill="CCEEFF"/>
          </w:tcPr>
          <w:p>
            <w:pPr>
              <w:jc w:val="center"/>
              <w:ind w:left="438"/>
              <w:spacing w:after="0"/>
              <w:rPr>
                <w:sz w:val="20"/>
                <w:szCs w:val="20"/>
                <w:color w:val="auto"/>
              </w:rPr>
            </w:pPr>
            <w:r>
              <w:rPr>
                <w:rFonts w:ascii="Arial" w:cs="Arial" w:eastAsia="Arial" w:hAnsi="Arial"/>
                <w:sz w:val="18"/>
                <w:szCs w:val="18"/>
                <w:color w:val="auto"/>
                <w:w w:val="87"/>
              </w:rPr>
              <w:t>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Arial" w:cs="Arial" w:eastAsia="Arial" w:hAnsi="Arial"/>
                <w:sz w:val="18"/>
                <w:szCs w:val="18"/>
                <w:color w:val="auto"/>
              </w:rPr>
              <w:t>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Arial" w:cs="Arial" w:eastAsia="Arial" w:hAnsi="Arial"/>
                <w:sz w:val="18"/>
                <w:szCs w:val="18"/>
                <w:color w:val="auto"/>
              </w:rPr>
              <w:t>before reclassifications, 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left="398"/>
              <w:spacing w:after="0"/>
              <w:rPr>
                <w:sz w:val="20"/>
                <w:szCs w:val="20"/>
                <w:color w:val="auto"/>
              </w:rPr>
            </w:pPr>
            <w:r>
              <w:rPr>
                <w:rFonts w:ascii="Arial" w:cs="Arial" w:eastAsia="Arial" w:hAnsi="Arial"/>
                <w:sz w:val="18"/>
                <w:szCs w:val="18"/>
                <w:color w:val="auto"/>
                <w:w w:val="91"/>
              </w:rPr>
              <w:t>(0.8)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Amounts reclassified from accumulated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other comprehensive earnings (loss),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Gain on foreign exchange forward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480"/>
              <w:spacing w:after="0" w:line="189" w:lineRule="exact"/>
              <w:rPr>
                <w:sz w:val="20"/>
                <w:szCs w:val="20"/>
                <w:color w:val="auto"/>
              </w:rPr>
            </w:pPr>
            <w:r>
              <w:rPr>
                <w:rFonts w:ascii="Arial" w:cs="Arial" w:eastAsia="Arial" w:hAnsi="Arial"/>
                <w:sz w:val="18"/>
                <w:szCs w:val="18"/>
                <w:color w:val="auto"/>
              </w:rPr>
              <w:t>contracts classified as cash flow</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Arial" w:cs="Arial" w:eastAsia="Arial" w:hAnsi="Arial"/>
                <w:sz w:val="18"/>
                <w:szCs w:val="18"/>
                <w:color w:val="auto"/>
              </w:rPr>
              <w:t>hedges, included in net sales</w:t>
            </w:r>
          </w:p>
        </w:tc>
        <w:tc>
          <w:tcPr>
            <w:tcW w:w="8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Loss on interest rate swaps classified</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as cash flow hedges, included in</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5"/>
        </w:trPr>
        <w:tc>
          <w:tcPr>
            <w:tcW w:w="3280" w:type="dxa"/>
            <w:vAlign w:val="bottom"/>
          </w:tcPr>
          <w:p>
            <w:pPr>
              <w:ind w:left="480"/>
              <w:spacing w:after="0" w:line="176" w:lineRule="exact"/>
              <w:rPr>
                <w:sz w:val="20"/>
                <w:szCs w:val="20"/>
                <w:color w:val="auto"/>
              </w:rPr>
            </w:pPr>
            <w:r>
              <w:rPr>
                <w:rFonts w:ascii="Arial" w:cs="Arial" w:eastAsia="Arial" w:hAnsi="Arial"/>
                <w:sz w:val="18"/>
                <w:szCs w:val="18"/>
                <w:color w:val="auto"/>
              </w:rPr>
              <w:t>Amortization of prior service costs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Amortization of actuarial loss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included in SG&amp;A</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6"/>
        </w:trPr>
        <w:tc>
          <w:tcPr>
            <w:tcW w:w="3280" w:type="dxa"/>
            <w:vAlign w:val="bottom"/>
          </w:tcPr>
          <w:p>
            <w:pPr>
              <w:ind w:left="220"/>
              <w:spacing w:after="0" w:line="156" w:lineRule="exact"/>
              <w:rPr>
                <w:sz w:val="20"/>
                <w:szCs w:val="20"/>
                <w:color w:val="auto"/>
              </w:rPr>
            </w:pPr>
            <w:r>
              <w:rPr>
                <w:rFonts w:ascii="Arial" w:cs="Arial" w:eastAsia="Arial" w:hAnsi="Arial"/>
                <w:sz w:val="18"/>
                <w:szCs w:val="18"/>
                <w:color w:val="auto"/>
                <w:w w:val="92"/>
              </w:rPr>
              <w:t>Net other comprehensive earnings (loss),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left="398"/>
              <w:spacing w:after="0"/>
              <w:rPr>
                <w:sz w:val="20"/>
                <w:szCs w:val="20"/>
                <w:color w:val="auto"/>
              </w:rPr>
            </w:pPr>
            <w:r>
              <w:rPr>
                <w:rFonts w:ascii="Arial" w:cs="Arial" w:eastAsia="Arial" w:hAnsi="Arial"/>
                <w:sz w:val="18"/>
                <w:szCs w:val="18"/>
                <w:color w:val="auto"/>
                <w:w w:val="91"/>
              </w:rPr>
              <w:t>(0.8)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8"/>
              <w:spacing w:after="0"/>
              <w:rPr>
                <w:sz w:val="20"/>
                <w:szCs w:val="20"/>
                <w:color w:val="auto"/>
              </w:rPr>
            </w:pPr>
            <w:r>
              <w:rPr>
                <w:rFonts w:ascii="Arial" w:cs="Arial" w:eastAsia="Arial" w:hAnsi="Arial"/>
                <w:sz w:val="18"/>
                <w:szCs w:val="18"/>
                <w:color w:val="auto"/>
                <w:w w:val="87"/>
              </w:rPr>
              <w:t>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w w:val="96"/>
              </w:rPr>
              <w:t>Balance at September 30, 2021, net of tax</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center"/>
              <w:ind w:left="438"/>
              <w:spacing w:after="0"/>
              <w:rPr>
                <w:sz w:val="20"/>
                <w:szCs w:val="20"/>
                <w:color w:val="auto"/>
              </w:rPr>
            </w:pPr>
            <w:r>
              <w:rPr>
                <w:rFonts w:ascii="Arial" w:cs="Arial" w:eastAsia="Arial" w:hAnsi="Arial"/>
                <w:sz w:val="18"/>
                <w:szCs w:val="18"/>
                <w:color w:val="auto"/>
                <w:w w:val="87"/>
              </w:rPr>
              <w:t>0.3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(1,471.9)</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6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Company’s chief operating decision maker is the Chief Executive Officer, who evaluates the performance of its segments based on total revenues and segment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costs are not included in the measurement of segment profitability, such as costs, if any, associated with the following:</w:t>
      </w:r>
    </w:p>
    <w:p>
      <w:pPr>
        <w:spacing w:after="0" w:line="117"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Intangible asset amortization expense and impairments of intangible assets;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R&amp;D expense;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charges or net gains for litigation settlements and other contingencies;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right="20" w:firstLine="320"/>
        <w:spacing w:after="0" w:line="272" w:lineRule="auto"/>
        <w:tabs>
          <w:tab w:leader="none" w:pos="1304" w:val="left"/>
        </w:tabs>
        <w:numPr>
          <w:ilvl w:val="0"/>
          <w:numId w:val="32"/>
        </w:numPr>
        <w:rPr>
          <w:rFonts w:ascii="Arial" w:cs="Arial" w:eastAsia="Arial" w:hAnsi="Arial"/>
          <w:sz w:val="17"/>
          <w:szCs w:val="17"/>
          <w:color w:val="auto"/>
        </w:rPr>
      </w:pPr>
      <w:r>
        <w:rPr>
          <w:rFonts w:ascii="Arial" w:cs="Arial" w:eastAsia="Arial" w:hAnsi="Arial"/>
          <w:sz w:val="17"/>
          <w:szCs w:val="17"/>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as applicable, any associated transition activities.</w:t>
      </w:r>
    </w:p>
    <w:p>
      <w:pPr>
        <w:spacing w:after="0" w:line="69" w:lineRule="exact"/>
        <w:rPr>
          <w:rFonts w:ascii="Arial" w:cs="Arial" w:eastAsia="Arial" w:hAnsi="Arial"/>
          <w:sz w:val="17"/>
          <w:szCs w:val="17"/>
          <w:color w:val="auto"/>
        </w:rPr>
      </w:pPr>
    </w:p>
    <w:p>
      <w:pPr>
        <w:ind w:left="660" w:right="20" w:firstLine="320"/>
        <w:spacing w:after="0" w:line="257" w:lineRule="auto"/>
        <w:tabs>
          <w:tab w:leader="none" w:pos="13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8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does not report depreciation expense, total assets and capital expenditures by segment, as such information is not used by the chief operating decision maker.</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The accounting policies of the segments are the same as those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the 2021 Form 10-K.</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Net Sales</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Segment Profitability</w:t>
            </w:r>
          </w:p>
        </w:tc>
      </w:tr>
      <w:tr>
        <w:trPr>
          <w:trHeight w:val="210"/>
        </w:trPr>
        <w:tc>
          <w:tcPr>
            <w:tcW w:w="4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w w:val="95"/>
              </w:rPr>
              <w:t>Three Months Ended September 30,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w w:val="96"/>
              </w:rPr>
              <w:t>Three Months Ended September 30,</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2,431.5</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2,655.9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1,236.3</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1,302.7</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Greater China</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JANZ</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Reconciling items: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 expense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Globally managed research and development costs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Litigation settlements &amp; other contingencies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Transaction related and other special items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(569.8)</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 unallocated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r>
      <w:tr>
        <w:trPr>
          <w:trHeight w:val="20"/>
        </w:trPr>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rPr>
              <w:t>Net Sales</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Segment Profitability</w:t>
            </w:r>
          </w:p>
        </w:tc>
      </w:tr>
      <w:tr>
        <w:trPr>
          <w:trHeight w:val="210"/>
        </w:trPr>
        <w:tc>
          <w:tcPr>
            <w:tcW w:w="4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6"/>
                <w:szCs w:val="16"/>
                <w:b w:val="1"/>
                <w:bCs w:val="1"/>
                <w:color w:val="auto"/>
                <w:w w:val="96"/>
              </w:rPr>
              <w:t>Nine Months Ended September 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0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Developed Markets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7,386.7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7,867.9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3,703.1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3,908.0</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Greater China</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JANZ</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586.3</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Emerging Markets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reportable segments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12,351.0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6,389.9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6,702.7</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Reconciling items: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(2,037.5)</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Intangible asset impairment charges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Globally managed research and development costs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Litigation settlements &amp; other contingencies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and other special items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w:t>
            </w: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 unallocated</w:t>
            </w: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(1,515.1)</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w:t>
      </w:r>
    </w:p>
    <w:p>
      <w:pPr>
        <w:spacing w:after="0" w:line="188"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w:t>
      </w:r>
    </w:p>
    <w:p>
      <w:pPr>
        <w:spacing w:after="0" w:line="184"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Charges for restructuring and ongoing cost reduction initiatives are recorded in the period the Company commits to a restructuring or cost reduction plan, or executes specific actions contemplated by the plan and all criteria for liability recognition have been met.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restructuring charges and the reserve activity for the 2020 restructuring program from December 31, 2021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Employee</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Exit Costs</w:t>
            </w:r>
          </w:p>
        </w:tc>
        <w:tc>
          <w:tcPr>
            <w:tcW w:w="260" w:type="dxa"/>
            <w:vAlign w:val="bottom"/>
          </w:tcPr>
          <w:p>
            <w:pPr>
              <w:spacing w:after="0"/>
              <w:rPr>
                <w:sz w:val="14"/>
                <w:szCs w:val="14"/>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Related Costs</w:t>
            </w:r>
          </w:p>
        </w:tc>
        <w:tc>
          <w:tcPr>
            <w:tcW w:w="120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left="660" w:hanging="328"/>
        <w:spacing w:after="0" w:line="238" w:lineRule="auto"/>
        <w:tabs>
          <w:tab w:leader="none" w:pos="719"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For the three months ended September 30, 2022, total restructuring charges in Developed Markets, Emerging Markets, Greater China, JANZ and Corporate/Other were approximately $14.2 million, $0.1 million, $0.4 million, $0.1 million, and $0.1 million, respectively.</w:t>
      </w:r>
    </w:p>
    <w:p>
      <w:pPr>
        <w:spacing w:after="0" w:line="203"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For the nine months ended September 30, 2022, total restructuring charges in Developed Markets, Emerging Markets, Greater China, JANZ, and Corporate/Other were approximately $34.5 million, $3.8 million, $2.5 million, $0.4 million, and $0.3 million, respectively.</w:t>
      </w:r>
    </w:p>
    <w:p>
      <w:pPr>
        <w:spacing w:after="0" w:line="14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September 30, 2022 and December 31, 2021, accrued liabilities for restructuring and other cost reduction programs were primarily included in other current liabilities and other long-term obligations in the condensed consolidated balance sheets.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Licensing and Other Partner Agreements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Refer to Note 10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for further discussion of contingent consideration.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potential maximum development milestones not accrued for at September 30, 2022 totaled approximately $338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We estimate that the amounts that may be paid through the end of 2022 to be approximately $10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significant changes to our licensing and other partner agreements as disclosed in Note 18 of our 2021 Form 10-K.</w:t>
      </w:r>
    </w:p>
    <w:p>
      <w:pPr>
        <w:spacing w:after="0" w:line="233" w:lineRule="exact"/>
        <w:rPr>
          <w:sz w:val="20"/>
          <w:szCs w:val="20"/>
          <w:color w:val="auto"/>
        </w:rPr>
      </w:pPr>
    </w:p>
    <w:p>
      <w:pPr>
        <w:ind w:left="340" w:right="9540" w:hanging="332"/>
        <w:spacing w:after="0" w:line="603" w:lineRule="auto"/>
        <w:tabs>
          <w:tab w:leader="none" w:pos="335"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Income Taxes </w:t>
      </w:r>
      <w:r>
        <w:rPr>
          <w:rFonts w:ascii="Arial" w:cs="Arial" w:eastAsia="Arial" w:hAnsi="Arial"/>
          <w:sz w:val="15"/>
          <w:szCs w:val="15"/>
          <w:b w:val="1"/>
          <w:bCs w:val="1"/>
          <w:i w:val="1"/>
          <w:iCs w:val="1"/>
          <w:color w:val="auto"/>
        </w:rPr>
        <w:t>Tax Examinations</w:t>
      </w:r>
    </w:p>
    <w:p>
      <w:pPr>
        <w:spacing w:after="0" w:line="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8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76"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is subject to ongoing IRS examinations. The years 2015 through 2019 are open years under examination. The years 2012, 2013 and 2014 have one matter open, and a Tax Court petition was filed regarding the matter and a trial was held in December 2018 and is discussed further below.</w:t>
      </w:r>
    </w:p>
    <w:p>
      <w:pPr>
        <w:spacing w:after="0" w:line="124"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positions.</w:t>
      </w:r>
    </w:p>
    <w:p>
      <w:pPr>
        <w:spacing w:after="0" w:line="184"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Australia, the tax authorities have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2020 and we have commenced litigation in the Australian Federal Court challenging those decisions. The Company made a partial payment of $56.0 million in 2021 and $5.2 million in 2022 in order to stay potential interest and penalties resulting from this litigation.</w:t>
      </w:r>
    </w:p>
    <w:p>
      <w:pPr>
        <w:spacing w:after="0" w:line="21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assessments remain in the audit phase where we are challenging them before the tax authorities while we are challenging some of the other assessments in the Indian tax courts.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Company has recorded a net reserve for uncertain tax positions of $288.2 million and $315.6 million, including interest and penalties, in connection with its international audits at September 30, 2022 and December 31, 2021, respectively. In connection with our international tax audits, it is possible that we will incur material losses above the amounts reserved.</w:t>
      </w:r>
    </w:p>
    <w:p>
      <w:pPr>
        <w:spacing w:after="0" w:line="18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Company’s major U.S. state taxing jurisdictions remain open from fiscal year 2013 through 2021, with several state audits currently in progress. The Company’s major international taxing jurisdictions remain open from 2012 through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Court Proceedings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and on April 27, 2021, the Court affirmed Mylan’s position and held that patent litigation expenses related to ANDAs are immediately deductible. The IRS has appealed this decision.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Litigation</w:t>
      </w:r>
    </w:p>
    <w:p>
      <w:pPr>
        <w:spacing w:after="0" w:line="229"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4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8"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Legal costs are recorded as incurred and are classified in SG&amp;A in the Company’s condensed consolidated statements of operations.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EpiPen® Auto-Injector Litigation</w:t>
      </w:r>
    </w:p>
    <w:p>
      <w:pPr>
        <w:spacing w:after="0" w:line="225"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The Company and a former Mylan N.V. officer (collectively the “Mylan Defendants”) were named as defendants in indirect purchaser class actions relating to the pricing and/or marketing of the EpiPen® Auto-Injector. The plaintiffs in these cases asserted violations of various federal and state antitrust and consumer protection laws, RICO as well as common law claims. Plaintiffs’ sought monetary damages, attorneys’ fees and costs. These lawsuits were filed in various federal and state courts and were either dismissed or transferred into a MDL in the U.S. District Court for the District of Kansas and were consolidated or centralized. An antitrust class consisting of certain states was ultimately certified. On June 23, 2021, the Court granted – in substantial part – the Mylan Defendants’ motion for summary judgment by dismissing certain antitrust claims and the RICO claims, which included RICO claims asserted against the former Mylan N.V. officer. In February 2022, the parties reached an agreement to fully resolve this matter for</w:t>
      </w:r>
    </w:p>
    <w:p>
      <w:pPr>
        <w:spacing w:after="0" w:line="2" w:lineRule="exact"/>
        <w:rPr>
          <w:sz w:val="20"/>
          <w:szCs w:val="20"/>
          <w:color w:val="auto"/>
        </w:rPr>
      </w:pPr>
    </w:p>
    <w:p>
      <w:pPr>
        <w:jc w:val="both"/>
        <w:ind w:right="280"/>
        <w:spacing w:after="0" w:line="277" w:lineRule="auto"/>
        <w:rPr>
          <w:sz w:val="20"/>
          <w:szCs w:val="20"/>
          <w:color w:val="auto"/>
        </w:rPr>
      </w:pPr>
      <w:r>
        <w:rPr>
          <w:rFonts w:ascii="Arial" w:cs="Arial" w:eastAsia="Arial" w:hAnsi="Arial"/>
          <w:sz w:val="17"/>
          <w:szCs w:val="17"/>
          <w:color w:val="auto"/>
        </w:rPr>
        <w:t>$264 million, which was accrued for during the year ended December 31, 2021. During the first quarter of 2022, $5.0 million of the settlement was paid and the remaining amount of the settlement was paid in July 2022. The settlement was approved by the Court on July 11, 2022 and contains an express provision disclaiming and denying any wrongdoing or liability by the Mylan Defendants. This matter is resolved.</w:t>
      </w:r>
    </w:p>
    <w:p>
      <w:pPr>
        <w:spacing w:after="0" w:line="173"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after Plaintiffs’ then operative complaint was dismissed with an option to file a limited amended complaint, Plaintiffs filed an amended complaint asserting federal antitrust claims which are based on allegations concerning a patent settlement between Pfizer and Teva and other alleged actions regarding the launch of Teva’s generic epinephrine auto-injector. Plaintiffs’ seek monetary damages, declaratory relief, attorneys’ fees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w:t>
      </w:r>
    </w:p>
    <w:p>
      <w:pPr>
        <w:spacing w:after="0" w:line="188"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April 24, 2017, Sanofi Aventis U.S., LLC (“Sanofi”) filed a lawsuit against the Company in the U.S. District Court for the District of New Jersey. This lawsuit has been transferred into the aforementioned MDL and alleges exclusive dealing and anti-competitive marketing practices in violation of the antitrust laws in connection with the sale and marketing of the EpiPen® Auto-Injector. Sanofi seeks monetary damages, declaratory relief, attorneys’ fees and costs. The Court granted the Company’s motion for summary judgment and dismissed Sanofi’s claims. Sanofi’s appeal was denied.</w:t>
      </w:r>
    </w:p>
    <w:p>
      <w:pPr>
        <w:spacing w:after="0" w:line="15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has a total accrual of approximately $10.0 million related to these matters at September 30, 2022,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Drug Pricing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May 10, 2018, the Company received a civil investigative demand from the Civil Division of the DOJ seeking information relating to the pricing and sale of its generic drug products.</w:t>
      </w:r>
    </w:p>
    <w:p>
      <w:pPr>
        <w:spacing w:after="0" w:line="170"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We are fully cooperating with these investigations, which we believe are related to a broader industry-wide investigation of the generic pharmaceutical industry.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Civil Litigation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The EDPA court has ordered certain plaintiffs’ complaints regarding two single-drug product cases to proceed as bellwethers. The Company is named in those plaintiffs’ complaints that regard one of the two individual drug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Attorneys General Litigation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forty-six states, the District of Columbia and the Commonwealth of Puerto Rico. The Company is alleged to have engaged in anticompetitive conduct with respect to four generic drug products. The amended complaint also includes claims asserted by attorneys general of thirty-six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restitution, and other equitable monetary relief. The States’ claim for disgorgement and restitution under federal law in this case has been dismissed.</w:t>
      </w:r>
    </w:p>
    <w:p>
      <w:pPr>
        <w:spacing w:after="0" w:line="20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forty-seven states, certain territories and the District of Columbia. The amended complaint also includes claims asserted by attorneys general of forty-two states and certain territories against several individuals, including a Company sales employee.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w:t>
      </w:r>
    </w:p>
    <w:p>
      <w:pPr>
        <w:spacing w:after="0" w:line="17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forty-six states, certain territories and the District of Columbia. The amended complaint seeks declaratory and injunctive relief, disgorgement, attorneys’ fees and costs, and certain states seek monetary damages, civil penalties, restitution, and other equitable monetary relief. This lawsuit has been transferred to the aforementioned MDL proceeding in the EDPA and has been ordered to proceed as a bellwether.</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Securities Related Litigation</w:t>
      </w:r>
    </w:p>
    <w:p>
      <w:pPr>
        <w:spacing w:after="0" w:line="22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United States District Court for the Southern District of New York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 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 A decision on Defendants’ motion for summary judgment seeking to dismiss the case in its entirety and Plaintiffs’ cross-motion for partial summary judgment as to portions of certain claims is pending.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On April 30, 2017, a similar lawsuit was filed in the Tel Aviv District Court (Economic Division) in Israel, which has been stayed pending a decision in the SDNY class action litigation.</w:t>
      </w:r>
    </w:p>
    <w:p>
      <w:pPr>
        <w:spacing w:after="0" w:line="170"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On February 14, 2020, the Abu Dhabi Investment Authority filed a complaint against Mylan in the SDNY asserting allegations pertaining to EpiPen® Auto-Injector and certain generic drugs under the federal securities laws that overlap with those asserted in the third amended complaint identified above. The Abu Dhabi Investment Authority’s complaint seeks monetary damages as well as the plaintiff’s fees and costs.</w:t>
      </w:r>
    </w:p>
    <w:p>
      <w:pPr>
        <w:spacing w:after="0" w:line="1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Morgantown manufacturing plant and inspections at the plant by the FDA. Plaintiff seeks certification of a class of purchasers of Mylan N.V. securities between February 16, 2016 and May 7, 2019. The complaint seeks monetary damages, as well as the plaintiff’s fees and costs.</w:t>
      </w:r>
    </w:p>
    <w:p>
      <w:pPr>
        <w:spacing w:after="0" w:line="17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spacing w:after="0" w:line="1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On October 28, 2021, the Company and certain of its officers and directors were named as defendants in a putative class action lawsuit filed in the Court of Common Pleas of Allegheny County, Pennsylvania on behalf of former Mylan shareholders who received Company common stock in connection with the Combination. A non-Viatris affiliated company and persons were also named as defendants. The complaint alleges violations of Sections 11, 12(a)</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 and 15 of the Securities Act of 1933 for purportedly failing to disclose or misrepresenting material information in the registration statement and related prospectus issued in connection with the Combination. Plaintiffs seek monetary damages, reasonable costs and expenses, and certain other equitable and injunctive relief.</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Opioids</w:t>
      </w:r>
    </w:p>
    <w:p>
      <w:pPr>
        <w:spacing w:after="0" w:line="225"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15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 </w:t>
      </w:r>
      <w:r>
        <w:rPr>
          <w:rFonts w:ascii="Arial" w:cs="Arial" w:eastAsia="Arial" w:hAnsi="Arial"/>
          <w:sz w:val="17"/>
          <w:szCs w:val="17"/>
          <w:color w:val="242424"/>
        </w:rPr>
        <w:t>A liability-only trial has been ordered to take</w:t>
      </w:r>
      <w:r>
        <w:rPr>
          <w:rFonts w:ascii="Arial" w:cs="Arial" w:eastAsia="Arial" w:hAnsi="Arial"/>
          <w:sz w:val="17"/>
          <w:szCs w:val="17"/>
          <w:color w:val="auto"/>
        </w:rPr>
        <w:t xml:space="preserve"> </w:t>
      </w:r>
      <w:r>
        <w:rPr>
          <w:rFonts w:ascii="Arial" w:cs="Arial" w:eastAsia="Arial" w:hAnsi="Arial"/>
          <w:sz w:val="17"/>
          <w:szCs w:val="17"/>
          <w:color w:val="242424"/>
        </w:rPr>
        <w:t>place by April 2023 in a coordinated proceeding in West Virginia state court involving the Company and other defendants.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accrued approximately $64.9 million as of September 30, 2022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Nitrosamines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along with numerous other manufacturers, retailers, and others, are parties to litigation relating to alleged trace amounts of nitrosamine impurities in certain products, including valsartan and ranitidine. The vast majority of these lawsuits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class actions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other countries. Class certification motions are pending in the valsartan MDL. The Company has also received claims and inquiries related to these products, as well as requests to indemnify purchasers of the Company’s API and/ or finished dose forms of these products. The original master complaints concerning ranitidine were dismissed on December 31, 2020. The Company was not named as a defendant in the amended master complaints, though it was still named in certain short form personal injury complaints. The end-payor plaintiffs and certain of the plaintiffs named in the short form personal injury complaints in the ranitidine matter have filed appeals to the U.S. Court of Appeals for the Eleventh Circuit.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Lipitor</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various jurisdictions, including in California, Missouri, and New York. On January 27, 2021, the California Court granted Pfizer’s motion to exclude the opinions of plaintiffs’ only general causation expert in connection with his opinions involving the three lowest doses of Lipitor (10, 20 and 40 mg). The Company’s motion for summary judgment in connection with the 10, 20, and 40 mg plaintiffs was granted, resulting in their dismissal. On November 3, 2021, the Court granted the Company’s motion seeking the dismissal of the remaining cases involving the highest dose of Lipitor (80 mg).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Viagra</w:t>
      </w:r>
    </w:p>
    <w:p>
      <w:pPr>
        <w:spacing w:after="0" w:line="225" w:lineRule="exact"/>
        <w:rPr>
          <w:sz w:val="20"/>
          <w:szCs w:val="20"/>
          <w:color w:val="auto"/>
        </w:rPr>
      </w:pPr>
    </w:p>
    <w:p>
      <w:pPr>
        <w:jc w:val="both"/>
        <w:ind w:right="180" w:firstLine="648"/>
        <w:spacing w:after="0" w:line="275" w:lineRule="auto"/>
        <w:rPr>
          <w:sz w:val="20"/>
          <w:szCs w:val="20"/>
          <w:color w:val="auto"/>
        </w:rPr>
      </w:pPr>
      <w:r>
        <w:rPr>
          <w:rFonts w:ascii="Arial" w:cs="Arial" w:eastAsia="Arial" w:hAnsi="Arial"/>
          <w:sz w:val="17"/>
          <w:szCs w:val="17"/>
          <w:color w:val="auto"/>
        </w:rPr>
        <w:t>Since April 2016, an MDL has been pending in the U.S. District Court for the Northern District of California, in which plaintiffs allege that they developed melanoma and/or the exacerbation of melanoma purportedly as a result of the ingestion of Viagra. Additional cases filed against Eli Lilly and Company (“Lilly”) with respect to Cialis have also been consolidated in the MDL. Plaintiffs seek compensatory and punitive damages. In January 2020, the District Court granted Pfizer’s and Lilly’s motion to exclude all of plaintiffs’ general causation opinions. As a result, in April 2020, the District Court entered summary judgment in favor of defendants and dismissed all of plaintiffs’ claims. The parties have settled this matter.</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is involved in a number of patent litigation lawsuits involving the validity and/or infringement of patents held by branded 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has accrued approximately $183.0 million as of September 30, 2022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Dimethyl Fumarate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 June 30, 2017, Biogen MA Inc. and Biogen International GmbH (collectively, “Biogen”) sued MPI in the U.S. District Court for the Northern District of West Virginia asserting that MPI’s abbreviated new drug application for dimethyl fumarate delayed-release capsules containing 120 mg and 240 mg of dimethyl fumarate (generic for Tecfidera®) infringed six U.S. patents that Biogen had listed in the Orange Book: 6,509,376, 7,320,999, 7,619,001, 7,803,840, 8,759,393, and 8,399,514. All patents except for the ‘514 expired during the litigation and were dismissed from the case.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a trial involving only the ’514 patent on June 18, 2020, the District Court issued a judgment finding all claims of the ’514 patent invalid for</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lack of adequate written description. On appeal, the Federal Circuit affirmed the District Court’s judgment. Biogen’s petition for rehearing was denied.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Biogen’s petition seeking review by the U.S. Supreme Court was also denied.</w:t>
      </w:r>
    </w:p>
    <w:p>
      <w:pPr>
        <w:spacing w:after="0" w:line="23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July 13, 2018, MPI filed an IPR petition challenging the ’514 patent based only on obviousness. On February 5, 2020, the PTAB issued a final written decision finding the claims not obvious. MPI’s appeal of the PTAB decision is moot in light of the U.S. Supreme Court denying review of the Federal Circuit’s affirmance of the District Court’s invalidity judgment.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matters are resolved.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17, 2020, the FDA approved MPI’s dimethyl fumarate delayed-release capsules, which MPI began selling on August 18, 2020.</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Lyrica - United Kingdom</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 companies preventing the sale of Sandoz’s full label pregabalin product. 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w:t>
      </w:r>
    </w:p>
    <w:p>
      <w:pPr>
        <w:spacing w:after="0" w:line="178" w:lineRule="exact"/>
        <w:rPr>
          <w:sz w:val="20"/>
          <w:szCs w:val="20"/>
          <w:color w:val="auto"/>
        </w:rPr>
      </w:pPr>
    </w:p>
    <w:p>
      <w:pPr>
        <w:ind w:right="60" w:firstLine="648"/>
        <w:spacing w:after="0" w:line="299" w:lineRule="auto"/>
        <w:rPr>
          <w:sz w:val="20"/>
          <w:szCs w:val="20"/>
          <w:color w:val="auto"/>
        </w:rPr>
      </w:pPr>
      <w:r>
        <w:rPr>
          <w:rFonts w:ascii="Arial" w:cs="Arial" w:eastAsia="Arial" w:hAnsi="Arial"/>
          <w:sz w:val="16"/>
          <w:szCs w:val="16"/>
          <w:color w:val="auto"/>
        </w:rPr>
        <w:t>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and Northern Ireland) filed their claims. The claims filed by Sandoz,</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Teva, Actavis, and Ranbaxy have been resolved and we have reached a settlement in principle to resolve all claims filed by NHS England, Wales, and Northern Ireland. A trial on the remaining claims has been set for November 2023.</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is involved in various other legal proceedings including commercial, contractual, employment, or other similar matters that are considered normal to its business. The Company has approximately $32.1 million accrued related to these various other legal proceedings at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AND SUBSIDIARIES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November 7, 2022, the Company entered into a definitive agreement to acquire Oyster Point Pharma, Inc. (“Oyster Point”) for $11 per share in cash through a tender offer. In addition to the upfront cash consideration, each Oyster Point stockholder will receive one non-tradeable Contingent Value Right representing up to an additional $2 per share contingent upon Oyster Point achieving certain metrics based upon full year 2022 performance. Oyster Point is a commercial-stage biopharmaceutical company focused on the discovery, development, and commercialization of first-in-class pharmaceutical therapies to treat ophthalmic diseases. The transaction is subject to customary closing conditions, including receipt of regulatory approval and tender acceptance of more than 50% of the common shares of Oyster Point.</w:t>
      </w:r>
    </w:p>
    <w:p>
      <w:pPr>
        <w:spacing w:after="0" w:line="205" w:lineRule="exact"/>
        <w:rPr>
          <w:sz w:val="20"/>
          <w:szCs w:val="20"/>
          <w:color w:val="auto"/>
        </w:rPr>
      </w:pPr>
    </w:p>
    <w:p>
      <w:pPr>
        <w:jc w:val="both"/>
        <w:ind w:right="660" w:firstLine="648"/>
        <w:spacing w:after="0" w:line="263" w:lineRule="auto"/>
        <w:rPr>
          <w:sz w:val="20"/>
          <w:szCs w:val="20"/>
          <w:color w:val="auto"/>
        </w:rPr>
      </w:pPr>
      <w:r>
        <w:rPr>
          <w:rFonts w:ascii="Arial" w:cs="Arial" w:eastAsia="Arial" w:hAnsi="Arial"/>
          <w:sz w:val="18"/>
          <w:szCs w:val="18"/>
          <w:color w:val="auto"/>
        </w:rPr>
        <w:t>Also on November 7, 2022, the Company entered into a definitive agreement to acquire Famy Life Sciences Private Limited (“Famy Life Sciences”), which has a complementary portfolio of ophthalmology therapies under development. The transaction is subject to customary closing conditions, including receipt of regulatory approval.</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Together, the two acquisitions have an aggregate purchase price of approximately $700-$750 million which Viatris expects to fund with cash on hand and expects to close both transactions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following discussion and analysis addresses material changes in the financial condition and results of operations of Viatris Inc. and</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subsidiaries for the periods presented. Unless context requires otherwise, the “Company,” “Viatris,” “our” or “we” refer to Viatris Inc. and its subsidiaries.</w:t>
      </w:r>
    </w:p>
    <w:p>
      <w:pPr>
        <w:spacing w:after="0" w:line="23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This discussion and analysis should be read in conjunction with the Consolidated Financial Statements, the related Notes to Consolidated Financial Statements and Management’s Discussion and Analysis of Financial Condition and Results of Operations included in Viatris’ 2021 Form 10-K, the unaudited interim financial statements and related Notes included in Part I — ITEM 1 of this Form 10-Q and our other SEC filings and public disclosures. The interim results of operations and comprehensive loss for the three and nine months ended September 30, 2022, and cash flows for the nine months ended September 30, 2022 are not necessarily indicative of the results to be expected for the full fiscal year or any other future period.</w:t>
      </w:r>
    </w:p>
    <w:p>
      <w:pPr>
        <w:spacing w:after="0" w:line="148"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This Form 10-Q contains “forward-looking statements”. These statements are made pursuant to the safe harbor provisions of the Private Securities Litigation Reform Act of 1995. Such forward-looking statements may include, without limitation, statements about the Biocon Biologics Transaction, the Combination, the benefits and synergies of the Combination or our global restructuring program, the Company’s strategic initiatives, including but not limited to potential divestitures and recently announced acquisitions,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197" w:lineRule="exact"/>
        <w:rPr>
          <w:sz w:val="20"/>
          <w:szCs w:val="20"/>
          <w:color w:val="auto"/>
        </w:rPr>
      </w:pPr>
    </w:p>
    <w:p>
      <w:pPr>
        <w:ind w:left="660" w:right="720" w:hanging="328"/>
        <w:spacing w:after="0" w:line="244"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pending Biocon Biologics Transaction and other strategic initiatives, including potential divestitures, may not achieve their intended benefits;</w:t>
      </w:r>
    </w:p>
    <w:p>
      <w:pPr>
        <w:spacing w:after="0" w:line="18" w:lineRule="exact"/>
        <w:rPr>
          <w:rFonts w:ascii="Arial" w:cs="Arial" w:eastAsia="Arial" w:hAnsi="Arial"/>
          <w:sz w:val="16"/>
          <w:szCs w:val="16"/>
          <w:color w:val="auto"/>
        </w:rPr>
      </w:pPr>
    </w:p>
    <w:p>
      <w:pPr>
        <w:ind w:left="660" w:right="900" w:hanging="328"/>
        <w:spacing w:after="0" w:line="219"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operational or financial difficulties or losses associated with the Company’s reliance on agreements with Pfizer in connection with the Combination, including with respect to transition services;</w:t>
      </w:r>
    </w:p>
    <w:p>
      <w:pPr>
        <w:ind w:left="660" w:right="560" w:hanging="328"/>
        <w:spacing w:after="0" w:line="22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impact of public health outbreaks, epidemics and pandemics, including the ongoing challenges and uncertainties posed by the COVID-19 pandemic;</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failure to achieve expected or targeted future financial and operating performance and results;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ind w:left="660" w:right="60" w:hanging="328"/>
        <w:spacing w:after="0" w:line="22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relevant laws and regulations, including but not limited to changes in tax, healthcare and pharmaceutical laws and regulations globally (including the impact of potential tax reform in the U.S.);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ind w:left="660" w:hanging="328"/>
        <w:spacing w:after="0" w:line="21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liquidity, capital resources and ability to obtain financing;</w:t>
      </w:r>
    </w:p>
    <w:p>
      <w:pPr>
        <w:ind w:left="660" w:right="680" w:hanging="328"/>
        <w:spacing w:after="0" w:line="219"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regulatory, legal or other impediments to the Company’s ability to bring new products to market, including but not limited to “at-risk launches”;</w:t>
      </w:r>
    </w:p>
    <w:p>
      <w:pPr>
        <w:ind w:left="660" w:right="660" w:hanging="328"/>
        <w:spacing w:after="0" w:line="22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 of clinical trials and the Company’s or its partners’ ability to execute on new product opportunities and develop, manufacture and commercialize products;</w:t>
      </w:r>
    </w:p>
    <w:p>
      <w:pPr>
        <w:spacing w:after="0" w:line="1" w:lineRule="exact"/>
        <w:rPr>
          <w:rFonts w:ascii="Arial" w:cs="Arial" w:eastAsia="Arial" w:hAnsi="Arial"/>
          <w:sz w:val="18"/>
          <w:szCs w:val="18"/>
          <w:color w:val="auto"/>
        </w:rPr>
      </w:pPr>
    </w:p>
    <w:p>
      <w:pPr>
        <w:ind w:left="660" w:right="260" w:hanging="328"/>
        <w:spacing w:after="0" w:line="219"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ind w:left="660" w:right="280" w:hanging="328"/>
        <w:spacing w:after="0" w:line="22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inquiries or investigations, and the impact of any such proceedings on the Company;</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information technology systems;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having significant operations globally;</w:t>
      </w:r>
    </w:p>
    <w:p>
      <w:pPr>
        <w:ind w:left="660" w:hanging="328"/>
        <w:spacing w:after="0" w:line="21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ind w:left="660" w:hanging="328"/>
        <w:spacing w:after="0" w:line="21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third-party relationships;</w:t>
      </w:r>
    </w:p>
    <w:p>
      <w:pPr>
        <w:ind w:left="660" w:right="520" w:hanging="328"/>
        <w:spacing w:after="0" w:line="226"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economic and financial conditions of the Company or its partners;</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the Company’s products;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right="40" w:hanging="328"/>
        <w:spacing w:after="0" w:line="23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inflation rates and global exchange rates; and</w:t>
      </w:r>
    </w:p>
    <w:p>
      <w:pPr>
        <w:ind w:left="660" w:right="280" w:hanging="328"/>
        <w:spacing w:after="0" w:line="23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more detailed information on the risks and uncertainties associated with Viatris, see the risks described in Part I, Item 1A in the 2021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1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Viatris is a global healthcare company formed in November 2020 whose mission is to empower people worldwide to live healthier at every stage of life, regardless of geography or circumstance. Improving the ability of patients to gain access to sustainable and high-quality healthcare is our relentless pursuit. One that rests on visionary thinking, determination and best-in-class capabilities that were strategically built to remove barriers across the health spectrum and advance access globally.</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Viatris’ seasoned management team is focused on ensuring that the Company is optimally structured and efficiently resourced to deliver sustainable value to patients, shareholders, customers and other stakeholders. With a global workforce of approximately 37,000, the Company has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more than 10 major therapeutic areas, including globally recognized iconic and key brands, generics, complex generics, and biosimilars. The Company operates approximately 40 manufacturing sites worldwide that produce oral solid doses, injectables, complex dosage forms and APIs. Viatris is headquartered in the U.S., with global centers in Pittsburgh, Pennsylvania, Shanghai, China and Hyderabad, India.</w:t>
      </w:r>
    </w:p>
    <w:p>
      <w:pPr>
        <w:spacing w:after="0" w:line="16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Viatris has four reportable segments: Developed Markets, Greater China, JANZ, and Emerging Markets. The Company reports segment information on the basis of markets and geography, which reflects its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Market and Industry Factors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24" w:lineRule="exact"/>
        <w:rPr>
          <w:sz w:val="20"/>
          <w:szCs w:val="20"/>
          <w:color w:val="auto"/>
        </w:rPr>
      </w:pPr>
    </w:p>
    <w:p>
      <w:pPr>
        <w:ind w:right="280" w:firstLine="648"/>
        <w:spacing w:after="0" w:line="243" w:lineRule="auto"/>
        <w:rPr>
          <w:sz w:val="20"/>
          <w:szCs w:val="20"/>
          <w:color w:val="auto"/>
        </w:rPr>
      </w:pPr>
      <w:r>
        <w:rPr>
          <w:rFonts w:ascii="Arial" w:cs="Arial" w:eastAsia="Arial" w:hAnsi="Arial"/>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w:t>
      </w:r>
    </w:p>
    <w:p>
      <w:pPr>
        <w:spacing w:after="0" w:line="20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Ophthalmology Acquisitions</w:t>
      </w:r>
    </w:p>
    <w:p>
      <w:pPr>
        <w:spacing w:after="0" w:line="11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November 7, 2022, the Company entered into a definitive agreement to acquire Oyster Point Pharma, Inc. (“Oyster Point”) for $11 per share in cash through a tender offer. In addition to the upfront cash consideration, each Oyster Point stockholder will receive one non-tradeable Contingent Value Right representing up to an additional $2 per share contingent upon Oyster Point achieving certain metrics based upon full year 2022 performance. Oyster Point is a commercial-stage biopharmaceutical company focused on the discovery, development, and commercialization of first-in-class pharmaceutical therapies to treat ophthalmic diseases. The transaction is subject to customary closing conditions, including receipt of regulatory approval and tender acceptance of more than 50% of the common shares of Oyster Point.</w:t>
      </w:r>
    </w:p>
    <w:p>
      <w:pPr>
        <w:spacing w:after="0" w:line="205" w:lineRule="exact"/>
        <w:rPr>
          <w:sz w:val="20"/>
          <w:szCs w:val="20"/>
          <w:color w:val="auto"/>
        </w:rPr>
      </w:pPr>
    </w:p>
    <w:p>
      <w:pPr>
        <w:jc w:val="both"/>
        <w:ind w:right="660" w:firstLine="648"/>
        <w:spacing w:after="0" w:line="263" w:lineRule="auto"/>
        <w:rPr>
          <w:sz w:val="20"/>
          <w:szCs w:val="20"/>
          <w:color w:val="auto"/>
        </w:rPr>
      </w:pPr>
      <w:r>
        <w:rPr>
          <w:rFonts w:ascii="Arial" w:cs="Arial" w:eastAsia="Arial" w:hAnsi="Arial"/>
          <w:sz w:val="18"/>
          <w:szCs w:val="18"/>
          <w:color w:val="auto"/>
        </w:rPr>
        <w:t>Also on November 7, 2022, the Company entered into a definitive agreement to acquire Famy Life Sciences Private Limited (“Famy Life Sciences”), which has a complementary portfolio of ophthalmology therapies under development. The transaction is subject to customary closing conditions, including receipt of regulatory approval.</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Together, the two acquisitions have an aggregate purchase price of approximately $700-$750 million which Viatris expects to fund with cash on hand and expects to close both transactions in the first quarter of 2023.</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February 28, 2022, the Company announced that its Board of Directors had authorized a share repurchase program for the repurchase of up to $1.0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The Company has not yet repurchased any shares of common stock under the share repurchase program and the share repurchase program does not obligate the Company to acquire any particular amount of common stock.</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 Reinvestment and Share Purchase Plan</w:t>
      </w:r>
    </w:p>
    <w:p>
      <w:pPr>
        <w:spacing w:after="0" w:line="117"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On May 6, 2022, the Company announced that its Board of Directors had authorized a DRIP. The DRIP allows shareholders to automatically reinvest all or a portion of the cash dividends paid on their shares of the Company’s common stock and to make certain additional optional cash investments in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International Operations</w:t>
      </w:r>
    </w:p>
    <w:p>
      <w:pPr>
        <w:spacing w:after="0" w:line="11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The ongoing conflict between Russia and Ukraine did not have a material impact on our business as the combined total revenues for both countries were approximately 1% of consolidated total revenues during each of the three and nine months ended September 30, 2022 and 2021. However, trade controls, sanctions, supply chain and staffing challenges and other economic considerations related to the conflict have impacted our operations in these markets and may negatively impact our financial results in future periods. In addition, a significant escalation or expansion of the conflict’s current scope may have a negative impact on our operations and financial results in future periods. For a further discussion of the risks we encounter in our business, including the risks of conducting our business internationally, please refer to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our 2021 Form 10-K.</w:t>
      </w:r>
    </w:p>
    <w:p>
      <w:pPr>
        <w:spacing w:after="0" w:line="19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Under ASC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(“ASC 830”), a highly inflationary economy is one that has cumulative inflation of approximately 100% or more over a three-year period. Effective April 1, 2022, we classified Turkey as highly inflationary. In accordance with ASC 830, starting with the second quarter of 2022, we began to utilize the U.S. dollar as our functional currency in Turkey, which historically utilized the Turkish lira as the functional currency. Application of the guidance in ASC 830 did not have a material impact on our condensed consolidated financial statements for the three and nine months ended September 30, 2022. The impacted net sales for the three and nine months ended September 30, 2022 and total assets at September 30, 2022 represented less than 1% of our consolidated net sales and total assets, respectively.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Biocon Biologics Agreement</w:t>
      </w:r>
    </w:p>
    <w:p>
      <w:pPr>
        <w:spacing w:after="0" w:line="11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February 27, 2022, the Company entered into an agreement to contribute its biosimilars portfolio to Biocon Biologics. Under the terms of the Biocon Agreement, at closing Viatris will receive an up-front cash payment of $2.0 billion, subject to certain adjustments, ownership of at least 12.9% of Biocon Biologics, on a fully diluted basis, in the form of convertible preferred equity which will have certain priority rights with respect to certain liquidity events, and $335 million as additional cash payments that are expected to be paid in 2024. Upon closing of the transaction, we expect to record a gain for the difference between the consideration received, including the fair value of the convertible preferred equity, and the carrying value of the biosimilars portfolio. The companies will also enter into a two-year transition services agreement, subject to extension in certain circumstances, during which time Viatris will provide certain commercial and administrative services for an applicable service fee. The transaction is expected to close by the end of 2022 and is subject to various closing conditions (including regulatory approvals).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Cyclosporine Ophthalmic Emulsion</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February 3, 2022, the Company announced that it had received approval from the FDA for its ANDA for Cyclosporine Ophthalmic Emulsion 0.05%, the first generic version of Allergan's Restasis®. Cyclosporine Ophthalmic Emulsion is indicated to increase tear production in patients whose tear production is presumed to be suppressed due to ocular inflammation associated with keratoconjunctivitis sicca, also known as dry eye. The commercial launch of the product occurred in February 2022.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Restructuring Program</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fourth quarter of 2020, Viatris announced a significant global restructuring program in order to achieve synergies and ensure that the organization is optimally structured and efficiently resourced to deliver sustainable value to patients, shareholders, customers, and other stakeholders. As part of the restructuring, the Company is optimizing its commercial capabilities and enabling functions, and closing, downsizing or divesting certain manufacturing facilities globally that are deemed to be no longer viable either due to surplus capacity, challenging market dynamics or a shift in its product portfolio toward more complex products.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For the committed restructuring actions, the Company expects to incur total pre-tax charges of up to approximately $1.4 billion. Such charges are expected to include up to approximately $450 million of non-cash charges mainly related to accelerated depreciation and asset impairment charges, including inventory write-offs. The remaining estimated cash costs of up to approximately $950 million are expected to be primarily related to severance and employee benefits expense, as well as other costs, including those related to contract terminations and other plant disposal costs. In addition, management believes the potential annual savings related to these committed restructuring activities to be up to approximately $900 million once fully implemented, with most of these savings expected to improve operating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Coronavirus Pandemic</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a leading global pharmaceutical company, Viatris is committed to continue doing its part in support of public health needs amid the evolving COVID-19 pandemic. The Company’s priorities remain protecting the health and safety of our workforce, continuing to produce critically needed medicines, deploying resources and expertise in the fight against COVID-19 through potential prevention and treatment efforts, supporting the communities in which we operate and maintaining the health of our overall business. As a result, many Viatris administrative offices continue operating under work from home protocols and some of our customer facing field personnel continue on a remote engagement model to ensure continued support for healthcare professionals, patient care and access to needed products. Additionally, all of our manufacturing facilities, and those of our key global partners, are currently operational and, at this time, we are not experiencing any significant disruptions. Current inventory levels, both ours and those in our distribution channel, remain in-line with normal levels.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global spread of COVID-19 has created and continues to create significant volatility, uncertainty and economic disruption affecting the markets we serve, including impacts on supply chain partners, third-party manufacturers, logistics providers and other vendors. The extent to which the COVID-19 pandemic will impact our business, operations and financial results in future periods will depend on numerous evolving factors that are beyond our control and that we may not be able to accurately predict, and could adversely impact our results of operations in future periods. Due to the Company’s ability to generate significant cash flows from operations, combined with our access to borrowing facilities and capital markets, we believe that we currently have, and will maintain, the ability to meet foreseeable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table below is a summary of the Company’s financial results for the three and nine months ended September 30, 2022 compared to the prior year period: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 and %s)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4,078.2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4,536.6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446"/>
        </w:trPr>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 and %s)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0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12,386.7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13,544.7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(1,158.0)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2,072.7</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More information about non-GAAP measures used by the Company as part of this discussion, including adjusted cost of sales, adjusted gross margins, adjusted net earnings and adjusted EBITDA (all of which are defined below) can be found in “Item 2.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w:t>
      </w:r>
      <w:r>
        <w:rPr>
          <w:rFonts w:ascii="Arial" w:cs="Arial" w:eastAsia="Arial" w:hAnsi="Arial"/>
          <w:sz w:val="18"/>
          <w:szCs w:val="18"/>
          <w:color w:val="auto"/>
        </w:rPr>
        <w:t>-</w:t>
      </w:r>
      <w:r>
        <w:rPr>
          <w:rFonts w:ascii="Arial" w:cs="Arial" w:eastAsia="Arial" w:hAnsi="Arial"/>
          <w:sz w:val="18"/>
          <w:szCs w:val="18"/>
          <w:i w:val="1"/>
          <w:iCs w:val="1"/>
          <w:color w:val="auto"/>
        </w:rPr>
        <w:t xml:space="preserve">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Operations - Use of Non-GAAP Financial Measures.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center"/>
              <w:ind w:left="8"/>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5"/>
          </w:tcPr>
          <w:p>
            <w:pPr>
              <w:jc w:val="center"/>
              <w:ind w:left="8"/>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2022 Currency</w:t>
            </w:r>
          </w:p>
        </w:tc>
        <w:tc>
          <w:tcPr>
            <w:tcW w:w="140" w:type="dxa"/>
            <w:vAlign w:val="bottom"/>
          </w:tcPr>
          <w:p>
            <w:pPr>
              <w:spacing w:after="0"/>
              <w:rPr>
                <w:sz w:val="11"/>
                <w:szCs w:val="11"/>
                <w:color w:val="auto"/>
              </w:rPr>
            </w:pPr>
          </w:p>
        </w:tc>
        <w:tc>
          <w:tcPr>
            <w:tcW w:w="104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1"/>
              </w:rPr>
              <w:t>2022 Constant</w:t>
            </w:r>
          </w:p>
        </w:tc>
        <w:tc>
          <w:tcPr>
            <w:tcW w:w="100" w:type="dxa"/>
            <w:vAlign w:val="bottom"/>
          </w:tcPr>
          <w:p>
            <w:pPr>
              <w:spacing w:after="0"/>
              <w:rPr>
                <w:sz w:val="11"/>
                <w:szCs w:val="11"/>
                <w:color w:val="auto"/>
              </w:rPr>
            </w:pPr>
          </w:p>
        </w:tc>
        <w:tc>
          <w:tcPr>
            <w:tcW w:w="13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15"/>
              <w:spacing w:after="0" w:line="14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4"/>
                <w:szCs w:val="14"/>
                <w:b w:val="1"/>
                <w:bCs w:val="1"/>
                <w:color w:val="auto"/>
                <w:w w:val="94"/>
              </w:rPr>
              <w:t xml:space="preserve">Impact </w:t>
            </w:r>
            <w:r>
              <w:rPr>
                <w:rFonts w:ascii="Arial" w:cs="Arial" w:eastAsia="Arial" w:hAnsi="Arial"/>
                <w:sz w:val="18"/>
                <w:szCs w:val="18"/>
                <w:b w:val="1"/>
                <w:bCs w:val="1"/>
                <w:color w:val="auto"/>
                <w:w w:val="94"/>
                <w:vertAlign w:val="superscript"/>
              </w:rPr>
              <w:t>(1)</w:t>
            </w:r>
          </w:p>
        </w:tc>
        <w:tc>
          <w:tcPr>
            <w:tcW w:w="140" w:type="dxa"/>
            <w:vAlign w:val="bottom"/>
          </w:tcPr>
          <w:p>
            <w:pPr>
              <w:spacing w:after="0"/>
              <w:rPr>
                <w:sz w:val="17"/>
                <w:szCs w:val="17"/>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7"/>
                <w:szCs w:val="17"/>
                <w:color w:val="auto"/>
              </w:rPr>
            </w:pPr>
          </w:p>
        </w:tc>
        <w:tc>
          <w:tcPr>
            <w:tcW w:w="1340" w:type="dxa"/>
            <w:vAlign w:val="bottom"/>
          </w:tcPr>
          <w:p>
            <w:pPr>
              <w:jc w:val="right"/>
              <w:ind w:right="202"/>
              <w:spacing w:after="0" w:line="202"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2,431.5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2,655.9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2,657.6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34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4,067.4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4,520.5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4,463.6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2022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right="20" w:hanging="328"/>
        <w:spacing w:after="0" w:line="227" w:lineRule="auto"/>
        <w:tabs>
          <w:tab w:leader="none" w:pos="64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September 30, 2022, other revenues in Developed Markets, JANZ, and Emerging Markets were approximately $4.8 million, $0.3 million, and $5.7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which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For the current quarter, Viatris reported total revenues of $4.08 billion, compared to $4.54 billion for the comparable prior year period, representing a decrease of $458.4 million, or 10%. Total revenues include both net sales and other revenues from third parties. Net sales for the current quarter were $4.07 billion, compared to $4.52 billion for the comparable prior year period, representing a decrease of $453.1 million, or 10%. Other revenues for the current quarter were $10.8 million, compared to $16.1 million for the comparable prior year period.</w:t>
      </w:r>
    </w:p>
    <w:p>
      <w:pPr>
        <w:spacing w:after="0" w:line="17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decrease in net sales was primarily driven by the unfavorable impact of foreign currency translation of approximately $396.3 million, or 9%, primarily reflecting changes in the U.S. Dollar as compared to the currencies of subsidiaries in countries within the EU, Japan and India. On a constant currency basis, the decrease in net sales was approximately $56.8 million, or 1% for the three months ended September 30, 2022. This decrease was due to competition on certain key U.S. products representing a decline of approximately $21 million, and approximately $180 million as a result of other base business erosion. The decrease in net sales from existing products was partially offset by approximately $144.0 million of new product sales. New product sales include new products launched in 2022 and the carryover impact of new products, including business development, launched within the last twelve months.</w:t>
      </w:r>
    </w:p>
    <w:p>
      <w:pPr>
        <w:spacing w:after="0" w:line="222"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36% and 34% for the three months ended September 30, 2022 and 2021, respectively.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5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Net sales from Developed Markets decreased by $224.4 million or 8% during the three months ended September 30, 2022 when compared to the prior year period. This decrease was due primarily to the unfavorable impact of foreign currency translation of approximately $226.3 million, or 9%. Constant currency net sales increased by approximately $1.9 million, or essentially flat when compared to the prior year period. Net sales within North America totaled approximately $1.07 billion and net sales within Europe totaled approximately $1.36 billion. The increase in constant currency net sales was driven by new product sales, including lenalidomide, unbranded insulin glargine and Semglee® in the U.S., and various product launches in Europe. This increase was partially offset by lower volumes and, to a lesser extent, lower pricing on net sales of existing products within the U.S., including glatiramer acetate, Wixela Inhub®, Miacalcin® and Perforomist®, as a result of additional competition.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Net sales from Greater China increased by $7.2 million or 1% for the three months ended September 30, 2022 when compared to the prior year period. This increase was primarily the result of higher volumes on sales of existing products. The increase was partially offset by the unfavorable impact of foreign currency translation of approximately $27.3 million, or 5%. Constant currency net sales increased by approximately $34.5 million or 6% when compared to the prior year.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Net sales from JANZ decreased by $122.3 million or 24% for the three months ended September 30, 2022 when compared to the prior year period. This decrease was primarily the result of the unfavorable impact of foreign currency translation of approximately $61.8 million, or 12%. Constant currency net sales decreased by approximately $60.5 million, or 12% when compared to the prior year period. The decrease was primarily due to lower pricing on net sales of existing products in Japan as a result of government price reductions and additional competition, and lower volumes of existing products in Australia.</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Net sales from Emerging Markets decreased by $113.6 million or 14% for the three months ended September 30, 2022 when compared to the prior year period. This decrease was mainly the result of the unfavorable impact of foreign currency translation of approximately $80.9 million or 10%. Constant currency net sales decreased by approximately $32.7 million, or 4%. This decrease was driven by lower volumes of COVID-19 related products in India, primarily remdesivir and ambisome, and lower sales of ARV products as a result of competitive market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decreased from $2.96 billion for the three months ended September 30, 2021 to $2.33 billion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Cost of sales was primarily impacted by purchase accounting related amortization of the fair value of step-up of acquired inventory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$238.5 million in the comparable prior year period, and lower restructuring costs in the current period related to the 2020 restructuring program versus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comparable prior year period, which are described further in the section titled </w:t>
      </w:r>
      <w:r>
        <w:rPr>
          <w:rFonts w:ascii="Arial" w:cs="Arial" w:eastAsia="Arial" w:hAnsi="Arial"/>
          <w:sz w:val="18"/>
          <w:szCs w:val="18"/>
          <w:i w:val="1"/>
          <w:iCs w:val="1"/>
          <w:color w:val="auto"/>
        </w:rPr>
        <w:t>Use of Non-GAAP Financial Measures.</w:t>
      </w:r>
    </w:p>
    <w:p>
      <w:pPr>
        <w:spacing w:after="0" w:line="211"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Gross profit for the three months ended September 30, 2022 was $1.75 billion and gross margins were 43%. For the three months ended September 30, 2021, gross profit was $1.57 billion and gross margins were 35%. This change is primarily related to the decrease in cost of sales. Adjusted gross margins were 61% for the three months ended September 30, 2022, compared to 60% for the three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three months ended September 30, 2022 compared to the three months ended September 30, 2021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5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2,329.8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2,962.5</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color w:val="auto"/>
              </w:rPr>
              <w:t>Deduct:</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related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(626.7)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Acquisition related items</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related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1,608.9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1,813.3</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2,469.3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2,723.3</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
        </w:trPr>
        <w:tc>
          <w:tcPr>
            <w:tcW w:w="85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27" w:lineRule="auto"/>
        <w:tabs>
          <w:tab w:leader="none" w:pos="655"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jc w:val="both"/>
        <w:ind w:right="440" w:firstLine="648"/>
        <w:spacing w:after="0" w:line="308" w:lineRule="auto"/>
        <w:rPr>
          <w:sz w:val="20"/>
          <w:szCs w:val="20"/>
          <w:color w:val="auto"/>
        </w:rPr>
      </w:pPr>
      <w:r>
        <w:rPr>
          <w:rFonts w:ascii="Arial" w:cs="Arial" w:eastAsia="Arial" w:hAnsi="Arial"/>
          <w:sz w:val="17"/>
          <w:szCs w:val="17"/>
          <w:color w:val="auto"/>
        </w:rPr>
        <w:t>R&amp;D expense for the three months ended September 30, 2022 was $174.9 million, compared to $152.1 million for the comparable prior year period, an increase of $22.8 million. This increase was primarily due to higher costs for products under development.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SG&amp;A expense for the current quarter was $1.02 billion, compared to $1.06 billion for the comparable prior year period, a decrease of $37.7 million. The decrease was primarily due to lower restructuring costs of approximately $16.7 million related to the 2020 restructuring program and the impact of synergies. Partially offsetting these decreases were higher integration costs as a result of transitioning certain support services from Pfizer.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the (gains) losses recognized in litigation settlements and other contingencies, net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ind w:left="52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8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8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adjustment (primarily related to respiratory delivery platform)</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(4.5)</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0.6</w:t>
            </w: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8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(3.9)</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Interest expense for the three months ended September 30, 2022 totaled $153.2 million, compared to $151.9 million for the three months ended September 30, 2021, an increase of $1.3 million. The increase is primarily due to higher interest rates on variable rate debt, partially offset by the impact of debt repayments.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Other (income) expense, net includes losses from equity affiliates, foreign exchange gains and losses, expense (income) related to post-employment benefit plans and interest and dividend income. Other (income) expense, net for the three months ended September 30, 2022 totaled $20.6 million of income, compared to expense of $5.8 million for the three months ended September 30, 2021. The current quarter income was primarily driven by foreign exchange gains. In addition, the prior year period was negatively impacted due to losses from the Company’s clean energy investments, which did not recur in 2022 as all of the clean energy investments have wound down operations at the end 2021.</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the three months ended September 30, 2022, the Company recognized an income tax provision of $73.2 million, compared to an income tax benefit of $111.6 million for the comparable prior year period, a change of $184.8 million. A tax benefit was recorded for the three months ended September 30, 2021 as a result of the lower impacts of purchase accounting adjustments related to the Combination, combined with the estimated full year loss being reduced during the quarter. The income tax provision (benefit) for both periods was also impacted by the changing mix of income earned in jurisdictions with differing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2022 Currency</w:t>
            </w:r>
          </w:p>
        </w:tc>
        <w:tc>
          <w:tcPr>
            <w:tcW w:w="120" w:type="dxa"/>
            <w:vAlign w:val="bottom"/>
          </w:tcPr>
          <w:p>
            <w:pPr>
              <w:spacing w:after="0"/>
              <w:rPr>
                <w:sz w:val="11"/>
                <w:szCs w:val="11"/>
                <w:color w:val="auto"/>
              </w:rPr>
            </w:pPr>
          </w:p>
        </w:tc>
        <w:tc>
          <w:tcPr>
            <w:tcW w:w="1060" w:type="dxa"/>
            <w:vAlign w:val="bottom"/>
          </w:tcPr>
          <w:p>
            <w:pPr>
              <w:jc w:val="right"/>
              <w:ind w:right="75"/>
              <w:spacing w:after="0" w:line="133" w:lineRule="exact"/>
              <w:rPr>
                <w:sz w:val="20"/>
                <w:szCs w:val="20"/>
                <w:color w:val="auto"/>
              </w:rPr>
            </w:pPr>
            <w:r>
              <w:rPr>
                <w:rFonts w:ascii="Arial" w:cs="Arial" w:eastAsia="Arial" w:hAnsi="Arial"/>
                <w:sz w:val="14"/>
                <w:szCs w:val="14"/>
                <w:b w:val="1"/>
                <w:bCs w:val="1"/>
                <w:color w:val="auto"/>
                <w:w w:val="91"/>
              </w:rPr>
              <w:t>2022 Constant</w:t>
            </w:r>
          </w:p>
        </w:tc>
        <w:tc>
          <w:tcPr>
            <w:tcW w:w="100" w:type="dxa"/>
            <w:vAlign w:val="bottom"/>
          </w:tcPr>
          <w:p>
            <w:pPr>
              <w:spacing w:after="0"/>
              <w:rPr>
                <w:sz w:val="11"/>
                <w:szCs w:val="11"/>
                <w:color w:val="auto"/>
              </w:rPr>
            </w:pPr>
          </w:p>
        </w:tc>
        <w:tc>
          <w:tcPr>
            <w:tcW w:w="13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w w:val="96"/>
              </w:rPr>
              <w:t>Constant Currency</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15"/>
              <w:spacing w:after="0" w:line="14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line="202" w:lineRule="exact"/>
              <w:rPr>
                <w:sz w:val="20"/>
                <w:szCs w:val="20"/>
                <w:color w:val="auto"/>
              </w:rPr>
            </w:pPr>
            <w:r>
              <w:rPr>
                <w:rFonts w:ascii="Arial" w:cs="Arial" w:eastAsia="Arial" w:hAnsi="Arial"/>
                <w:sz w:val="14"/>
                <w:szCs w:val="14"/>
                <w:b w:val="1"/>
                <w:bCs w:val="1"/>
                <w:color w:val="auto"/>
                <w:w w:val="91"/>
              </w:rPr>
              <w:t xml:space="preserve">Impact </w:t>
            </w:r>
            <w:r>
              <w:rPr>
                <w:rFonts w:ascii="Arial" w:cs="Arial" w:eastAsia="Arial" w:hAnsi="Arial"/>
                <w:sz w:val="18"/>
                <w:szCs w:val="18"/>
                <w:b w:val="1"/>
                <w:bCs w:val="1"/>
                <w:color w:val="auto"/>
                <w:w w:val="91"/>
                <w:vertAlign w:val="superscript"/>
              </w:rPr>
              <w:t>(1)</w:t>
            </w:r>
          </w:p>
        </w:tc>
        <w:tc>
          <w:tcPr>
            <w:tcW w:w="120" w:type="dxa"/>
            <w:vAlign w:val="bottom"/>
          </w:tcPr>
          <w:p>
            <w:pPr>
              <w:spacing w:after="0"/>
              <w:rPr>
                <w:sz w:val="17"/>
                <w:szCs w:val="17"/>
                <w:color w:val="auto"/>
              </w:rPr>
            </w:pPr>
          </w:p>
        </w:tc>
        <w:tc>
          <w:tcPr>
            <w:tcW w:w="1060" w:type="dxa"/>
            <w:vAlign w:val="bottom"/>
          </w:tcPr>
          <w:p>
            <w:pPr>
              <w:jc w:val="right"/>
              <w:ind w:right="215"/>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7"/>
                <w:szCs w:val="17"/>
                <w:color w:val="auto"/>
              </w:rPr>
            </w:pPr>
          </w:p>
        </w:tc>
        <w:tc>
          <w:tcPr>
            <w:tcW w:w="1320" w:type="dxa"/>
            <w:vAlign w:val="bottom"/>
          </w:tcPr>
          <w:p>
            <w:pPr>
              <w:jc w:val="right"/>
              <w:ind w:right="182"/>
              <w:spacing w:after="0" w:line="202" w:lineRule="exact"/>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20"/>
              <w:spacing w:after="0"/>
              <w:rPr>
                <w:sz w:val="20"/>
                <w:szCs w:val="20"/>
                <w:color w:val="auto"/>
              </w:rPr>
            </w:pPr>
            <w:r>
              <w:rPr>
                <w:rFonts w:ascii="Arial" w:cs="Arial" w:eastAsia="Arial" w:hAnsi="Arial"/>
                <w:sz w:val="18"/>
                <w:szCs w:val="18"/>
                <w:color w:val="auto"/>
              </w:rPr>
              <w:t>Developed Markets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7,386.7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7,867.9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7,883.4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Greater China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3320" w:type="dxa"/>
            <w:vAlign w:val="bottom"/>
          </w:tcPr>
          <w:p>
            <w:pPr>
              <w:ind w:left="220"/>
              <w:spacing w:after="0"/>
              <w:rPr>
                <w:sz w:val="20"/>
                <w:szCs w:val="20"/>
                <w:color w:val="auto"/>
              </w:rPr>
            </w:pPr>
            <w:r>
              <w:rPr>
                <w:rFonts w:ascii="Arial" w:cs="Arial" w:eastAsia="Arial" w:hAnsi="Arial"/>
                <w:sz w:val="18"/>
                <w:szCs w:val="18"/>
                <w:color w:val="auto"/>
              </w:rPr>
              <w:t>JANZ</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1,488.2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1,398.4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12,351.0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13,482.3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13,223.2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revenues </w:t>
            </w:r>
            <w:r>
              <w:rPr>
                <w:rFonts w:ascii="Arial" w:cs="Arial" w:eastAsia="Arial" w:hAnsi="Arial"/>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13,544.7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13,261.1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83"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2022 constant currency net sales or revenues to the corresponding amount in the prior year.</w:t>
      </w:r>
    </w:p>
    <w:p>
      <w:pPr>
        <w:spacing w:after="0" w:line="41"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For the nine months ended September 30, 2022, other revenues in Developed Markets, JANZ, and Emerging Markets were approximately $15.9 million, $1.2 million, and $18.6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Amounts exclude intersegment revenue which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nine months ended September 30, 2022, Viatris reported total revenues of $12.39 billion, compared to $13.54 billion for the comparable prior year period, representing a decrease of $1.16 billion, or 9%. Total revenues include both net sales and other revenues from third parties. Net sales for the nine months ended September 30, 2022 were $12.35 billion, compared to $13.48 billion for the comparable prior year period, representing a decrease of $1.13 billion, or 8%. Other revenues for the nine months ended September 30, 2022 were $35.7 million, compared to $62.4 million for the comparable prior year period.</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decrease in net sales was primarily driven by the unfavorable impact of foreign currency translation of approximately $872.3 million, or 6%, primarily reflecting changes in the U.S. Dollar as compared to the currencies of subsidiaries in countries within the EU, Japan and India. On a constant currency basis, the decrease in net sales was approximately $259.0 million, or 2% for the nine months ended September 30, 2022. This decrease was due to competition on certain key U.S. products representing a decline of approximately $161 million, and approximately $447 million as a result of other base business erosion. The decrease in net sales from existing products was partially offset by approximately $349.9 million of new product sales. New product sales include new products launched in 2022 and the carryover impact of new products, including business development, launched within the last twelve months.</w:t>
      </w:r>
    </w:p>
    <w:p>
      <w:pPr>
        <w:spacing w:after="0" w:line="195"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34% and 33% for the nine months ended September 30, 2022 and 2021, respectively.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are derived from our four reporting segments: Developed Markets, Greater China, JANZ, and Emerging Markets.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Developed Markets Segment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Net sales from Developed Markets decreased by $481.2 million or 6% during the nine months ended September 30, 2022 when compared to the prior year period. This decrease was due primarily to the unfavorable impact of foreign currency translation of approximately $496.7 million, or 6%. Constant currency net sales increased by approximately $15.5 million, or essentially flat when compared to the prior year period. Net sales within North America totaled approximately $3.29 billion and net sales within Europe totaled approximately $4.10 billion. The increase in constant currency net sales was driven by new product sales, including lenalidomide, unbranded insulin glargine and Semglee® in the U.S., and higher volumes of existing products in Europe. This increase was partially offset by lower pricing and, to a lesser extent, lower volumes of existing products within the U.S., including Miacalcin® and Perforomist®, as a result of additional competition.</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Greater China Segment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Net sales from Greater China decreased by $13.6 million or 1% for the nine months ended September 30, 2022 when compared to the prior year period. This decrease was primarily the result of the unfavorable impact of foreign currency translation of approximately $24.6 million, or 1%. Constant currency net sales increased by approximately $11.0 million or 1% when compared to the prior year period. The increase in constant currency net sales was driven by lower rebates on net sales of existing products.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JANZ Segment</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Net sales from JANZ decreased by $254.3 million or 17% for the nine months ended September 30, 2022 when compared to the prior year period. This decrease was primarily the result of the unfavorable impact of foreign currency translation of approximately $164.6 million, or 11%. Constant currency net sales decreased by approximately $89.7 million, or 6% when compared to the prior year period. The decrease was primarily due to lower net sales of existing products mainly driven by lower pricing in Japan as a result of government price reductions and additional competition, and lower volumes of existing products in Australia. These decreases were partially offset by higher volumes of existing products in Japan, including for Celebrex®.</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Markets Segment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Net sales from Emerging Markets decreased by $382.2 million or 16% for the nine months ended September 30, 2022 when compared to the prior year period. This decrease was partially driven by lower volumes of COVID-19 related products in India, primarily remdesivir and ambisome, and lower sales of ARV products as a result of competitive market conditions. The decrease was further driven by the unfavorable impact of foreign currency translation of approximately $186.4 million, or 8%. These decreases were partially offset by higher volumes in certain markets in Asia. Constant currency net sales decreased by approximately $195.8 million, or 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sales decreased from $9.52 billion for the nine months ended September 30, 2021 to $7.16 billion for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Cost of sales was primarily impacted by purchase accounting related amortization of the fair value of step-up of acquired inventory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$1.19 billion in the comparable prior year period, lower restructuring costs in the current period related to the 2020 restructuring program versus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comparable prior year period, and lower costs associated with other special items, which are described further in the section titled </w:t>
      </w:r>
      <w:r>
        <w:rPr>
          <w:rFonts w:ascii="Arial" w:cs="Arial" w:eastAsia="Arial" w:hAnsi="Arial"/>
          <w:sz w:val="17"/>
          <w:szCs w:val="17"/>
          <w:i w:val="1"/>
          <w:iCs w:val="1"/>
          <w:color w:val="auto"/>
        </w:rPr>
        <w:t>Use of Non-GAAP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Measures.</w:t>
      </w:r>
    </w:p>
    <w:p>
      <w:pPr>
        <w:spacing w:after="0" w:line="211"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Gross profit for the nine months ended September 30, 2022 was $5.22 billion and gross margins were 42%. For the nine months ended September 30, 2021, gross profit was $4.03 billion and gross margins were 30%. This change is primarily related to the decrease in cost of sales. Adjusted gross margins were 60% for the nine months ended September 30, 2022, essentially flat when compared to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 reconciliation between cost of sales, as reported under U.S. GAAP, and adjusted cost of sales and adjusted gross margin for the nine months ended September 30, 2022 compared to the nine months ended September 30, 2021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 cost of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7,163.8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9,515.6</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Deduct: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accounting related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(1,930.4)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7"/>
              </w:rPr>
              <w:t>(3,344.7)</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Acquisition related items</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related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special items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Adjusted cost of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5,012.3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5,504.3</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7,374.4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8,040.4</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
        </w:trPr>
        <w:tc>
          <w:tcPr>
            <w:tcW w:w="84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27" w:lineRule="auto"/>
        <w:tabs>
          <w:tab w:leader="none" w:pos="655"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R&amp;D expense for the nine months ended September 30, 2022 was $479.8 million, compared to $483.9 million for the comparable prior year period, a decrease of $4.1 million. This decrease was primarily due to the impact of synergies.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SG&amp;A expense for the nine months ended September 30, 2022 was $2.91 billion, compared to $3.45 billion for the comparable prior year period, a decrease of $532.6 million. The decrease was due to lower restructuring costs of approximately $316.5 million related to the 2020 restructuring program and the impact of synergies. Partially offsetting these decreases were higher integration costs as a result of transitioning certain support services from Pfizer.</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includes the losses recognized in litigation settlements and other contingencies, net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September 30,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8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9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adjustment (primarily related to respiratory delivery platform)</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Litigation settlements, net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4.1</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13.2</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Interest expense for the nine months ended September 30, 2022 totaled $445.3 million, compared to $488.0 million for the nine months ended September 30, 2021, a decrease of $42.7 million. The decrease is primarily due to the impact of debt repayments.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Other (income) expense, net includes losses from equity affiliates, foreign exchange gains and losses, expense (income) related to post-employment benefit plans and interest and dividend income. Other (income) expense, net was expense of $26.6 million for the nine months ended September 30, 2022, compared to expense of $16.1 million for the comparable prior year period. The increase was primarily driven by higher foreign exchange costs. The increase was partially offset by lower losses from clean energy investments.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39" w:lineRule="exact"/>
        <w:rPr>
          <w:sz w:val="20"/>
          <w:szCs w:val="20"/>
          <w:color w:val="auto"/>
        </w:rPr>
      </w:pPr>
    </w:p>
    <w:p>
      <w:pPr>
        <w:ind w:firstLine="198"/>
        <w:spacing w:after="0" w:line="301" w:lineRule="auto"/>
        <w:rPr>
          <w:sz w:val="20"/>
          <w:szCs w:val="20"/>
          <w:color w:val="auto"/>
        </w:rPr>
      </w:pPr>
      <w:r>
        <w:rPr>
          <w:rFonts w:ascii="Arial" w:cs="Arial" w:eastAsia="Arial" w:hAnsi="Arial"/>
          <w:sz w:val="16"/>
          <w:szCs w:val="16"/>
          <w:color w:val="auto"/>
        </w:rPr>
        <w:t>For the nine months ended September 30, 2022, the Company recognized an income tax provision of $276.9 million, compared to $544.8 million for the comparable prior year period, a decrease of $267.9 million. The income tax provision for the nine months ended September 30, 2021 was negatively impacted by the tax rates applied to the reversal of intercompany profit in inventory reserve which was recorded on the opening balance sheet as part of the Combination. This reserve eliminates the profit in inventory related to intercompany transactions and changes to this reserve occur as products are sold to third parties. The income tax provision for both periods was also impacted by the changing mix of income earned in jurisdictions with differing rates.</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9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of Sales and Adjusted Gross Margin</w:t>
      </w:r>
    </w:p>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related amortization, which are described in greater detail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Adjusted net earnings is a non-GAAP financial measure and provides an alternative view of performance used by management. Management believes that, primarily due to acquisition activity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is therefore useful to investors and that their understanding of our performance is enhanced by this measure. Actual internal and forecasted operating results and annual budgets used by management include adjusted net earnings.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acquisition related and other special items to determine adjusted EBITDA. These adjustments are generally permitted under our credit agreement in calculating adjusted EBITDA for determining compliance with our debt covenants.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cost of sales, adjusted net earnings, and adjusted EBITDA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Accounting Amortization and Other Related Items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The ongoing impact of certain amounts recorded in connection with acquisitions of both businesses and assets is excluded from adjusted cost of sales, adjusted net earnings, and adjusted EBITDA. These amounts include the amortization of intangible assets, inventory step-up, property, plant and equipment step-up, and intangible asset impairment charges, including for in-process research and development. For the acquisition of businesses accounted for under the provisions of </w:t>
      </w:r>
      <w:r>
        <w:rPr>
          <w:rFonts w:ascii="Arial" w:cs="Arial" w:eastAsia="Arial" w:hAnsi="Arial"/>
          <w:sz w:val="18"/>
          <w:szCs w:val="18"/>
          <w:i w:val="1"/>
          <w:iCs w:val="1"/>
          <w:color w:val="auto"/>
        </w:rPr>
        <w:t>ASC 805, Business Combinations</w:t>
      </w:r>
      <w:r>
        <w:rPr>
          <w:rFonts w:ascii="Arial" w:cs="Arial" w:eastAsia="Arial" w:hAnsi="Arial"/>
          <w:sz w:val="18"/>
          <w:szCs w:val="18"/>
          <w:color w:val="auto"/>
        </w:rPr>
        <w:t>, these purchase accounting impacts are excluded regardless of the financing method used for the acquisitions, including the use of cash, long-term debt, the issuance of common stock, contingent consideration or any combination thereof.</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Upfront and Milestone-Related R&amp;D Expenses</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Beginning in 2022, upfront and milestone-related R&amp;D expenses related to collaboration and licensing arrangements are no longer excluded from adjusted net earnings and adjusted EBITDA. This change had no impact on the three and nine months ended September 30, 2022. For all prior periods presented, these expenses and payments were excluded from adjusted net earnings and adjusted EBITDA. Prior period adjusted net earnings and adjusted EBITDA have not been recast to reflect this change in policy because the excluded amount was expense of approximately $3.7 million and income of approximately $2.1 million for the three and nine months ended September 30, 2021, respectively, and is considered immaterial.</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Accretion of Contingent Consideration Liability and Other Fair Value Adjustments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impact of changes to the fair value of contingent consideration and accretion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Share-based compensation expense is excluded from adjusted cost of sales,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Acquisition Related and Other Special Items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Costs related to restructuring, acquisition and integration activities and other actions are excluded from adjusted cost of sales, adjusted net earnings and adjusted EBITDA, as applicable. These amounts include items such as:</w:t>
      </w:r>
    </w:p>
    <w:p>
      <w:pPr>
        <w:spacing w:after="0" w:line="62" w:lineRule="exact"/>
        <w:rPr>
          <w:sz w:val="20"/>
          <w:szCs w:val="20"/>
          <w:color w:val="auto"/>
        </w:rPr>
      </w:pPr>
    </w:p>
    <w:p>
      <w:pPr>
        <w:ind w:left="980" w:right="540" w:hanging="324"/>
        <w:spacing w:after="0" w:line="263"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21"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acquisition related remediation and integration and planning costs, as well as other costs associated with acquisitions such as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exit costs, and other business transformation and/or optimization initiatives, which are not part of a formal restructuring program, including employee separation and post-employment costs;</w:t>
      </w:r>
    </w:p>
    <w:p>
      <w:pPr>
        <w:spacing w:after="0" w:line="25"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pre-tax loss of the Company’s clean energy investments, whose activities qualify for income tax credits under the Code; only included in adjusted net earnings is the net tax effect of the entity’s activities;</w:t>
      </w:r>
    </w:p>
    <w:p>
      <w:pPr>
        <w:spacing w:after="0" w:line="8"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costs, incurred from time to time, related to certain special events or activities that lead to gains or losses, including, but not limited to, incremental manufacturing variances, asset write-downs, or liability adjustments;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enterprise resource planning systems, operations and supply chain;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980" w:right="300" w:hanging="324"/>
        <w:spacing w:after="0" w:line="263"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of changes related to uncertain tax positions and certain impacts related to the Combination are excluded from adjusted cost of sales, adjusted net earnings. In addition, tax adjustments to adjusted earnings are recorded to present items on an after-tax basis consistent with the presentation of adjusted net earnings.</w:t>
      </w:r>
    </w:p>
    <w:p>
      <w:pPr>
        <w:spacing w:after="0" w:line="184" w:lineRule="exact"/>
        <w:rPr>
          <w:sz w:val="20"/>
          <w:szCs w:val="20"/>
          <w:color w:val="auto"/>
        </w:rPr>
      </w:pPr>
    </w:p>
    <w:p>
      <w:pPr>
        <w:ind w:right="200" w:firstLine="648"/>
        <w:spacing w:after="0" w:line="340" w:lineRule="auto"/>
        <w:rPr>
          <w:sz w:val="20"/>
          <w:szCs w:val="20"/>
          <w:color w:val="auto"/>
        </w:rPr>
      </w:pPr>
      <w:r>
        <w:rPr>
          <w:rFonts w:ascii="Arial" w:cs="Arial" w:eastAsia="Arial" w:hAnsi="Arial"/>
          <w:sz w:val="15"/>
          <w:szCs w:val="15"/>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net earnings and adjusted EBITDA because it believes it is helpful to understanding the underlying, ongoing operational performance of the business.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Charges and gains related to legal matters, such as those discussed in Note 17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Part I, Item 1 of this Form 10-Q are generally excluded from adjusted net earnings and adjusted EBITDA. Normal, ongoing defense costs of the Company made in the normal course of our business are not excluded.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(Loss) to Adjusted Net Earnings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between net earnings (loss) as reported under U.S. GAAP, and adjusted net earnings for the periods shown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180" w:type="dxa"/>
            <w:vAlign w:val="bottom"/>
            <w:gridSpan w:val="6"/>
          </w:tcPr>
          <w:p>
            <w:pPr>
              <w:ind w:left="80"/>
              <w:spacing w:after="0"/>
              <w:rPr>
                <w:sz w:val="20"/>
                <w:szCs w:val="20"/>
                <w:color w:val="auto"/>
              </w:rPr>
            </w:pPr>
            <w:r>
              <w:rPr>
                <w:rFonts w:ascii="Arial" w:cs="Arial" w:eastAsia="Arial" w:hAnsi="Arial"/>
                <w:sz w:val="14"/>
                <w:szCs w:val="14"/>
                <w:b w:val="1"/>
                <w:bCs w:val="1"/>
                <w:color w:val="auto"/>
                <w:w w:val="96"/>
              </w:rPr>
              <w:t>Three Months Ended September</w:t>
            </w:r>
          </w:p>
        </w:tc>
        <w:tc>
          <w:tcPr>
            <w:tcW w:w="208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Nine Months Ended September</w:t>
            </w:r>
          </w:p>
        </w:tc>
      </w:t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r>
      <w:tr>
        <w:trPr>
          <w:trHeight w:val="19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earnings (loss)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Purchase accounting related amortization (primarily included in cost of sales)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3,344.7</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settlements and other contingencies, net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Interest expense (primarily amortization of premiums and discounts on long term debt)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Clean energy investments pre-tax loss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6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related costs (primarily included in SG&amp;A) </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149.7</w:t>
            </w:r>
          </w:p>
        </w:tc>
      </w:tr>
      <w:tr>
        <w:trPr>
          <w:trHeight w:val="229"/>
        </w:trPr>
        <w:tc>
          <w:tcPr>
            <w:tcW w:w="6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related costs </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special items included in:</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9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257.1</w:t>
            </w: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 of the above items and other income tax related items </w:t>
            </w:r>
            <w:r>
              <w:rPr>
                <w:rFonts w:ascii="Arial" w:cs="Arial" w:eastAsia="Arial" w:hAnsi="Arial"/>
                <w:sz w:val="23"/>
                <w:szCs w:val="23"/>
                <w:color w:val="auto"/>
                <w:vertAlign w:val="superscript"/>
              </w:rPr>
              <w:t>(d)</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earnings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2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Acquisition related costs consist primarily of transaction costs including legal and consulting fees and integration activities.</w:t>
      </w:r>
    </w:p>
    <w:p>
      <w:pPr>
        <w:spacing w:after="0" w:line="55" w:lineRule="exact"/>
        <w:rPr>
          <w:rFonts w:ascii="Arial" w:cs="Arial" w:eastAsia="Arial" w:hAnsi="Arial"/>
          <w:sz w:val="23"/>
          <w:szCs w:val="23"/>
          <w:color w:val="auto"/>
          <w:vertAlign w:val="superscript"/>
        </w:rPr>
      </w:pPr>
    </w:p>
    <w:p>
      <w:pPr>
        <w:jc w:val="both"/>
        <w:ind w:left="660" w:hanging="328"/>
        <w:spacing w:after="0" w:line="228" w:lineRule="auto"/>
        <w:tabs>
          <w:tab w:leader="none" w:pos="648"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 xml:space="preserve">For the three and nine months ended September 30, 2022, charges include approximately $8.6 million and $28.4 million, respectively, in cost of sales and approximately $6.4 million and $13.6 million, respectively, in SG&amp;A. Refer to Note 14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included in Part I, Item 1 of this Form 10-Q for additional information.</w:t>
      </w:r>
    </w:p>
    <w:p>
      <w:pPr>
        <w:spacing w:after="0" w:line="41" w:lineRule="exact"/>
        <w:rPr>
          <w:rFonts w:ascii="Arial" w:cs="Arial" w:eastAsia="Arial" w:hAnsi="Arial"/>
          <w:sz w:val="23"/>
          <w:szCs w:val="23"/>
          <w:color w:val="auto"/>
          <w:vertAlign w:val="superscript"/>
        </w:rPr>
      </w:pPr>
    </w:p>
    <w:p>
      <w:pPr>
        <w:ind w:left="660" w:right="20" w:hanging="328"/>
        <w:spacing w:after="0" w:line="227" w:lineRule="auto"/>
        <w:tabs>
          <w:tab w:leader="none" w:pos="655"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For the three and nine months ended September 30, 2022, charges include incremental manufacturing variances at plants in the 2020 restructuring program of approximately $42.3 million and $90.1 million, respectively.</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 and for certain impacts of the Combination.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U.S. GAAP Net Earnings (Loss) to EBITDA and Adjusted EBITDA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Below is a reconciliation of U.S. GAAP net earnings (loss) to EBITDA and adjusted EBITDA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compared to the prior year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6"/>
                <w:szCs w:val="16"/>
                <w:color w:val="auto"/>
              </w:rPr>
            </w:pPr>
          </w:p>
        </w:tc>
        <w:tc>
          <w:tcPr>
            <w:tcW w:w="234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
        </w:trPr>
        <w:tc>
          <w:tcPr>
            <w:tcW w:w="62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2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GAAP net earnings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Add / (deduct) adjustments: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contribution attributable to equity method investments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6260" w:type="dxa"/>
            <w:vAlign w:val="bottom"/>
          </w:tcPr>
          <w:p>
            <w:pPr>
              <w:ind w:left="220"/>
              <w:spacing w:after="0"/>
              <w:rPr>
                <w:sz w:val="20"/>
                <w:szCs w:val="20"/>
                <w:color w:val="auto"/>
              </w:rPr>
            </w:pPr>
            <w:r>
              <w:rPr>
                <w:rFonts w:ascii="Arial" w:cs="Arial" w:eastAsia="Arial" w:hAnsi="Arial"/>
                <w:sz w:val="18"/>
                <w:szCs w:val="18"/>
                <w:color w:val="auto"/>
              </w:rPr>
              <w:t>Income tax provision (benefit)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(111.6)</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(b)</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1,017.1</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3,756.7</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3,836.4</w:t>
            </w: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Add / (deduct) adjustments: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9"/>
        </w:trPr>
        <w:tc>
          <w:tcPr>
            <w:tcW w:w="6260" w:type="dxa"/>
            <w:vAlign w:val="bottom"/>
          </w:tcPr>
          <w:p>
            <w:pPr>
              <w:ind w:left="220"/>
              <w:spacing w:after="0"/>
              <w:rPr>
                <w:sz w:val="20"/>
                <w:szCs w:val="20"/>
                <w:color w:val="auto"/>
              </w:rPr>
            </w:pPr>
            <w:r>
              <w:rPr>
                <w:rFonts w:ascii="Arial" w:cs="Arial" w:eastAsia="Arial" w:hAnsi="Arial"/>
                <w:sz w:val="18"/>
                <w:szCs w:val="18"/>
                <w:color w:val="auto"/>
              </w:rPr>
              <w:t>Litigation settlements and other contingencies,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Restructuring, acquisition related and other special items </w:t>
            </w:r>
            <w:r>
              <w:rPr>
                <w:rFonts w:ascii="Arial" w:cs="Arial" w:eastAsia="Arial" w:hAnsi="Arial"/>
                <w:sz w:val="23"/>
                <w:szCs w:val="23"/>
                <w:color w:val="auto"/>
                <w:vertAlign w:val="superscript"/>
              </w:rPr>
              <w:t>(c)</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5,010.3</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80" w:hanging="248"/>
        <w:spacing w:after="0"/>
        <w:tabs>
          <w:tab w:leader="none" w:pos="58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premiums and discounts on long-term debt.</w:t>
      </w:r>
    </w:p>
    <w:p>
      <w:pPr>
        <w:spacing w:after="0" w:line="55"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Includes purchase accounting related amortization.</w:t>
      </w:r>
    </w:p>
    <w:p>
      <w:pPr>
        <w:spacing w:after="0" w:line="56" w:lineRule="exact"/>
        <w:rPr>
          <w:rFonts w:ascii="Arial" w:cs="Arial" w:eastAsia="Arial" w:hAnsi="Arial"/>
          <w:sz w:val="23"/>
          <w:szCs w:val="23"/>
          <w:color w:val="auto"/>
          <w:vertAlign w:val="superscript"/>
        </w:rPr>
      </w:pPr>
    </w:p>
    <w:p>
      <w:pPr>
        <w:ind w:left="580" w:hanging="248"/>
        <w:spacing w:after="0" w:line="194" w:lineRule="auto"/>
        <w:tabs>
          <w:tab w:leader="none" w:pos="58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See items detailed in the Reconciliation of U.S. GAAP Net Earnings (Loss) to Adjusted Net Earnings.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Our primary source of liquidity is net cash provided by operating activities, which was $2.81 billion for the nine months ended September 30, 2022. We believe that net cash provided by operating activities and available liquidity will continue to allow us to meet our needs for working capital, capital expenditures, interest and principal payments on debt obligations, and dividend payments. Nevertheless, our ability to satisfy our working capital requirements and debt service obligations, fund planned capital expenditures, or dividend payments, will substantially depend upon our future operating performance (which will be affected by prevailing economic conditions), and financial, business and other factors, some of which are beyond our control.</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Net cash provided by operating activities increased by $316.2 million to $2.81 billion for the nine months ended September 30, 2022, as compared to net cash provided by operating activities of $2.49 billion for the nine months ended September 30, 2021. Net cash provided by operating activities is derived from net earnings (loss)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16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increase in net cash provided by operating activities was principally due to lower payments for restructuring activities and other special items, and the impact of synergies, partially offset by the timing of cash payments and collections, including payments for litigation matters.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Net cash used in investing activities was $264.0 million for the nine months ended September 30, 2022, as compared to net cash provided by investing activities of $101.3 million for the nine months ended September 30, 2021, a net increase of $365.3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2022, significant items in investing activities included the following:</w:t>
      </w:r>
    </w:p>
    <w:p>
      <w:pPr>
        <w:spacing w:after="0" w:line="121" w:lineRule="exact"/>
        <w:rPr>
          <w:sz w:val="20"/>
          <w:szCs w:val="20"/>
          <w:color w:val="auto"/>
        </w:rPr>
      </w:pPr>
    </w:p>
    <w:p>
      <w:pPr>
        <w:ind w:left="980" w:right="180" w:hanging="324"/>
        <w:spacing w:after="0" w:line="263"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$252.3 million. While there can be no assurance that current expectations will be realized, capital expenditures for the 2022 calendar year are expected to be approximately $425 million to $575 million.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investing activities included the following:</w:t>
      </w:r>
    </w:p>
    <w:p>
      <w:pPr>
        <w:spacing w:after="0" w:line="121" w:lineRule="exact"/>
        <w:rPr>
          <w:sz w:val="20"/>
          <w:szCs w:val="20"/>
          <w:color w:val="auto"/>
        </w:rPr>
      </w:pPr>
    </w:p>
    <w:p>
      <w:pPr>
        <w:ind w:left="980" w:right="40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received from acquisitions, net totaling approximately $277.0 million related to additional target cash balances received from Pfizer subsequent to the closing of the Combination;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proceeds from sale of assets of $96.5 million, primarily related to a group of OTC products in the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$259.8 million; and</w:t>
      </w:r>
    </w:p>
    <w:p>
      <w:pPr>
        <w:spacing w:after="0" w:line="11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payments for product rights and other, net totaling approximately $28.2 million, primarily related to the acquisition of intellectual property rights and marketing authorizations.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Net cash used in financing activities was $2.55 billion for the nine months ended September 30, 2022, as compared to $2.66 billion for the nine months ended September 30, 2021, a decrease of $115.5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2022, significant items in financing activities included the following:</w:t>
      </w:r>
    </w:p>
    <w:p>
      <w:pPr>
        <w:spacing w:after="0" w:line="121" w:lineRule="exact"/>
        <w:rPr>
          <w:sz w:val="20"/>
          <w:szCs w:val="20"/>
          <w:color w:val="auto"/>
        </w:rPr>
      </w:pPr>
    </w:p>
    <w:p>
      <w:pPr>
        <w:ind w:left="980" w:right="24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repayments of Senior Notes at maturity of approximately $1.79 billion, consisting of the 0.816% Euro Senior Notes and the 1.125% Senior Notes;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Revolving Facility borrowings of $700.0 million (borrowings of $1.875 billion net of repayments of $1.175 billion);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repayments of short-term borrowings of $992.8 million;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dividends paid of $436.1 million.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2021, significant items in financing activities included the following:</w:t>
      </w:r>
    </w:p>
    <w:p>
      <w:pPr>
        <w:spacing w:after="0" w:line="121" w:lineRule="exact"/>
        <w:rPr>
          <w:sz w:val="20"/>
          <w:szCs w:val="20"/>
          <w:color w:val="auto"/>
        </w:rPr>
      </w:pPr>
    </w:p>
    <w:p>
      <w:pPr>
        <w:ind w:left="980" w:right="20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long-term debt payments of $4.20 billion, consisting of the redemption of $2.25 billion of the 3.150% Senior Notes due 2021, repayment of $1.35 billion of borrowings under the Revolving Facility, and repayment of $600.0 million of the USD Term Loan;</w:t>
      </w:r>
    </w:p>
    <w:p>
      <w:pPr>
        <w:spacing w:after="0" w:line="62" w:lineRule="exact"/>
        <w:rPr>
          <w:rFonts w:ascii="Arial" w:cs="Arial" w:eastAsia="Arial" w:hAnsi="Arial"/>
          <w:sz w:val="18"/>
          <w:szCs w:val="18"/>
          <w:color w:val="auto"/>
        </w:rPr>
      </w:pPr>
    </w:p>
    <w:p>
      <w:pPr>
        <w:ind w:left="980" w:right="42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long-term borrowings of $1.71 billion, consisting of borrowings of $1.35 billion under the Revolving Facility, and borrowings of $360.0 million under the YEN Term Loan;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short-term borrowings of $606.1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dividends paid of $266.0 million;</w:t>
      </w:r>
    </w:p>
    <w:p>
      <w:pPr>
        <w:spacing w:after="0" w:line="117"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deferred non-contingent payments for product rights totaling approximately $456.0 million primarily related to the acquisition of Aspen’s thrombosis product portfolio in Europe;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milestone payments totaling approximately $28.6 million related to the respiratory delivery platform contingent consideration.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cash and cash equivalents totaled $646.7 million at September 30, 2022, and the majority of these funds are held by our non-U.S. subsidiaries. The Company anticipates having sufficient liquidity, including existing borrowing capacity under the Revolving Facility, Commercial Paper Program and the Receivables Facility and the Note Securitization Facility combined with cash to be generated from operations, to fund foreseeable cash needs without requiring the repatriation of non-U.S. cash.</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Company has access to $4.0 billion under the Revolving Facility which matures in July 2026. Up to $1.65 billion of the Revolving Facility may be used to support borrowings under our Commercial Paper Program. As of September 30, 2022, the Company had $300.4 million outstanding under the Commercial Paper Program and had borrowings outstanding of $700.0 million under the Revolving Facility.</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the Revolving Facility, MPI, a wholly owned subsidiary of the Company, has access to $400 million under the Receivables Facility. On April 22, 2022, the Company entered into an agreement to extend the expiration date of the Receivables Facility to April 22, 2025. As of September 30, 2022, the Company did not have any borrowings outstanding under the Receivables Facility.</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August 2020, the Company entered into the Note Securitization Facility for borrowings up to $200 million, which was amended on August 26, 2022 to extend the term to August 29, 2023. As of September 30, 2022, the Company had borrowings of $200.0 million outstanding under the Note Securitization Facility.</w:t>
      </w:r>
    </w:p>
    <w:p>
      <w:pPr>
        <w:spacing w:after="0" w:line="184"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 plus 0.775% and under the Note Securitization Facility at the relevant base rate plus 0.85% and are included as a component of short-term borrowings, while the accounts receivable securing these obligations remain as a component of accounts receivable, net, in our condensed consolidated balance sheets. In addition, the agreements governing the Receivables Facility and Note Securitization Facility contain various customary affirmative and negative covenants, and customary default and termination provisions.</w:t>
      </w:r>
    </w:p>
    <w:p>
      <w:pPr>
        <w:spacing w:after="0" w:line="17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$42.1 million and $29.6 million of accounts receivable as of September 30, 2022 and December 31, 2021 under these factoring arrangements,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For information regarding our dividends paid and declared, refer to Note 8 </w:t>
      </w:r>
      <w:r>
        <w:rPr>
          <w:rFonts w:ascii="Arial" w:cs="Arial" w:eastAsia="Arial" w:hAnsi="Arial"/>
          <w:sz w:val="17"/>
          <w:szCs w:val="17"/>
          <w:i w:val="1"/>
          <w:iCs w:val="1"/>
          <w:color w:val="auto"/>
        </w:rPr>
        <w:t>Earnings (Loss) per Share</w:t>
      </w:r>
      <w:r>
        <w:rPr>
          <w:rFonts w:ascii="Arial" w:cs="Arial" w:eastAsia="Arial" w:hAnsi="Arial"/>
          <w:sz w:val="17"/>
          <w:szCs w:val="17"/>
          <w:color w:val="auto"/>
        </w:rPr>
        <w:t xml:space="preserve"> in Part I, Item 1 of this Form 10-Q.</w:t>
      </w:r>
    </w:p>
    <w:p>
      <w:pPr>
        <w:spacing w:after="0" w:line="23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create, enhance or otherwise unlock the value of the Company’s unique global platform in order to create shareholder value.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Long-term Debt Maturity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For information regarding our debt agreements and mandatory minimum repayments remaining on the outstanding notional amount of long-term debt at September 30, 2022, refer to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Part I, Item 1 of this Form 10-Q.</w:t>
      </w:r>
    </w:p>
    <w:p>
      <w:pPr>
        <w:spacing w:after="0" w:line="170"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YEN Term Loan Facility and the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in compliance with its covenants at September 30, 2022 and expects to remain in compliance for the next twelve months.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Viatris Inc. is the issuer of the Registered Upjohn Notes, which are fully and unconditionally guaranteed on a senior unsecured basis by Mylan Inc., Mylan II B.V. and Utah Acquisition Sub Inc.</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Following the Combination, Utah Acquisition Sub Inc. is the issuer of the Utah U.S. Dollar Notes, which are fully and unconditionally guaranteed on a senior unsecured basis by Mylan Inc., Viatris Inc. and Mylan II B.V.</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Mylan Inc. is the issuer of the Mylan Inc. U.S. Dollar Notes, which are fully and unconditionally guaranteed on a senior unsecured basis by Mylan II B.V., Viatris Inc. and Utah Acquisition Sub Inc.</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21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 presents unaudited summarized financial information of Viatris Inc., Mylan Inc., Utah Acquisition Sub Inc., and Mylan II B.V. on a combined basis as of and for the nine months ended September 30, 2022 and as of and for the year ended December 31, 2021. All intercompany balances have been eliminated in consolidation. This unaudited combined summarized financial information is presented utilizing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6"/>
          </w:tcPr>
          <w:p>
            <w:pPr>
              <w:jc w:val="center"/>
              <w:ind w:right="12"/>
              <w:spacing w:after="0"/>
              <w:rPr>
                <w:sz w:val="20"/>
                <w:szCs w:val="20"/>
                <w:color w:val="auto"/>
              </w:rPr>
            </w:pPr>
            <w:r>
              <w:rPr>
                <w:rFonts w:ascii="Arial" w:cs="Arial" w:eastAsia="Arial" w:hAnsi="Arial"/>
                <w:sz w:val="14"/>
                <w:szCs w:val="14"/>
                <w:b w:val="1"/>
                <w:bCs w:val="1"/>
                <w:color w:val="auto"/>
                <w:w w:val="93"/>
              </w:rPr>
              <w:t>Combined Summarized Balance Sheet Information of</w:t>
            </w:r>
          </w:p>
        </w:tc>
        <w:tc>
          <w:tcPr>
            <w:tcW w:w="0" w:type="dxa"/>
            <w:vAlign w:val="bottom"/>
          </w:tcPr>
          <w:p>
            <w:pPr>
              <w:spacing w:after="0"/>
              <w:rPr>
                <w:sz w:val="1"/>
                <w:szCs w:val="1"/>
                <w:color w:val="auto"/>
              </w:rPr>
            </w:pPr>
          </w:p>
        </w:tc>
      </w:tr>
      <w:tr>
        <w:trPr>
          <w:trHeight w:val="175"/>
        </w:trPr>
        <w:tc>
          <w:tcPr>
            <w:tcW w:w="7720" w:type="dxa"/>
            <w:vAlign w:val="bottom"/>
          </w:tcPr>
          <w:p>
            <w:pPr>
              <w:spacing w:after="0"/>
              <w:rPr>
                <w:sz w:val="15"/>
                <w:szCs w:val="15"/>
                <w:color w:val="auto"/>
              </w:rPr>
            </w:pPr>
          </w:p>
        </w:tc>
        <w:tc>
          <w:tcPr>
            <w:tcW w:w="35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5"/>
              </w:rPr>
              <w:t>Viatris Inc., Mylan Inc., Utah Acquisition Sub Inc. and</w:t>
            </w: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jc w:val="center"/>
              <w:ind w:left="898"/>
              <w:spacing w:after="0"/>
              <w:rPr>
                <w:sz w:val="20"/>
                <w:szCs w:val="20"/>
                <w:color w:val="auto"/>
              </w:rPr>
            </w:pPr>
            <w:r>
              <w:rPr>
                <w:rFonts w:ascii="Arial" w:cs="Arial" w:eastAsia="Arial" w:hAnsi="Arial"/>
                <w:sz w:val="14"/>
                <w:szCs w:val="14"/>
                <w:b w:val="1"/>
                <w:bCs w:val="1"/>
                <w:color w:val="auto"/>
              </w:rPr>
              <w:t>Mylan II B.V.</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59,870.7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60,298.0</w:t>
            </w:r>
          </w:p>
        </w:tc>
        <w:tc>
          <w:tcPr>
            <w:tcW w:w="0" w:type="dxa"/>
            <w:vAlign w:val="bottom"/>
          </w:tcPr>
          <w:p>
            <w:pPr>
              <w:spacing w:after="0"/>
              <w:rPr>
                <w:sz w:val="1"/>
                <w:szCs w:val="1"/>
                <w:color w:val="auto"/>
              </w:rPr>
            </w:pPr>
          </w:p>
        </w:tc>
      </w:tr>
      <w:tr>
        <w:trPr>
          <w:trHeight w:val="270"/>
        </w:trPr>
        <w:tc>
          <w:tcPr>
            <w:tcW w:w="7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23,619.9</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16,025.0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16,465.6</w:t>
            </w:r>
          </w:p>
        </w:tc>
        <w:tc>
          <w:tcPr>
            <w:tcW w:w="0" w:type="dxa"/>
            <w:vAlign w:val="bottom"/>
          </w:tcPr>
          <w:p>
            <w:pPr>
              <w:spacing w:after="0"/>
              <w:rPr>
                <w:sz w:val="1"/>
                <w:szCs w:val="1"/>
                <w:color w:val="auto"/>
              </w:rPr>
            </w:pPr>
          </w:p>
        </w:tc>
      </w:tr>
      <w:tr>
        <w:trPr>
          <w:trHeight w:val="287"/>
        </w:trPr>
        <w:tc>
          <w:tcPr>
            <w:tcW w:w="7720" w:type="dxa"/>
            <w:vAlign w:val="bottom"/>
          </w:tcPr>
          <w:p>
            <w:pPr>
              <w:spacing w:after="0"/>
              <w:rPr>
                <w:sz w:val="24"/>
                <w:szCs w:val="24"/>
                <w:color w:val="auto"/>
              </w:rPr>
            </w:pPr>
          </w:p>
        </w:tc>
        <w:tc>
          <w:tcPr>
            <w:tcW w:w="35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Combined Summarized Income Statement Information</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6"/>
          </w:tcPr>
          <w:p>
            <w:pPr>
              <w:jc w:val="center"/>
              <w:ind w:right="12"/>
              <w:spacing w:after="0"/>
              <w:rPr>
                <w:sz w:val="20"/>
                <w:szCs w:val="20"/>
                <w:color w:val="auto"/>
              </w:rPr>
            </w:pPr>
            <w:r>
              <w:rPr>
                <w:rFonts w:ascii="Arial" w:cs="Arial" w:eastAsia="Arial" w:hAnsi="Arial"/>
                <w:sz w:val="14"/>
                <w:szCs w:val="14"/>
                <w:b w:val="1"/>
                <w:bCs w:val="1"/>
                <w:color w:val="auto"/>
                <w:w w:val="95"/>
              </w:rPr>
              <w:t>of Viatris Inc., Mylan Inc., Utah Acquisition Sub Inc.</w:t>
            </w: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jc w:val="center"/>
              <w:ind w:left="918"/>
              <w:spacing w:after="0"/>
              <w:rPr>
                <w:sz w:val="20"/>
                <w:szCs w:val="20"/>
                <w:color w:val="auto"/>
              </w:rPr>
            </w:pPr>
            <w:r>
              <w:rPr>
                <w:rFonts w:ascii="Arial" w:cs="Arial" w:eastAsia="Arial" w:hAnsi="Arial"/>
                <w:sz w:val="14"/>
                <w:szCs w:val="14"/>
                <w:b w:val="1"/>
                <w:bCs w:val="1"/>
                <w:color w:val="auto"/>
                <w:w w:val="98"/>
              </w:rPr>
              <w:t>and Mylan II B.V.</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7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77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1"/>
                <w:szCs w:val="11"/>
                <w:color w:val="auto"/>
              </w:rPr>
            </w:pPr>
          </w:p>
        </w:tc>
        <w:tc>
          <w:tcPr>
            <w:tcW w:w="1700" w:type="dxa"/>
            <w:vAlign w:val="bottom"/>
            <w:gridSpan w:val="3"/>
          </w:tcPr>
          <w:p>
            <w:pPr>
              <w:ind w:left="140"/>
              <w:spacing w:after="0" w:line="129" w:lineRule="exact"/>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1"/>
                <w:szCs w:val="11"/>
                <w:color w:val="auto"/>
              </w:rPr>
            </w:pPr>
          </w:p>
        </w:tc>
        <w:tc>
          <w:tcPr>
            <w:tcW w:w="1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center"/>
              <w:ind w:right="49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ind w:right="38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(796.2)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$290 million accrued for legal contingencies at September 30, 2022.</w:t>
      </w:r>
    </w:p>
    <w:p>
      <w:pPr>
        <w:spacing w:after="0" w:line="18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5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conjunction with the Combination, Viatris entered into a TSA with Pfizer pursuant to which each party will provide certain limited transition services to the other party generally for an initial period of 24 months from the closing date of the Combination. In addition to the monthly service fees under the TSA, Viatris agreed to reimburse Pfizer for fifty percent of the costs, up to the first $380 million incurred, to establish and wind down the TSA services. Viatris will be required to fully reimburse Pfizer for total costs in excess of $380 million. During the three and nine months ended September 30, 2022, the Company incurred approximately $8.9 million and $35.0 million, respectively, related to this provision of the TSA and approximately $118.5 million during the period beginning on the closing date of the Combination and ended September 30, 2022.</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Application of Critical Accounting Policies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There have been no changes to the Critical Accounting Policies disclosed in Viatris’ 2021 Form 10-K. The following discussion supplements our Critical Accounting Policy for Acquisitions, Intangible Assets, Goodwill and Contingent Consideration as it relates to the interim and annual goodwill impairment test performed as of March 31, 2022 and April 1, 2022,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both income and market-based approaches.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9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March 31, 2022 and April 1, 2022, the allocation of the Company’s total goodwill (prior to the reclassification of goodwill to assets held for sale) was as follows: North America $3.61 billion, Europe $4.95 billion, Emerging Markets $1.64 billion, JANZ $0.78 billion and Greater China $0.97 billion.</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March 31, 2022 and April 1, 2022, the Company determined that the fair value of the North America and Greater China reporting units was substantially in excess of the respective unit’s carrying value.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Europe reporting unit, the estimated fair value exceeded its carrying value by approximately $797 million or 5.3% for both the interim and annual goodwill impairment tests. As it relates to the income approach for the Europe reporting unit at March 31, 2022 and April 1, 2022, the Company forecasted cash flows for the next 10 years. During the forecast period, the revenue compound annual growth rate was approximately 0.5%. A terminal year value was calculated with a negative 1.0% revenue growth rate applied. The discount rate utilized was 9.5% and the estimated tax rate was 15.3%. Under the market-based approach, we utilized an estimated range of market multiples of 7.5 to 8.0 times EBITDA plus a control premium of 15.0%. If all other assumptions are held constant, a reduction in the terminal value growth rate by 3.0% or an increase in discount rate by 1.5% would result in an impairment charge for the Europe reporting unit.</w:t>
      </w:r>
    </w:p>
    <w:p>
      <w:pPr>
        <w:spacing w:after="0" w:line="22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For the JANZ reporting unit, the estimated fair value exceeded its carrying value by approximately $231 million or 7.4% for both the interim and annual goodwill impairment tests. As it relates to the income approach for the JANZ reporting unit at March 31, 2022 and April 1, 2022, the Company forecasted cash flows for the next 10 years. During the forecast period, the revenue compound annual growth rate was approximately negative 4.8%. A terminal year value was calculated assuming no revenue growth. The discount rate utilized was 6.0% and the estimated tax rate was 30.4%. Under the market-based approach, we utilized an estimated market multiple of 6.0 times EBITDA plus a control premium of 15.0%. If all other assumptions are held constant, a reduction in the terminal value growth rate by 3.5% or an increase in discount rate by 2.0% would result in an impairment charge for the JANZ reporting unit.</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the Emerging Markets reporting unit, the estimated fair value exceeded its carrying value by approximately $816 million or 10.3% for both the interim and annual goodwill impairment tests. As it relates to the income approach for the Emerging Markets reporting unit at March 31, 2022 and April 1, 2022, the Company forecasted cash flows for the next 10 years. During the forecast period, the revenue compound annual growth rate was approximately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1.6%. A terminal year value was calculated with a 0.8% revenue growth rate applied. The discount rate utilized was 10.5% and the estimated tax rate was 18.4%. Under the market-based approach, we utilized an estimated market multiple of 7.5 times EBITDA plus a control premium of 15.0%. If all other assumptions are held constant, a reduction in the terminal value growth rate by approximately 8.5% or an increase in discount rate by 3.0% would result in an impairment charge for the Emerging Markets reporting unit.</w:t>
      </w:r>
    </w:p>
    <w:p>
      <w:pPr>
        <w:spacing w:after="0" w:line="19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pacing w:after="0" w:line="200" w:lineRule="exact"/>
        <w:rPr>
          <w:sz w:val="20"/>
          <w:szCs w:val="20"/>
          <w:color w:val="auto"/>
        </w:rPr>
      </w:pPr>
    </w:p>
    <w:p>
      <w:pPr>
        <w:spacing w:after="0" w:line="3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For a discussion of the Company’s market risk, see “Item 7A. Quantitative and Qualitative Disclosures about Market Risk” in Viatris’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September 30, 2022.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Management identified the following change in the Company’s internal control over financial reporting (“ICFR”) that occurred during the quarter that has materially affected, or is reasonably likely to materially affect, the Company’s ICFR. During the quarter ended September 30, 2022, the Company continued to transition certain support services from Pfizer, as well as certain subsidiaries, to a new ERP system. The Company has modified and will continue to modify its internal controls relating to its business and financial processes throughout the transition period, which is expected through the end of calendar year 2022. While the Company believes that this new system and the related changes to internal controls will ultimately strengthen its ICFR, there are inherent risks in implementing any new ERP system and the Company will continue to evaluate and test control changes in order to provide certification as of its fiscal year ending December 31, 2022 on the effectiveness of its ICFR.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information regarding legal proceedings, refer to Note 17 </w:t>
      </w:r>
      <w:r>
        <w:rPr>
          <w:rFonts w:ascii="Arial" w:cs="Arial" w:eastAsia="Arial" w:hAnsi="Arial"/>
          <w:sz w:val="16"/>
          <w:szCs w:val="16"/>
          <w:i w:val="1"/>
          <w:iCs w:val="1"/>
          <w:color w:val="auto"/>
        </w:rPr>
        <w:t>Litigation</w:t>
      </w:r>
      <w:r>
        <w:rPr>
          <w:rFonts w:ascii="Arial" w:cs="Arial" w:eastAsia="Arial" w:hAnsi="Arial"/>
          <w:sz w:val="16"/>
          <w:szCs w:val="16"/>
          <w:color w:val="auto"/>
        </w:rPr>
        <w:t>, in the accompanying Notes to interim financial statements in this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5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Company’s risk factors from those disclosed in Viatris’ 2021 Form 10-K.</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0" w:type="dxa"/>
            <w:vAlign w:val="bottom"/>
          </w:tcPr>
          <w:p>
            <w:pPr>
              <w:ind w:left="780"/>
              <w:spacing w:after="0"/>
              <w:rPr>
                <w:sz w:val="20"/>
                <w:szCs w:val="20"/>
                <w:color w:val="auto"/>
              </w:rPr>
            </w:pPr>
            <w:r>
              <w:rPr>
                <w:rFonts w:ascii="Arial" w:cs="Arial" w:eastAsia="Arial" w:hAnsi="Arial"/>
                <w:sz w:val="18"/>
                <w:szCs w:val="18"/>
                <w:color w:val="auto"/>
                <w:w w:val="90"/>
              </w:rPr>
              <w:t>List of subsidiary guarantors and issuers of guaranteed securities, filed as Exhibit 22 to the Form 10-Q for the quarter ended June 30, 2022,</w:t>
            </w:r>
          </w:p>
        </w:tc>
      </w:tr>
      <w:tr>
        <w:trPr>
          <w:trHeight w:val="203"/>
        </w:trPr>
        <w:tc>
          <w:tcPr>
            <w:tcW w:w="180" w:type="dxa"/>
            <w:vAlign w:val="bottom"/>
            <w:tcBorders>
              <w:bottom w:val="single" w:sz="8" w:color="0000FF"/>
            </w:tcBorders>
          </w:tcPr>
          <w:p>
            <w:pPr>
              <w:spacing w:after="0" w:line="202" w:lineRule="exact"/>
              <w:rPr>
                <w:rFonts w:ascii="Arial" w:cs="Arial" w:eastAsia="Arial" w:hAnsi="Arial"/>
                <w:sz w:val="18"/>
                <w:szCs w:val="18"/>
                <w:color w:val="0000FF"/>
                <w:w w:val="79"/>
              </w:rPr>
            </w:pPr>
            <w:hyperlink r:id="rId121">
              <w:r>
                <w:rPr>
                  <w:rFonts w:ascii="Arial" w:cs="Arial" w:eastAsia="Arial" w:hAnsi="Arial"/>
                  <w:sz w:val="18"/>
                  <w:szCs w:val="18"/>
                  <w:color w:val="0000FF"/>
                  <w:w w:val="79"/>
                </w:rPr>
                <w:t>22</w:t>
              </w:r>
            </w:hyperlink>
          </w:p>
        </w:tc>
        <w:tc>
          <w:tcPr>
            <w:tcW w:w="140" w:type="dxa"/>
            <w:vAlign w:val="bottom"/>
          </w:tcPr>
          <w:p>
            <w:pPr>
              <w:spacing w:after="0"/>
              <w:rPr>
                <w:sz w:val="17"/>
                <w:szCs w:val="17"/>
                <w:color w:val="auto"/>
              </w:rPr>
            </w:pPr>
          </w:p>
        </w:tc>
        <w:tc>
          <w:tcPr>
            <w:tcW w:w="10800" w:type="dxa"/>
            <w:vAlign w:val="bottom"/>
          </w:tcPr>
          <w:p>
            <w:pPr>
              <w:ind w:left="780"/>
              <w:spacing w:after="0" w:line="202" w:lineRule="exact"/>
              <w:rPr>
                <w:sz w:val="20"/>
                <w:szCs w:val="20"/>
                <w:color w:val="auto"/>
              </w:rPr>
            </w:pPr>
            <w:r>
              <w:rPr>
                <w:rFonts w:ascii="Arial" w:cs="Arial" w:eastAsia="Arial" w:hAnsi="Arial"/>
                <w:sz w:val="18"/>
                <w:szCs w:val="18"/>
                <w:color w:val="auto"/>
              </w:rPr>
              <w:t>and incorporated herein by reference.</w:t>
            </w:r>
          </w:p>
        </w:tc>
      </w:tr>
      <w:tr>
        <w:trPr>
          <w:trHeight w:val="426"/>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0800" w:type="dxa"/>
            <w:vAlign w:val="bottom"/>
          </w:tcPr>
          <w:p>
            <w:pPr>
              <w:ind w:left="7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425"/>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10800" w:type="dxa"/>
            <w:vAlign w:val="bottom"/>
          </w:tcPr>
          <w:p>
            <w:pPr>
              <w:ind w:left="7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bl>
    <w:p>
      <w:pPr>
        <w:spacing w:after="0" w:line="242" w:lineRule="exact"/>
        <w:rPr>
          <w:sz w:val="20"/>
          <w:szCs w:val="20"/>
          <w:color w:val="auto"/>
        </w:rPr>
      </w:pPr>
    </w:p>
    <w:p>
      <w:pPr>
        <w:ind w:left="1120" w:hanging="1094"/>
        <w:spacing w:after="0"/>
        <w:tabs>
          <w:tab w:leader="none" w:pos="1120" w:val="left"/>
        </w:tabs>
        <w:numPr>
          <w:ilvl w:val="0"/>
          <w:numId w:val="50"/>
        </w:numPr>
        <w:rPr>
          <w:rFonts w:ascii="Arial" w:cs="Arial" w:eastAsia="Arial" w:hAnsi="Arial"/>
          <w:sz w:val="17"/>
          <w:szCs w:val="17"/>
          <w:u w:val="single" w:color="auto"/>
          <w:color w:val="0000FF"/>
        </w:rPr>
      </w:pPr>
      <w:r>
        <w:rPr>
          <w:rFonts w:ascii="Arial" w:cs="Arial" w:eastAsia="Arial" w:hAnsi="Arial"/>
          <w:sz w:val="17"/>
          <w:szCs w:val="17"/>
          <w:color w:val="auto"/>
        </w:rPr>
        <w:t>Certification of Principal Executive Officer and Principal Financial Officer pursuant to Section 906 of the Sarbanes-Oxley Act of 2002.</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Schema</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360" w:type="dxa"/>
            <w:vAlign w:val="bottom"/>
          </w:tcPr>
          <w:p>
            <w:pPr>
              <w:ind w:left="2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Definition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36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w:t>
            </w:r>
          </w:p>
        </w:tc>
      </w:tr>
      <w:tr>
        <w:trPr>
          <w:trHeight w:val="44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360" w:type="dxa"/>
            <w:vAlign w:val="bottom"/>
          </w:tcPr>
          <w:p>
            <w:pPr>
              <w:ind w:left="200"/>
              <w:spacing w:after="0"/>
              <w:rPr>
                <w:sz w:val="20"/>
                <w:szCs w:val="20"/>
                <w:color w:val="auto"/>
              </w:rPr>
            </w:pPr>
            <w:r>
              <w:rPr>
                <w:rFonts w:ascii="Arial" w:cs="Arial" w:eastAsia="Arial" w:hAnsi="Arial"/>
                <w:sz w:val="18"/>
                <w:szCs w:val="18"/>
                <w:color w:val="auto"/>
                <w:w w:val="91"/>
              </w:rPr>
              <w:t>Inline XBRL Taxonomy Extension Presentation Linkbase</w:t>
            </w:r>
          </w:p>
        </w:tc>
      </w:tr>
    </w:tbl>
    <w:p>
      <w:pPr>
        <w:spacing w:after="0" w:line="269" w:lineRule="exact"/>
        <w:rPr>
          <w:sz w:val="20"/>
          <w:szCs w:val="20"/>
          <w:color w:val="auto"/>
        </w:rPr>
      </w:pPr>
    </w:p>
    <w:p>
      <w:pPr>
        <w:ind w:left="1120" w:hanging="1094"/>
        <w:spacing w:after="0" w:line="235"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Viatris Inc.</w:t>
      </w:r>
    </w:p>
    <w:p>
      <w:pPr>
        <w:spacing w:after="0" w:line="29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7, 2022</w:t>
      </w:r>
    </w:p>
    <w:p>
      <w:pPr>
        <w:spacing w:after="0" w:line="26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658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November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720"/>
          </w:cols>
          <w:pgMar w:left="320" w:top="118" w:right="8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Michael Goettler, certify that:</w:t>
      </w:r>
    </w:p>
    <w:p>
      <w:pPr>
        <w:spacing w:after="0" w:line="131" w:lineRule="exact"/>
        <w:rPr>
          <w:sz w:val="20"/>
          <w:szCs w:val="20"/>
          <w:color w:val="auto"/>
        </w:rPr>
      </w:pPr>
    </w:p>
    <w:p>
      <w:pPr>
        <w:ind w:left="640" w:hanging="187"/>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30" w:lineRule="exact"/>
        <w:rPr>
          <w:rFonts w:ascii="Arial" w:cs="Arial" w:eastAsia="Arial" w:hAnsi="Arial"/>
          <w:sz w:val="18"/>
          <w:szCs w:val="18"/>
          <w:color w:val="auto"/>
        </w:rPr>
      </w:pPr>
    </w:p>
    <w:p>
      <w:pPr>
        <w:ind w:right="140" w:firstLine="453"/>
        <w:spacing w:after="0" w:line="387" w:lineRule="auto"/>
        <w:tabs>
          <w:tab w:leader="none" w:pos="6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53"/>
        <w:spacing w:after="0" w:line="308" w:lineRule="auto"/>
        <w:tabs>
          <w:tab w:leader="none" w:pos="6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40" w:hanging="187"/>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2" w:lineRule="exact"/>
        <w:rPr>
          <w:rFonts w:ascii="Arial" w:cs="Arial" w:eastAsia="Arial" w:hAnsi="Arial"/>
          <w:sz w:val="16"/>
          <w:szCs w:val="16"/>
          <w:color w:val="auto"/>
        </w:rPr>
      </w:pPr>
    </w:p>
    <w:p>
      <w:pPr>
        <w:ind w:right="80"/>
        <w:spacing w:after="0" w:line="308"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6"/>
          <w:szCs w:val="16"/>
          <w:color w:val="auto"/>
        </w:rPr>
      </w:pPr>
    </w:p>
    <w:p>
      <w:pPr>
        <w:ind w:left="500" w:right="440" w:firstLine="480"/>
        <w:spacing w:after="0" w:line="303" w:lineRule="auto"/>
        <w:tabs>
          <w:tab w:leader="none" w:pos="123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Arial" w:cs="Arial" w:eastAsia="Arial" w:hAnsi="Arial"/>
          <w:sz w:val="18"/>
          <w:szCs w:val="18"/>
          <w:color w:val="auto"/>
        </w:rPr>
      </w:pPr>
    </w:p>
    <w:p>
      <w:pPr>
        <w:jc w:val="both"/>
        <w:ind w:left="500" w:right="200" w:firstLine="480"/>
        <w:spacing w:after="0" w:line="303" w:lineRule="auto"/>
        <w:tabs>
          <w:tab w:leader="none" w:pos="124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Arial" w:cs="Arial" w:eastAsia="Arial" w:hAnsi="Arial"/>
          <w:sz w:val="18"/>
          <w:szCs w:val="18"/>
          <w:color w:val="auto"/>
        </w:rPr>
      </w:pPr>
    </w:p>
    <w:p>
      <w:pPr>
        <w:ind w:left="500" w:right="320" w:firstLine="480"/>
        <w:spacing w:after="0" w:line="387" w:lineRule="auto"/>
        <w:tabs>
          <w:tab w:leader="none" w:pos="1231"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00" w:right="280" w:firstLine="480"/>
        <w:spacing w:after="0" w:line="303" w:lineRule="auto"/>
        <w:tabs>
          <w:tab w:leader="none" w:pos="124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rFonts w:ascii="Arial" w:cs="Arial" w:eastAsia="Arial" w:hAnsi="Arial"/>
          <w:sz w:val="18"/>
          <w:szCs w:val="18"/>
          <w:color w:val="auto"/>
        </w:rPr>
      </w:pPr>
    </w:p>
    <w:p>
      <w:pPr>
        <w:ind w:right="100" w:firstLine="453"/>
        <w:spacing w:after="0" w:line="357" w:lineRule="auto"/>
        <w:tabs>
          <w:tab w:leader="none" w:pos="62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rFonts w:ascii="Arial" w:cs="Arial" w:eastAsia="Arial" w:hAnsi="Arial"/>
          <w:sz w:val="17"/>
          <w:szCs w:val="17"/>
          <w:color w:val="auto"/>
        </w:rPr>
      </w:pPr>
    </w:p>
    <w:p>
      <w:pPr>
        <w:ind w:left="500" w:right="540" w:firstLine="480"/>
        <w:spacing w:after="0" w:line="341" w:lineRule="auto"/>
        <w:tabs>
          <w:tab w:leader="none" w:pos="1221"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00" w:right="220" w:firstLine="480"/>
        <w:spacing w:after="0" w:line="308" w:lineRule="auto"/>
        <w:tabs>
          <w:tab w:leader="none" w:pos="123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31750</wp:posOffset>
            </wp:positionV>
            <wp:extent cx="25031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i w:val="1"/>
          <w:iCs w:val="1"/>
          <w:color w:val="auto"/>
        </w:rPr>
        <w:t>(Principal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ectPr>
          <w:pgSz w:w="11900" w:h="16838" w:orient="portrait"/>
          <w:cols w:equalWidth="0" w:num="1">
            <w:col w:w="11240"/>
          </w:cols>
          <w:pgMar w:left="320" w:top="90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Sanjeev Narula, certify that:</w:t>
      </w:r>
    </w:p>
    <w:p>
      <w:pPr>
        <w:spacing w:after="0" w:line="131" w:lineRule="exact"/>
        <w:rPr>
          <w:sz w:val="20"/>
          <w:szCs w:val="20"/>
          <w:color w:val="auto"/>
        </w:rPr>
      </w:pPr>
    </w:p>
    <w:p>
      <w:pPr>
        <w:ind w:left="640" w:hanging="187"/>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Viatris Inc.;</w:t>
      </w:r>
    </w:p>
    <w:p>
      <w:pPr>
        <w:spacing w:after="0" w:line="130" w:lineRule="exact"/>
        <w:rPr>
          <w:rFonts w:ascii="Arial" w:cs="Arial" w:eastAsia="Arial" w:hAnsi="Arial"/>
          <w:sz w:val="18"/>
          <w:szCs w:val="18"/>
          <w:color w:val="auto"/>
        </w:rPr>
      </w:pPr>
    </w:p>
    <w:p>
      <w:pPr>
        <w:ind w:right="140" w:firstLine="453"/>
        <w:spacing w:after="0" w:line="387" w:lineRule="auto"/>
        <w:tabs>
          <w:tab w:leader="none" w:pos="625"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100" w:firstLine="453"/>
        <w:spacing w:after="0" w:line="308" w:lineRule="auto"/>
        <w:tabs>
          <w:tab w:leader="none" w:pos="6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40" w:hanging="187"/>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2" w:lineRule="exact"/>
        <w:rPr>
          <w:rFonts w:ascii="Arial" w:cs="Arial" w:eastAsia="Arial" w:hAnsi="Arial"/>
          <w:sz w:val="16"/>
          <w:szCs w:val="16"/>
          <w:color w:val="auto"/>
        </w:rPr>
      </w:pPr>
    </w:p>
    <w:p>
      <w:pPr>
        <w:ind w:right="80"/>
        <w:spacing w:after="0" w:line="308"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6"/>
          <w:szCs w:val="16"/>
          <w:color w:val="auto"/>
        </w:rPr>
      </w:pPr>
    </w:p>
    <w:p>
      <w:pPr>
        <w:ind w:left="500" w:right="440" w:firstLine="480"/>
        <w:spacing w:after="0" w:line="303" w:lineRule="auto"/>
        <w:tabs>
          <w:tab w:leader="none" w:pos="123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Arial" w:cs="Arial" w:eastAsia="Arial" w:hAnsi="Arial"/>
          <w:sz w:val="18"/>
          <w:szCs w:val="18"/>
          <w:color w:val="auto"/>
        </w:rPr>
      </w:pPr>
    </w:p>
    <w:p>
      <w:pPr>
        <w:jc w:val="both"/>
        <w:ind w:left="500" w:right="200" w:firstLine="480"/>
        <w:spacing w:after="0" w:line="303" w:lineRule="auto"/>
        <w:tabs>
          <w:tab w:leader="none" w:pos="124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3" w:lineRule="exact"/>
        <w:rPr>
          <w:rFonts w:ascii="Arial" w:cs="Arial" w:eastAsia="Arial" w:hAnsi="Arial"/>
          <w:sz w:val="18"/>
          <w:szCs w:val="18"/>
          <w:color w:val="auto"/>
        </w:rPr>
      </w:pPr>
    </w:p>
    <w:p>
      <w:pPr>
        <w:ind w:left="500" w:right="320" w:firstLine="480"/>
        <w:spacing w:after="0" w:line="387" w:lineRule="auto"/>
        <w:tabs>
          <w:tab w:leader="none" w:pos="1231"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00" w:right="280" w:firstLine="480"/>
        <w:spacing w:after="0" w:line="303" w:lineRule="auto"/>
        <w:tabs>
          <w:tab w:leader="none" w:pos="124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3" w:lineRule="exact"/>
        <w:rPr>
          <w:rFonts w:ascii="Arial" w:cs="Arial" w:eastAsia="Arial" w:hAnsi="Arial"/>
          <w:sz w:val="18"/>
          <w:szCs w:val="18"/>
          <w:color w:val="auto"/>
        </w:rPr>
      </w:pPr>
    </w:p>
    <w:p>
      <w:pPr>
        <w:ind w:right="100" w:firstLine="453"/>
        <w:spacing w:after="0" w:line="357" w:lineRule="auto"/>
        <w:tabs>
          <w:tab w:leader="none" w:pos="62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rFonts w:ascii="Arial" w:cs="Arial" w:eastAsia="Arial" w:hAnsi="Arial"/>
          <w:sz w:val="17"/>
          <w:szCs w:val="17"/>
          <w:color w:val="auto"/>
        </w:rPr>
      </w:pPr>
    </w:p>
    <w:p>
      <w:pPr>
        <w:ind w:left="500" w:right="540" w:firstLine="480"/>
        <w:spacing w:after="0" w:line="341" w:lineRule="auto"/>
        <w:tabs>
          <w:tab w:leader="none" w:pos="1221"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00" w:right="220" w:firstLine="480"/>
        <w:spacing w:after="0" w:line="308" w:lineRule="auto"/>
        <w:tabs>
          <w:tab w:leader="none" w:pos="123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ectPr>
          <w:pgSz w:w="11900" w:h="16838" w:orient="portrait"/>
          <w:cols w:equalWidth="0" w:num="1">
            <w:col w:w="11240"/>
          </w:cols>
          <w:pgMar w:left="320" w:top="90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ind w:right="140" w:firstLine="445"/>
        <w:spacing w:after="0" w:line="356" w:lineRule="auto"/>
        <w:rPr>
          <w:sz w:val="20"/>
          <w:szCs w:val="20"/>
          <w:color w:val="auto"/>
        </w:rPr>
      </w:pPr>
      <w:r>
        <w:rPr>
          <w:rFonts w:ascii="Arial" w:cs="Arial" w:eastAsia="Arial" w:hAnsi="Arial"/>
          <w:sz w:val="16"/>
          <w:szCs w:val="16"/>
          <w:color w:val="auto"/>
        </w:rPr>
        <w:t>In connection with the Quarterly Report on Form 10-Q of Viatris Inc. (the “Company”) for the period ended September 30, 2022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18" w:lineRule="exact"/>
        <w:rPr>
          <w:sz w:val="20"/>
          <w:szCs w:val="20"/>
          <w:color w:val="auto"/>
        </w:rPr>
      </w:pPr>
    </w:p>
    <w:p>
      <w:pPr>
        <w:ind w:left="1080" w:hanging="181"/>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080" w:hanging="181"/>
        <w:spacing w:after="0"/>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9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Michael Goettler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31750</wp:posOffset>
            </wp:positionV>
            <wp:extent cx="25114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Sanjeev Narula</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Financial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pacing w:after="0" w:line="198" w:lineRule="exact"/>
        <w:rPr>
          <w:sz w:val="20"/>
          <w:szCs w:val="20"/>
          <w:color w:val="auto"/>
        </w:rPr>
      </w:pPr>
    </w:p>
    <w:p>
      <w:pPr>
        <w:ind w:right="420" w:firstLine="445"/>
        <w:spacing w:after="0" w:line="324"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3" w:lineRule="exact"/>
        <w:rPr>
          <w:sz w:val="20"/>
          <w:szCs w:val="20"/>
          <w:color w:val="auto"/>
        </w:rPr>
      </w:pPr>
    </w:p>
    <w:p>
      <w:pPr>
        <w:ind w:right="520" w:firstLine="445"/>
        <w:spacing w:after="0" w:line="324"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10-Q.</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lowerLetter"/>
      <w:start w:val="1"/>
    </w:lvl>
  </w:abstractNum>
  <w:abstractNum w:abstractNumId="6">
    <w:nsid w:val="1E7FF521"/>
    <w:multiLevelType w:val="hybridMultilevel"/>
    <w:lvl w:ilvl="0">
      <w:lvlJc w:val="left"/>
      <w:lvlText w:val="%1."/>
      <w:numFmt w:val="decimal"/>
      <w:start w:val="3"/>
    </w:lvl>
  </w:abstractNum>
  <w:abstractNum w:abstractNumId="7">
    <w:nsid w:val="7C3DBD3D"/>
    <w:multiLevelType w:val="hybridMultilevel"/>
    <w:lvl w:ilvl="0">
      <w:lvlJc w:val="left"/>
      <w:lvlText w:val="%1."/>
      <w:numFmt w:val="decimal"/>
      <w:start w:val="4"/>
    </w:lvl>
  </w:abstractNum>
  <w:abstractNum w:abstractNumId="8">
    <w:nsid w:val="737B8DDC"/>
    <w:multiLevelType w:val="hybridMultilevel"/>
    <w:lvl w:ilvl="0">
      <w:lvlJc w:val="left"/>
      <w:lvlText w:val="%1."/>
      <w:numFmt w:val="decimal"/>
      <w:start w:val="5"/>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7"/>
    </w:lvl>
  </w:abstractNum>
  <w:abstractNum w:abstractNumId="14">
    <w:nsid w:val="419AC241"/>
    <w:multiLevelType w:val="hybridMultilevel"/>
    <w:lvl w:ilvl="0">
      <w:lvlJc w:val="left"/>
      <w:lvlText w:val="%1."/>
      <w:numFmt w:val="decimal"/>
      <w:start w:val="8"/>
    </w:lvl>
  </w:abstractNum>
  <w:abstractNum w:abstractNumId="15">
    <w:nsid w:val="5577F8E1"/>
    <w:multiLevelType w:val="hybridMultilevel"/>
    <w:lvl w:ilvl="0">
      <w:lvlJc w:val="left"/>
      <w:lvlText w:val="%1."/>
      <w:numFmt w:val="decimal"/>
      <w:start w:val="9"/>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4"/>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6"/>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32"/>
    </w:lvl>
  </w:abstractNum>
  <w:abstractNum w:abstractNumId="50">
    <w:nsid w:val="12E685FB"/>
    <w:multiLevelType w:val="hybridMultilevel"/>
    <w:lvl w:ilvl="0">
      <w:lvlJc w:val="left"/>
      <w:lvlText w:val="%1"/>
      <w:numFmt w:val="decimal"/>
      <w:start w:val="104"/>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1" Type="http://schemas.openxmlformats.org/officeDocument/2006/relationships/hyperlink" Target="http://www.sec.gov/Archives/edgar/data/1792044/000179204422000028/ex_22xvtrsx2022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2022-11-07T15:39:46Z</dcterms:created>
  <dcterms:modified xsi:type="dcterms:W3CDTF">2022-11-07T15:39:46Z</dcterms:modified>
</cp:coreProperties>
</file>