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color w:val="000000"/>
          <w:sz w:val="20"/>
        </w:rPr>
      </w:pPr>
      <w:bookmarkStart w:id="0" w:name="ny20068251x2_fwp.htm"/>
      <w:bookmarkStart w:id="1" w:name="ksny20068251x2_fwp"/>
      <w:bookmarkEnd w:id="0"/>
      <w:bookmarkEnd w:id="1"/>
      <w:r>
        <w:rPr>
          <w:rFonts w:ascii="Times New Roman;Times;serif" w:hAnsi="Times New Roman;Times;serif"/>
          <w:b/>
          <w:color w:val="000000"/>
          <w:sz w:val="20"/>
        </w:rPr>
        <w:t>Filed Pursuant to Rule 433</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Registration Statement 333-287087</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VIATRIS INC.</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Pricing Term Sheet</w:t>
      </w:r>
    </w:p>
    <w:p>
      <w:pPr>
        <w:pStyle w:val="TextBody"/>
        <w:bidi w:val="0"/>
        <w:spacing w:before="0" w:after="0"/>
        <w:jc w:val="left"/>
        <w:rPr/>
      </w:pPr>
      <w:r>
        <w:rPr/>
      </w:r>
    </w:p>
    <w:p>
      <w:pPr>
        <w:pStyle w:val="TextBody"/>
        <w:bidi w:val="0"/>
        <w:spacing w:before="0" w:after="0"/>
        <w:jc w:val="center"/>
        <w:rPr>
          <w:color w:val="000000"/>
        </w:rPr>
      </w:pPr>
      <w:r>
        <w:rPr>
          <w:color w:val="000000"/>
        </w:rPr>
        <w:t>€</w:t>
      </w:r>
      <w:r>
        <w:rPr>
          <w:rFonts w:ascii="Times New Roman;Times;serif" w:hAnsi="Times New Roman;Times;serif"/>
          <w:b/>
          <w:color w:val="000000"/>
          <w:sz w:val="20"/>
        </w:rPr>
        <w:t>650,000,000 4.250% Senior Notes due 2033</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June 12, 2026</w:t>
      </w:r>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This Pricing Term Sheet is qualified in its entirety by reference to the Preliminary Prospectus Supplement dated June 12, 2026 relating to the Viatris Inc. notes described below (the “Preliminary Prospectus Supplement”). The information in this Pricing Term Sheet supplements the Preliminary Prospectus Supplement and supersedes the information in the Preliminary Prospectus Supplement to the extent inconsistent with the information in the Preliminary Prospectus Supplement. Capitalized terms not otherwise defined herein have the meanings ascribed to them in the Preliminary Prospectus Supplement.</w:t>
      </w:r>
    </w:p>
    <w:p>
      <w:pPr>
        <w:pStyle w:val="TextBody"/>
        <w:bidi w:val="0"/>
        <w:spacing w:before="0" w:after="0"/>
        <w:jc w:val="left"/>
        <w:rPr>
          <w:i/>
        </w:rPr>
      </w:pPr>
      <w:r>
        <w:rPr>
          <w:i/>
        </w:rPr>
      </w:r>
    </w:p>
    <w:p>
      <w:pPr>
        <w:pStyle w:val="Normal"/>
        <w:bidi w:val="0"/>
        <w:spacing w:before="0" w:after="0"/>
        <w:jc w:val="left"/>
        <w:rPr>
          <w:sz w:val="4"/>
          <w:szCs w:val="4"/>
        </w:rPr>
      </w:pPr>
      <w:r>
        <w:rPr>
          <w:sz w:val="4"/>
          <w:szCs w:val="4"/>
        </w:rPr>
      </w:r>
      <w:bookmarkStart w:id="2" w:name="z2de52a5c635a4f6a8a32e49184f2cb69"/>
      <w:bookmarkStart w:id="3" w:name="z2de52a5c635a4f6a8a32e49184f2cb69"/>
      <w:bookmarkEnd w:id="3"/>
    </w:p>
    <w:tbl>
      <w:tblPr>
        <w:tblW w:w="10060" w:type="dxa"/>
        <w:jc w:val="left"/>
        <w:tblInd w:w="0" w:type="dxa"/>
        <w:tblLayout w:type="fixed"/>
        <w:tblCellMar>
          <w:top w:w="0" w:type="dxa"/>
          <w:left w:w="0" w:type="dxa"/>
          <w:bottom w:w="0" w:type="dxa"/>
          <w:right w:w="0" w:type="dxa"/>
        </w:tblCellMar>
      </w:tblPr>
      <w:tblGrid>
        <w:gridCol w:w="2255"/>
        <w:gridCol w:w="7805"/>
      </w:tblGrid>
      <w:tr>
        <w:trPr/>
        <w:tc>
          <w:tcPr>
            <w:tcW w:w="2255" w:type="dxa"/>
            <w:tcBorders/>
            <w:vAlign w:val="center"/>
          </w:tcPr>
          <w:p>
            <w:pPr>
              <w:pStyle w:val="TableContents"/>
              <w:bidi w:val="0"/>
              <w:spacing w:before="0" w:after="0"/>
              <w:jc w:val="left"/>
              <w:rPr>
                <w:b/>
              </w:rPr>
            </w:pPr>
            <w:r>
              <w:rPr>
                <w:b/>
              </w:rPr>
              <w:t>Issuer:</w:t>
            </w:r>
          </w:p>
        </w:tc>
        <w:tc>
          <w:tcPr>
            <w:tcW w:w="7805" w:type="dxa"/>
            <w:tcBorders/>
            <w:vAlign w:val="center"/>
          </w:tcPr>
          <w:p>
            <w:pPr>
              <w:pStyle w:val="TableContents"/>
              <w:bidi w:val="0"/>
              <w:spacing w:before="0" w:after="0"/>
              <w:jc w:val="left"/>
              <w:rPr/>
            </w:pPr>
            <w:r>
              <w:rPr/>
              <w:t>Viatris Inc.</w:t>
            </w:r>
          </w:p>
        </w:tc>
      </w:tr>
      <w:tr>
        <w:trPr/>
        <w:tc>
          <w:tcPr>
            <w:tcW w:w="2255"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b/>
              </w:rPr>
            </w:pPr>
            <w:r>
              <w:rPr>
                <w:b/>
              </w:rPr>
              <w:t>Guarantors:</w:t>
            </w:r>
          </w:p>
        </w:tc>
        <w:tc>
          <w:tcPr>
            <w:tcW w:w="7805" w:type="dxa"/>
            <w:tcBorders/>
            <w:vAlign w:val="center"/>
          </w:tcPr>
          <w:p>
            <w:pPr>
              <w:pStyle w:val="TableContents"/>
              <w:bidi w:val="0"/>
              <w:spacing w:before="0" w:after="0"/>
              <w:jc w:val="left"/>
              <w:rPr/>
            </w:pPr>
            <w:r>
              <w:rPr/>
              <w:t>Mylan Inc., Mylan II B.V. and Utah Acquisition Sub Inc.</w:t>
            </w:r>
          </w:p>
        </w:tc>
      </w:tr>
      <w:tr>
        <w:trPr/>
        <w:tc>
          <w:tcPr>
            <w:tcW w:w="2255"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b/>
              </w:rPr>
            </w:pPr>
            <w:r>
              <w:rPr>
                <w:b/>
              </w:rPr>
              <w:t>Offering Format:</w:t>
            </w:r>
          </w:p>
        </w:tc>
        <w:tc>
          <w:tcPr>
            <w:tcW w:w="7805" w:type="dxa"/>
            <w:tcBorders/>
            <w:vAlign w:val="center"/>
          </w:tcPr>
          <w:p>
            <w:pPr>
              <w:pStyle w:val="TableContents"/>
              <w:bidi w:val="0"/>
              <w:spacing w:before="0" w:after="0"/>
              <w:jc w:val="left"/>
              <w:rPr/>
            </w:pPr>
            <w:r>
              <w:rPr/>
              <w:t>SEC Registered</w:t>
            </w:r>
          </w:p>
        </w:tc>
      </w:tr>
      <w:tr>
        <w:trPr/>
        <w:tc>
          <w:tcPr>
            <w:tcW w:w="2255"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b/>
              </w:rPr>
            </w:pPr>
            <w:r>
              <w:rPr>
                <w:b/>
              </w:rPr>
              <w:t>Trade Date:</w:t>
            </w:r>
          </w:p>
        </w:tc>
        <w:tc>
          <w:tcPr>
            <w:tcW w:w="7805" w:type="dxa"/>
            <w:tcBorders/>
            <w:vAlign w:val="center"/>
          </w:tcPr>
          <w:p>
            <w:pPr>
              <w:pStyle w:val="TableContents"/>
              <w:bidi w:val="0"/>
              <w:spacing w:before="0" w:after="0"/>
              <w:jc w:val="left"/>
              <w:rPr/>
            </w:pPr>
            <w:r>
              <w:rPr/>
              <w:t>June 12, 2026</w:t>
            </w:r>
          </w:p>
        </w:tc>
      </w:tr>
      <w:tr>
        <w:trPr/>
        <w:tc>
          <w:tcPr>
            <w:tcW w:w="2255"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b/>
              </w:rPr>
            </w:pPr>
            <w:r>
              <w:rPr>
                <w:b/>
              </w:rPr>
              <w:t>Settlement Date:</w:t>
            </w:r>
          </w:p>
        </w:tc>
        <w:tc>
          <w:tcPr>
            <w:tcW w:w="7805" w:type="dxa"/>
            <w:tcBorders/>
            <w:vAlign w:val="center"/>
          </w:tcPr>
          <w:p>
            <w:pPr>
              <w:pStyle w:val="TableContents"/>
              <w:bidi w:val="0"/>
              <w:spacing w:before="0" w:after="0"/>
              <w:jc w:val="left"/>
              <w:rPr/>
            </w:pPr>
            <w:r>
              <w:rPr/>
              <w:t>June 17, 2026 (T+3)</w:t>
            </w:r>
          </w:p>
        </w:tc>
      </w:tr>
      <w:tr>
        <w:trPr/>
        <w:tc>
          <w:tcPr>
            <w:tcW w:w="2255"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b/>
              </w:rPr>
            </w:pPr>
            <w:r>
              <w:rPr>
                <w:b/>
              </w:rPr>
              <w:t>Security Title:</w:t>
            </w:r>
          </w:p>
        </w:tc>
        <w:tc>
          <w:tcPr>
            <w:tcW w:w="7805" w:type="dxa"/>
            <w:tcBorders/>
            <w:vAlign w:val="center"/>
          </w:tcPr>
          <w:p>
            <w:pPr>
              <w:pStyle w:val="TableContents"/>
              <w:bidi w:val="0"/>
              <w:spacing w:before="0" w:after="0"/>
              <w:jc w:val="left"/>
              <w:rPr/>
            </w:pPr>
            <w:r>
              <w:rPr/>
              <w:t>4.250% Senior Notes due 2033</w:t>
            </w:r>
          </w:p>
        </w:tc>
      </w:tr>
      <w:tr>
        <w:trPr/>
        <w:tc>
          <w:tcPr>
            <w:tcW w:w="2255"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b/>
              </w:rPr>
            </w:pPr>
            <w:r>
              <w:rPr>
                <w:b/>
              </w:rPr>
              <w:t>Principal Amount:</w:t>
            </w:r>
          </w:p>
        </w:tc>
        <w:tc>
          <w:tcPr>
            <w:tcW w:w="7805" w:type="dxa"/>
            <w:tcBorders/>
            <w:vAlign w:val="center"/>
          </w:tcPr>
          <w:p>
            <w:pPr>
              <w:pStyle w:val="TableContents"/>
              <w:bidi w:val="0"/>
              <w:spacing w:before="0" w:after="0"/>
              <w:jc w:val="left"/>
              <w:rPr/>
            </w:pPr>
            <w:r>
              <w:rPr/>
              <w:t>€</w:t>
            </w:r>
            <w:r>
              <w:rPr/>
              <w:t>650,000,000</w:t>
            </w:r>
          </w:p>
        </w:tc>
      </w:tr>
      <w:tr>
        <w:trPr/>
        <w:tc>
          <w:tcPr>
            <w:tcW w:w="2255"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b/>
              </w:rPr>
            </w:pPr>
            <w:r>
              <w:rPr>
                <w:b/>
              </w:rPr>
              <w:t>Coupon:</w:t>
            </w:r>
          </w:p>
        </w:tc>
        <w:tc>
          <w:tcPr>
            <w:tcW w:w="7805" w:type="dxa"/>
            <w:tcBorders/>
            <w:vAlign w:val="center"/>
          </w:tcPr>
          <w:p>
            <w:pPr>
              <w:pStyle w:val="TableContents"/>
              <w:bidi w:val="0"/>
              <w:spacing w:before="0" w:after="0"/>
              <w:jc w:val="left"/>
              <w:rPr/>
            </w:pPr>
            <w:r>
              <w:rPr/>
              <w:t>4.250%</w:t>
            </w:r>
          </w:p>
        </w:tc>
      </w:tr>
      <w:tr>
        <w:trPr/>
        <w:tc>
          <w:tcPr>
            <w:tcW w:w="2255"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b/>
              </w:rPr>
            </w:pPr>
            <w:r>
              <w:rPr>
                <w:b/>
              </w:rPr>
              <w:t>Maturity Date:</w:t>
            </w:r>
          </w:p>
        </w:tc>
        <w:tc>
          <w:tcPr>
            <w:tcW w:w="7805" w:type="dxa"/>
            <w:tcBorders/>
            <w:vAlign w:val="center"/>
          </w:tcPr>
          <w:p>
            <w:pPr>
              <w:pStyle w:val="TableContents"/>
              <w:bidi w:val="0"/>
              <w:spacing w:before="0" w:after="0"/>
              <w:jc w:val="left"/>
              <w:rPr/>
            </w:pPr>
            <w:r>
              <w:rPr/>
              <w:t>June 17, 2033</w:t>
            </w:r>
          </w:p>
        </w:tc>
      </w:tr>
      <w:tr>
        <w:trPr/>
        <w:tc>
          <w:tcPr>
            <w:tcW w:w="2255"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b/>
              </w:rPr>
            </w:pPr>
            <w:r>
              <w:rPr>
                <w:b/>
              </w:rPr>
              <w:t>Public Offering Price:</w:t>
            </w:r>
          </w:p>
        </w:tc>
        <w:tc>
          <w:tcPr>
            <w:tcW w:w="7805" w:type="dxa"/>
            <w:tcBorders/>
            <w:vAlign w:val="center"/>
          </w:tcPr>
          <w:p>
            <w:pPr>
              <w:pStyle w:val="TableContents"/>
              <w:bidi w:val="0"/>
              <w:spacing w:before="0" w:after="0"/>
              <w:jc w:val="left"/>
              <w:rPr/>
            </w:pPr>
            <w:r>
              <w:rPr/>
              <w:t>99.739% of the principal amount, plus accrued interest, if any, from June 17, 2026</w:t>
            </w:r>
          </w:p>
        </w:tc>
      </w:tr>
      <w:tr>
        <w:trPr/>
        <w:tc>
          <w:tcPr>
            <w:tcW w:w="2255"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b/>
              </w:rPr>
            </w:pPr>
            <w:r>
              <w:rPr>
                <w:b/>
              </w:rPr>
              <w:t>Spread to Mid-Swap:</w:t>
            </w:r>
          </w:p>
        </w:tc>
        <w:tc>
          <w:tcPr>
            <w:tcW w:w="7805" w:type="dxa"/>
            <w:tcBorders/>
            <w:vAlign w:val="center"/>
          </w:tcPr>
          <w:p>
            <w:pPr>
              <w:pStyle w:val="TableContents"/>
              <w:bidi w:val="0"/>
              <w:spacing w:before="0" w:after="0"/>
              <w:jc w:val="left"/>
              <w:rPr/>
            </w:pPr>
            <w:r>
              <w:rPr/>
              <w:t>+135 bps</w:t>
            </w:r>
          </w:p>
        </w:tc>
      </w:tr>
      <w:tr>
        <w:trPr/>
        <w:tc>
          <w:tcPr>
            <w:tcW w:w="2255"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b/>
              </w:rPr>
            </w:pPr>
            <w:r>
              <w:rPr>
                <w:b/>
              </w:rPr>
              <w:t>Mid-Swap Rate:</w:t>
            </w:r>
          </w:p>
        </w:tc>
        <w:tc>
          <w:tcPr>
            <w:tcW w:w="7805" w:type="dxa"/>
            <w:tcBorders/>
            <w:vAlign w:val="center"/>
          </w:tcPr>
          <w:p>
            <w:pPr>
              <w:pStyle w:val="TableContents"/>
              <w:bidi w:val="0"/>
              <w:spacing w:before="0" w:after="0"/>
              <w:jc w:val="left"/>
              <w:rPr/>
            </w:pPr>
            <w:r>
              <w:rPr/>
              <w:t>2.944%</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1843"/>
        <w:gridCol w:w="8362"/>
      </w:tblGrid>
      <w:tr>
        <w:trPr/>
        <w:tc>
          <w:tcPr>
            <w:tcW w:w="1843" w:type="dxa"/>
            <w:tcBorders/>
            <w:vAlign w:val="center"/>
          </w:tcPr>
          <w:p>
            <w:pPr>
              <w:pStyle w:val="TableContents"/>
              <w:bidi w:val="0"/>
              <w:spacing w:before="0" w:after="0"/>
              <w:jc w:val="left"/>
              <w:rPr>
                <w:b/>
              </w:rPr>
            </w:pPr>
            <w:r>
              <w:rPr>
                <w:b/>
              </w:rPr>
              <w:t>Yield to Maturity:</w:t>
            </w:r>
          </w:p>
        </w:tc>
        <w:tc>
          <w:tcPr>
            <w:tcW w:w="8362" w:type="dxa"/>
            <w:tcBorders/>
            <w:vAlign w:val="center"/>
          </w:tcPr>
          <w:p>
            <w:pPr>
              <w:pStyle w:val="TableContents"/>
              <w:bidi w:val="0"/>
              <w:spacing w:before="0" w:after="0"/>
              <w:jc w:val="left"/>
              <w:rPr/>
            </w:pPr>
            <w:r>
              <w:rPr/>
              <w:t>4.294%</w:t>
            </w:r>
          </w:p>
        </w:tc>
      </w:tr>
      <w:tr>
        <w:trPr/>
        <w:tc>
          <w:tcPr>
            <w:tcW w:w="1843" w:type="dxa"/>
            <w:tcBorders/>
            <w:vAlign w:val="center"/>
          </w:tcPr>
          <w:p>
            <w:pPr>
              <w:pStyle w:val="TableContents"/>
              <w:bidi w:val="0"/>
              <w:spacing w:before="0" w:after="283"/>
              <w:jc w:val="left"/>
              <w:rPr/>
            </w:pPr>
            <w:r>
              <w:rPr/>
              <w:t> </w:t>
            </w:r>
          </w:p>
        </w:tc>
        <w:tc>
          <w:tcPr>
            <w:tcW w:w="8362" w:type="dxa"/>
            <w:tcBorders/>
            <w:vAlign w:val="center"/>
          </w:tcPr>
          <w:p>
            <w:pPr>
              <w:pStyle w:val="TableContents"/>
              <w:bidi w:val="0"/>
              <w:spacing w:before="0" w:after="283"/>
              <w:jc w:val="left"/>
              <w:rPr/>
            </w:pPr>
            <w:r>
              <w:rPr/>
              <w:t> </w:t>
            </w:r>
          </w:p>
        </w:tc>
      </w:tr>
      <w:tr>
        <w:trPr/>
        <w:tc>
          <w:tcPr>
            <w:tcW w:w="1843" w:type="dxa"/>
            <w:tcBorders/>
            <w:vAlign w:val="center"/>
          </w:tcPr>
          <w:p>
            <w:pPr>
              <w:pStyle w:val="TableContents"/>
              <w:bidi w:val="0"/>
              <w:spacing w:before="0" w:after="0"/>
              <w:jc w:val="left"/>
              <w:rPr>
                <w:b/>
              </w:rPr>
            </w:pPr>
            <w:r>
              <w:rPr>
                <w:b/>
              </w:rPr>
              <w:t>Benchmark Security:</w:t>
            </w:r>
          </w:p>
        </w:tc>
        <w:tc>
          <w:tcPr>
            <w:tcW w:w="8362" w:type="dxa"/>
            <w:tcBorders/>
            <w:vAlign w:val="center"/>
          </w:tcPr>
          <w:p>
            <w:pPr>
              <w:pStyle w:val="TableContents"/>
              <w:bidi w:val="0"/>
              <w:spacing w:before="0" w:after="0"/>
              <w:jc w:val="left"/>
              <w:rPr/>
            </w:pPr>
            <w:r>
              <w:rPr/>
              <w:t>2.300% DBR due February 15, 2033</w:t>
            </w:r>
          </w:p>
        </w:tc>
      </w:tr>
      <w:tr>
        <w:trPr/>
        <w:tc>
          <w:tcPr>
            <w:tcW w:w="1843" w:type="dxa"/>
            <w:tcBorders/>
            <w:vAlign w:val="center"/>
          </w:tcPr>
          <w:p>
            <w:pPr>
              <w:pStyle w:val="TableContents"/>
              <w:bidi w:val="0"/>
              <w:spacing w:before="0" w:after="283"/>
              <w:jc w:val="left"/>
              <w:rPr/>
            </w:pPr>
            <w:r>
              <w:rPr/>
              <w:t> </w:t>
            </w:r>
          </w:p>
        </w:tc>
        <w:tc>
          <w:tcPr>
            <w:tcW w:w="8362" w:type="dxa"/>
            <w:tcBorders/>
            <w:vAlign w:val="center"/>
          </w:tcPr>
          <w:p>
            <w:pPr>
              <w:pStyle w:val="TableContents"/>
              <w:bidi w:val="0"/>
              <w:spacing w:before="0" w:after="283"/>
              <w:jc w:val="left"/>
              <w:rPr/>
            </w:pPr>
            <w:r>
              <w:rPr/>
              <w:t> </w:t>
            </w:r>
          </w:p>
        </w:tc>
      </w:tr>
      <w:tr>
        <w:trPr/>
        <w:tc>
          <w:tcPr>
            <w:tcW w:w="1843" w:type="dxa"/>
            <w:tcBorders/>
            <w:vAlign w:val="center"/>
          </w:tcPr>
          <w:p>
            <w:pPr>
              <w:pStyle w:val="TableContents"/>
              <w:bidi w:val="0"/>
              <w:spacing w:before="0" w:after="0"/>
              <w:jc w:val="left"/>
              <w:rPr>
                <w:b/>
              </w:rPr>
            </w:pPr>
            <w:r>
              <w:rPr>
                <w:b/>
              </w:rPr>
              <w:t>Spread to Benchmark Security:</w:t>
            </w:r>
          </w:p>
        </w:tc>
        <w:tc>
          <w:tcPr>
            <w:tcW w:w="8362" w:type="dxa"/>
            <w:tcBorders/>
            <w:vAlign w:val="center"/>
          </w:tcPr>
          <w:p>
            <w:pPr>
              <w:pStyle w:val="TableContents"/>
              <w:bidi w:val="0"/>
              <w:spacing w:before="0" w:after="0"/>
              <w:jc w:val="left"/>
              <w:rPr/>
            </w:pPr>
            <w:r>
              <w:rPr/>
              <w:t>+145.3 bps</w:t>
            </w:r>
          </w:p>
        </w:tc>
      </w:tr>
      <w:tr>
        <w:trPr/>
        <w:tc>
          <w:tcPr>
            <w:tcW w:w="1843" w:type="dxa"/>
            <w:tcBorders/>
            <w:vAlign w:val="center"/>
          </w:tcPr>
          <w:p>
            <w:pPr>
              <w:pStyle w:val="TableContents"/>
              <w:bidi w:val="0"/>
              <w:spacing w:before="0" w:after="283"/>
              <w:jc w:val="left"/>
              <w:rPr/>
            </w:pPr>
            <w:r>
              <w:rPr/>
              <w:t> </w:t>
            </w:r>
          </w:p>
        </w:tc>
        <w:tc>
          <w:tcPr>
            <w:tcW w:w="8362" w:type="dxa"/>
            <w:tcBorders/>
            <w:vAlign w:val="center"/>
          </w:tcPr>
          <w:p>
            <w:pPr>
              <w:pStyle w:val="TableContents"/>
              <w:bidi w:val="0"/>
              <w:spacing w:before="0" w:after="283"/>
              <w:jc w:val="left"/>
              <w:rPr/>
            </w:pPr>
            <w:r>
              <w:rPr/>
              <w:t> </w:t>
            </w:r>
          </w:p>
        </w:tc>
      </w:tr>
      <w:tr>
        <w:trPr/>
        <w:tc>
          <w:tcPr>
            <w:tcW w:w="1843" w:type="dxa"/>
            <w:tcBorders/>
            <w:vAlign w:val="center"/>
          </w:tcPr>
          <w:p>
            <w:pPr>
              <w:pStyle w:val="TableContents"/>
              <w:bidi w:val="0"/>
              <w:spacing w:before="0" w:after="0"/>
              <w:jc w:val="left"/>
              <w:rPr>
                <w:b/>
              </w:rPr>
            </w:pPr>
            <w:r>
              <w:rPr>
                <w:b/>
              </w:rPr>
              <w:t>Benchmark Security Price:</w:t>
            </w:r>
          </w:p>
        </w:tc>
        <w:tc>
          <w:tcPr>
            <w:tcW w:w="8362" w:type="dxa"/>
            <w:tcBorders/>
            <w:vAlign w:val="center"/>
          </w:tcPr>
          <w:p>
            <w:pPr>
              <w:pStyle w:val="TableContents"/>
              <w:bidi w:val="0"/>
              <w:spacing w:before="0" w:after="0"/>
              <w:jc w:val="left"/>
              <w:rPr/>
            </w:pPr>
            <w:r>
              <w:rPr/>
              <w:t>96.750%</w:t>
            </w:r>
          </w:p>
        </w:tc>
      </w:tr>
      <w:tr>
        <w:trPr/>
        <w:tc>
          <w:tcPr>
            <w:tcW w:w="1843" w:type="dxa"/>
            <w:tcBorders/>
            <w:vAlign w:val="center"/>
          </w:tcPr>
          <w:p>
            <w:pPr>
              <w:pStyle w:val="TableContents"/>
              <w:bidi w:val="0"/>
              <w:spacing w:before="0" w:after="283"/>
              <w:jc w:val="left"/>
              <w:rPr/>
            </w:pPr>
            <w:r>
              <w:rPr/>
              <w:t> </w:t>
            </w:r>
          </w:p>
        </w:tc>
        <w:tc>
          <w:tcPr>
            <w:tcW w:w="8362" w:type="dxa"/>
            <w:tcBorders/>
            <w:vAlign w:val="center"/>
          </w:tcPr>
          <w:p>
            <w:pPr>
              <w:pStyle w:val="TableContents"/>
              <w:bidi w:val="0"/>
              <w:spacing w:before="0" w:after="283"/>
              <w:jc w:val="left"/>
              <w:rPr/>
            </w:pPr>
            <w:r>
              <w:rPr/>
              <w:t> </w:t>
            </w:r>
          </w:p>
        </w:tc>
      </w:tr>
      <w:tr>
        <w:trPr/>
        <w:tc>
          <w:tcPr>
            <w:tcW w:w="1843" w:type="dxa"/>
            <w:tcBorders/>
            <w:vAlign w:val="center"/>
          </w:tcPr>
          <w:p>
            <w:pPr>
              <w:pStyle w:val="TableContents"/>
              <w:bidi w:val="0"/>
              <w:spacing w:before="0" w:after="0"/>
              <w:jc w:val="left"/>
              <w:rPr>
                <w:b/>
              </w:rPr>
            </w:pPr>
            <w:r>
              <w:rPr>
                <w:b/>
              </w:rPr>
              <w:t>Benchmark Security Yield:</w:t>
            </w:r>
          </w:p>
        </w:tc>
        <w:tc>
          <w:tcPr>
            <w:tcW w:w="8362" w:type="dxa"/>
            <w:tcBorders/>
            <w:vAlign w:val="center"/>
          </w:tcPr>
          <w:p>
            <w:pPr>
              <w:pStyle w:val="TableContents"/>
              <w:bidi w:val="0"/>
              <w:spacing w:before="0" w:after="0"/>
              <w:jc w:val="left"/>
              <w:rPr/>
            </w:pPr>
            <w:r>
              <w:rPr/>
              <w:t>2.841%</w:t>
            </w:r>
          </w:p>
        </w:tc>
      </w:tr>
      <w:tr>
        <w:trPr/>
        <w:tc>
          <w:tcPr>
            <w:tcW w:w="1843" w:type="dxa"/>
            <w:tcBorders/>
            <w:vAlign w:val="center"/>
          </w:tcPr>
          <w:p>
            <w:pPr>
              <w:pStyle w:val="TableContents"/>
              <w:bidi w:val="0"/>
              <w:spacing w:before="0" w:after="283"/>
              <w:jc w:val="left"/>
              <w:rPr/>
            </w:pPr>
            <w:r>
              <w:rPr/>
              <w:t> </w:t>
            </w:r>
          </w:p>
        </w:tc>
        <w:tc>
          <w:tcPr>
            <w:tcW w:w="8362" w:type="dxa"/>
            <w:tcBorders/>
            <w:vAlign w:val="center"/>
          </w:tcPr>
          <w:p>
            <w:pPr>
              <w:pStyle w:val="TableContents"/>
              <w:bidi w:val="0"/>
              <w:spacing w:before="0" w:after="283"/>
              <w:jc w:val="left"/>
              <w:rPr/>
            </w:pPr>
            <w:r>
              <w:rPr/>
              <w:t> </w:t>
            </w:r>
          </w:p>
        </w:tc>
      </w:tr>
      <w:tr>
        <w:trPr/>
        <w:tc>
          <w:tcPr>
            <w:tcW w:w="1843" w:type="dxa"/>
            <w:tcBorders/>
            <w:vAlign w:val="center"/>
          </w:tcPr>
          <w:p>
            <w:pPr>
              <w:pStyle w:val="TableContents"/>
              <w:bidi w:val="0"/>
              <w:spacing w:before="0" w:after="0"/>
              <w:jc w:val="left"/>
              <w:rPr>
                <w:b/>
              </w:rPr>
            </w:pPr>
            <w:r>
              <w:rPr>
                <w:b/>
              </w:rPr>
              <w:t>Expected Ratings*:</w:t>
            </w:r>
          </w:p>
        </w:tc>
        <w:tc>
          <w:tcPr>
            <w:tcW w:w="8362" w:type="dxa"/>
            <w:tcBorders/>
            <w:vAlign w:val="center"/>
          </w:tcPr>
          <w:p>
            <w:pPr>
              <w:pStyle w:val="TableContents"/>
              <w:bidi w:val="0"/>
              <w:spacing w:before="0" w:after="0"/>
              <w:jc w:val="left"/>
              <w:rPr/>
            </w:pPr>
            <w:r>
              <w:rPr/>
              <w:t xml:space="preserve">Baa3 (Moody’s) / BBB (Fitch) / BB+ (S&amp;P unsolicited) </w:t>
            </w:r>
          </w:p>
        </w:tc>
      </w:tr>
      <w:tr>
        <w:trPr/>
        <w:tc>
          <w:tcPr>
            <w:tcW w:w="1843" w:type="dxa"/>
            <w:tcBorders/>
            <w:vAlign w:val="center"/>
          </w:tcPr>
          <w:p>
            <w:pPr>
              <w:pStyle w:val="TableContents"/>
              <w:bidi w:val="0"/>
              <w:spacing w:before="0" w:after="283"/>
              <w:jc w:val="left"/>
              <w:rPr/>
            </w:pPr>
            <w:r>
              <w:rPr/>
              <w:t> </w:t>
            </w:r>
          </w:p>
        </w:tc>
        <w:tc>
          <w:tcPr>
            <w:tcW w:w="8362" w:type="dxa"/>
            <w:tcBorders/>
            <w:vAlign w:val="center"/>
          </w:tcPr>
          <w:p>
            <w:pPr>
              <w:pStyle w:val="TableContents"/>
              <w:bidi w:val="0"/>
              <w:spacing w:before="0" w:after="283"/>
              <w:jc w:val="left"/>
              <w:rPr/>
            </w:pPr>
            <w:r>
              <w:rPr/>
              <w:t> </w:t>
            </w:r>
          </w:p>
        </w:tc>
      </w:tr>
      <w:tr>
        <w:trPr/>
        <w:tc>
          <w:tcPr>
            <w:tcW w:w="1843" w:type="dxa"/>
            <w:tcBorders/>
            <w:vAlign w:val="center"/>
          </w:tcPr>
          <w:p>
            <w:pPr>
              <w:pStyle w:val="TableContents"/>
              <w:bidi w:val="0"/>
              <w:spacing w:before="0" w:after="0"/>
              <w:jc w:val="left"/>
              <w:rPr>
                <w:b/>
              </w:rPr>
            </w:pPr>
            <w:r>
              <w:rPr>
                <w:b/>
              </w:rPr>
              <w:t>Interest Payment Date:</w:t>
            </w:r>
          </w:p>
        </w:tc>
        <w:tc>
          <w:tcPr>
            <w:tcW w:w="8362" w:type="dxa"/>
            <w:tcBorders/>
            <w:vAlign w:val="center"/>
          </w:tcPr>
          <w:p>
            <w:pPr>
              <w:pStyle w:val="TableContents"/>
              <w:bidi w:val="0"/>
              <w:spacing w:before="0" w:after="0"/>
              <w:jc w:val="left"/>
              <w:rPr/>
            </w:pPr>
            <w:r>
              <w:rPr/>
              <w:t>Annually on June 17 of each year, commencing on June 17, 2027</w:t>
            </w:r>
          </w:p>
        </w:tc>
      </w:tr>
      <w:tr>
        <w:trPr/>
        <w:tc>
          <w:tcPr>
            <w:tcW w:w="1843" w:type="dxa"/>
            <w:tcBorders/>
            <w:vAlign w:val="center"/>
          </w:tcPr>
          <w:p>
            <w:pPr>
              <w:pStyle w:val="TableContents"/>
              <w:bidi w:val="0"/>
              <w:spacing w:before="0" w:after="283"/>
              <w:jc w:val="left"/>
              <w:rPr/>
            </w:pPr>
            <w:r>
              <w:rPr/>
              <w:t> </w:t>
            </w:r>
          </w:p>
        </w:tc>
        <w:tc>
          <w:tcPr>
            <w:tcW w:w="8362" w:type="dxa"/>
            <w:tcBorders/>
            <w:vAlign w:val="center"/>
          </w:tcPr>
          <w:p>
            <w:pPr>
              <w:pStyle w:val="TableContents"/>
              <w:bidi w:val="0"/>
              <w:spacing w:before="0" w:after="283"/>
              <w:jc w:val="left"/>
              <w:rPr/>
            </w:pPr>
            <w:r>
              <w:rPr/>
              <w:t> </w:t>
            </w:r>
          </w:p>
        </w:tc>
      </w:tr>
      <w:tr>
        <w:trPr/>
        <w:tc>
          <w:tcPr>
            <w:tcW w:w="1843" w:type="dxa"/>
            <w:tcBorders/>
            <w:vAlign w:val="center"/>
          </w:tcPr>
          <w:p>
            <w:pPr>
              <w:pStyle w:val="TableContents"/>
              <w:bidi w:val="0"/>
              <w:spacing w:before="0" w:after="0"/>
              <w:jc w:val="left"/>
              <w:rPr>
                <w:b/>
              </w:rPr>
            </w:pPr>
            <w:r>
              <w:rPr>
                <w:b/>
              </w:rPr>
              <w:t>Optional Redemption:</w:t>
            </w:r>
          </w:p>
        </w:tc>
        <w:tc>
          <w:tcPr>
            <w:tcW w:w="8362" w:type="dxa"/>
            <w:tcBorders/>
            <w:vAlign w:val="center"/>
          </w:tcPr>
          <w:p>
            <w:pPr>
              <w:pStyle w:val="TableContents"/>
              <w:bidi w:val="0"/>
              <w:spacing w:before="0" w:after="0"/>
              <w:jc w:val="left"/>
              <w:rPr/>
            </w:pPr>
            <w:r>
              <w:rPr/>
              <w:t>Prior to April 17, 2033 (the date that is two months prior to the maturity date of the Notes) (the “Par Call Date”), the Issuer may redeem the Notes at its option, in whole or in part, at any time and from time to time, at a Redemption Price (expressed as a percentage of principal amount and rounded to three decimal places) equal to the greater of:</w:t>
            </w:r>
          </w:p>
          <w:p>
            <w:pPr>
              <w:pStyle w:val="TableContents"/>
              <w:bidi w:val="0"/>
              <w:spacing w:before="0" w:after="0"/>
              <w:jc w:val="left"/>
              <w:rPr/>
            </w:pPr>
            <w:r>
              <w:rPr/>
              <w:t> </w:t>
            </w:r>
          </w:p>
          <w:p>
            <w:pPr>
              <w:pStyle w:val="TableContents"/>
              <w:bidi w:val="0"/>
              <w:spacing w:before="0" w:after="0"/>
              <w:ind w:left="720" w:right="0" w:hanging="0"/>
              <w:jc w:val="left"/>
              <w:rPr/>
            </w:pPr>
            <w:r>
              <w:rPr/>
              <w:t>(a) the sum of the present values of the remaining scheduled payments of principal and interest thereon (not including any portion of such payments of interest accrued as of the date of redemption), discounted to the Redemption Date on an annual basis (ACTUAL/ACTUAL (ICMA)) at the applicable Comparable Government Bond Rate plus 25 basis points, and</w:t>
            </w:r>
          </w:p>
          <w:p>
            <w:pPr>
              <w:pStyle w:val="TableContents"/>
              <w:bidi w:val="0"/>
              <w:spacing w:before="0" w:after="0"/>
              <w:jc w:val="left"/>
              <w:rPr/>
            </w:pPr>
            <w:r>
              <w:rPr/>
              <w:t> </w:t>
            </w:r>
          </w:p>
          <w:p>
            <w:pPr>
              <w:pStyle w:val="TableContents"/>
              <w:bidi w:val="0"/>
              <w:spacing w:before="0" w:after="0"/>
              <w:ind w:left="720" w:right="0" w:hanging="0"/>
              <w:jc w:val="left"/>
              <w:rPr/>
            </w:pPr>
            <w:r>
              <w:rPr/>
              <w:t>(b) 100% of the principal amount of the Notes to be redeemed,</w:t>
            </w:r>
          </w:p>
          <w:p>
            <w:pPr>
              <w:pStyle w:val="TableContents"/>
              <w:bidi w:val="0"/>
              <w:spacing w:before="0" w:after="0"/>
              <w:jc w:val="left"/>
              <w:rPr/>
            </w:pPr>
            <w:r>
              <w:rPr/>
              <w:t> </w:t>
            </w:r>
          </w:p>
          <w:p>
            <w:pPr>
              <w:pStyle w:val="TableContents"/>
              <w:bidi w:val="0"/>
              <w:spacing w:before="0" w:after="0"/>
              <w:ind w:left="720" w:right="0" w:hanging="0"/>
              <w:jc w:val="left"/>
              <w:rPr/>
            </w:pPr>
            <w:r>
              <w:rPr/>
              <w:t>plus, in either case, accrued and unpaid interest thereon to the Redemption Date.</w:t>
            </w:r>
          </w:p>
          <w:p>
            <w:pPr>
              <w:pStyle w:val="TableContents"/>
              <w:bidi w:val="0"/>
              <w:spacing w:before="0" w:after="0"/>
              <w:jc w:val="left"/>
              <w:rPr/>
            </w:pPr>
            <w:r>
              <w:rPr/>
              <w:t> </w:t>
            </w:r>
          </w:p>
          <w:p>
            <w:pPr>
              <w:pStyle w:val="TableContents"/>
              <w:bidi w:val="0"/>
              <w:spacing w:before="0" w:after="0"/>
              <w:jc w:val="left"/>
              <w:rPr/>
            </w:pPr>
            <w:r>
              <w:rPr/>
              <w:t>On or after the Par Call Date, the Issuer may redeem the Notes at its option, in whole or in part, at any time and from time to time, at a Redemption Price equal to 100% of the principal amount of the notes being redeemed, plus accrued and unpaid interest thereon to the Redemption Date.</w:t>
            </w:r>
          </w:p>
        </w:tc>
      </w:tr>
      <w:tr>
        <w:trPr/>
        <w:tc>
          <w:tcPr>
            <w:tcW w:w="1843" w:type="dxa"/>
            <w:tcBorders/>
            <w:vAlign w:val="center"/>
          </w:tcPr>
          <w:p>
            <w:pPr>
              <w:pStyle w:val="TableContents"/>
              <w:bidi w:val="0"/>
              <w:spacing w:before="0" w:after="283"/>
              <w:jc w:val="left"/>
              <w:rPr/>
            </w:pPr>
            <w:r>
              <w:rPr/>
              <w:t> </w:t>
            </w:r>
          </w:p>
        </w:tc>
        <w:tc>
          <w:tcPr>
            <w:tcW w:w="8362" w:type="dxa"/>
            <w:tcBorders/>
            <w:vAlign w:val="center"/>
          </w:tcPr>
          <w:p>
            <w:pPr>
              <w:pStyle w:val="TableContents"/>
              <w:bidi w:val="0"/>
              <w:spacing w:before="0" w:after="283"/>
              <w:jc w:val="left"/>
              <w:rPr/>
            </w:pPr>
            <w:r>
              <w:rPr/>
              <w:t> </w:t>
            </w:r>
          </w:p>
        </w:tc>
      </w:tr>
      <w:tr>
        <w:trPr/>
        <w:tc>
          <w:tcPr>
            <w:tcW w:w="1843" w:type="dxa"/>
            <w:tcBorders/>
            <w:vAlign w:val="center"/>
          </w:tcPr>
          <w:p>
            <w:pPr>
              <w:pStyle w:val="TableContents"/>
              <w:bidi w:val="0"/>
              <w:spacing w:before="0" w:after="0"/>
              <w:jc w:val="left"/>
              <w:rPr>
                <w:b/>
              </w:rPr>
            </w:pPr>
            <w:r>
              <w:rPr>
                <w:b/>
              </w:rPr>
              <w:t>Redemption of Notes for Tax Reasons:</w:t>
            </w:r>
          </w:p>
        </w:tc>
        <w:tc>
          <w:tcPr>
            <w:tcW w:w="8362" w:type="dxa"/>
            <w:tcBorders/>
            <w:vAlign w:val="center"/>
          </w:tcPr>
          <w:p>
            <w:pPr>
              <w:pStyle w:val="TableContents"/>
              <w:bidi w:val="0"/>
              <w:spacing w:before="0" w:after="0"/>
              <w:jc w:val="left"/>
              <w:rPr/>
            </w:pPr>
            <w:r>
              <w:rPr/>
              <w:t>The Issuer may redeem all but not part of the Notes in the event of certain changes in the tax laws of the United States that would require us to pay additional amounts as described under “Description of Notes — Payment of Additional Amounts” at 100% of the principal amount of the Notes, plus accrued and unpaid interest to, but excluding, the date fixed for redemption.</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1776"/>
        <w:gridCol w:w="8429"/>
      </w:tblGrid>
      <w:tr>
        <w:trPr/>
        <w:tc>
          <w:tcPr>
            <w:tcW w:w="1776" w:type="dxa"/>
            <w:tcBorders/>
            <w:vAlign w:val="center"/>
          </w:tcPr>
          <w:p>
            <w:pPr>
              <w:pStyle w:val="TableContents"/>
              <w:bidi w:val="0"/>
              <w:spacing w:before="0" w:after="0"/>
              <w:jc w:val="left"/>
              <w:rPr>
                <w:b/>
              </w:rPr>
            </w:pPr>
            <w:r>
              <w:rPr>
                <w:b/>
              </w:rPr>
              <w:t>Change of Control Repurchase Event:</w:t>
            </w:r>
          </w:p>
        </w:tc>
        <w:tc>
          <w:tcPr>
            <w:tcW w:w="8429" w:type="dxa"/>
            <w:tcBorders/>
            <w:vAlign w:val="center"/>
          </w:tcPr>
          <w:p>
            <w:pPr>
              <w:pStyle w:val="TableContents"/>
              <w:bidi w:val="0"/>
              <w:spacing w:before="0" w:after="0"/>
              <w:jc w:val="left"/>
              <w:rPr/>
            </w:pPr>
            <w:r>
              <w:rPr/>
              <w:t>101% of principal amount plus accrued and unpaid interest thereon, if any, to, but excluding, the repurchase date.</w:t>
            </w:r>
          </w:p>
        </w:tc>
      </w:tr>
      <w:tr>
        <w:trPr/>
        <w:tc>
          <w:tcPr>
            <w:tcW w:w="1776"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1776" w:type="dxa"/>
            <w:tcBorders/>
            <w:vAlign w:val="center"/>
          </w:tcPr>
          <w:p>
            <w:pPr>
              <w:pStyle w:val="TableContents"/>
              <w:bidi w:val="0"/>
              <w:spacing w:before="0" w:after="0"/>
              <w:jc w:val="left"/>
              <w:rPr>
                <w:b/>
              </w:rPr>
            </w:pPr>
            <w:r>
              <w:rPr>
                <w:b/>
              </w:rPr>
              <w:t>Clearing:</w:t>
            </w:r>
          </w:p>
        </w:tc>
        <w:tc>
          <w:tcPr>
            <w:tcW w:w="8429" w:type="dxa"/>
            <w:tcBorders/>
            <w:vAlign w:val="center"/>
          </w:tcPr>
          <w:p>
            <w:pPr>
              <w:pStyle w:val="TableContents"/>
              <w:bidi w:val="0"/>
              <w:spacing w:before="0" w:after="0"/>
              <w:jc w:val="left"/>
              <w:rPr/>
            </w:pPr>
            <w:r>
              <w:rPr/>
              <w:t>Global notes will be deposited with a common depositary for Euroclear Bank SA/NV, Belgium and Clearstream Banking S.A., Luxembourg.</w:t>
            </w:r>
          </w:p>
        </w:tc>
      </w:tr>
      <w:tr>
        <w:trPr/>
        <w:tc>
          <w:tcPr>
            <w:tcW w:w="1776"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1776" w:type="dxa"/>
            <w:tcBorders/>
            <w:vAlign w:val="center"/>
          </w:tcPr>
          <w:p>
            <w:pPr>
              <w:pStyle w:val="TableContents"/>
              <w:bidi w:val="0"/>
              <w:spacing w:before="0" w:after="0"/>
              <w:jc w:val="left"/>
              <w:rPr>
                <w:b/>
              </w:rPr>
            </w:pPr>
            <w:r>
              <w:rPr>
                <w:b/>
              </w:rPr>
              <w:t>Expected Listing:</w:t>
            </w:r>
          </w:p>
        </w:tc>
        <w:tc>
          <w:tcPr>
            <w:tcW w:w="8429" w:type="dxa"/>
            <w:tcBorders/>
            <w:vAlign w:val="center"/>
          </w:tcPr>
          <w:p>
            <w:pPr>
              <w:pStyle w:val="TableContents"/>
              <w:bidi w:val="0"/>
              <w:spacing w:before="0" w:after="0"/>
              <w:jc w:val="left"/>
              <w:rPr/>
            </w:pPr>
            <w:r>
              <w:rPr/>
              <w:t>Application has been made for the Notes to be admitted to the Official List of Euronext Dublin and to trade on the Global Exchange Market, which is the exchange regulated market of Euronext Dublin.</w:t>
            </w:r>
          </w:p>
        </w:tc>
      </w:tr>
      <w:tr>
        <w:trPr/>
        <w:tc>
          <w:tcPr>
            <w:tcW w:w="1776"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1776" w:type="dxa"/>
            <w:tcBorders/>
            <w:vAlign w:val="center"/>
          </w:tcPr>
          <w:p>
            <w:pPr>
              <w:pStyle w:val="TableContents"/>
              <w:bidi w:val="0"/>
              <w:spacing w:before="0" w:after="0"/>
              <w:jc w:val="left"/>
              <w:rPr>
                <w:b/>
              </w:rPr>
            </w:pPr>
            <w:r>
              <w:rPr>
                <w:b/>
              </w:rPr>
              <w:t>Governing Law:</w:t>
            </w:r>
          </w:p>
        </w:tc>
        <w:tc>
          <w:tcPr>
            <w:tcW w:w="8429" w:type="dxa"/>
            <w:tcBorders/>
            <w:vAlign w:val="center"/>
          </w:tcPr>
          <w:p>
            <w:pPr>
              <w:pStyle w:val="TableContents"/>
              <w:bidi w:val="0"/>
              <w:spacing w:before="0" w:after="0"/>
              <w:jc w:val="left"/>
              <w:rPr/>
            </w:pPr>
            <w:r>
              <w:rPr/>
              <w:t>State of New York</w:t>
            </w:r>
          </w:p>
        </w:tc>
      </w:tr>
      <w:tr>
        <w:trPr/>
        <w:tc>
          <w:tcPr>
            <w:tcW w:w="1776"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1776" w:type="dxa"/>
            <w:tcBorders/>
            <w:vAlign w:val="center"/>
          </w:tcPr>
          <w:p>
            <w:pPr>
              <w:pStyle w:val="TableContents"/>
              <w:bidi w:val="0"/>
              <w:spacing w:before="0" w:after="0"/>
              <w:jc w:val="left"/>
              <w:rPr>
                <w:b/>
              </w:rPr>
            </w:pPr>
            <w:r>
              <w:rPr>
                <w:b/>
              </w:rPr>
              <w:t>Day Count Convention:</w:t>
            </w:r>
          </w:p>
        </w:tc>
        <w:tc>
          <w:tcPr>
            <w:tcW w:w="8429" w:type="dxa"/>
            <w:tcBorders/>
            <w:vAlign w:val="center"/>
          </w:tcPr>
          <w:p>
            <w:pPr>
              <w:pStyle w:val="TableContents"/>
              <w:bidi w:val="0"/>
              <w:spacing w:before="0" w:after="0"/>
              <w:jc w:val="left"/>
              <w:rPr/>
            </w:pPr>
            <w:r>
              <w:rPr/>
              <w:t>ACTUAL/ACTUAL (ICMA)</w:t>
            </w:r>
          </w:p>
        </w:tc>
      </w:tr>
      <w:tr>
        <w:trPr/>
        <w:tc>
          <w:tcPr>
            <w:tcW w:w="1776"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1776" w:type="dxa"/>
            <w:tcBorders/>
            <w:vAlign w:val="center"/>
          </w:tcPr>
          <w:p>
            <w:pPr>
              <w:pStyle w:val="TableContents"/>
              <w:bidi w:val="0"/>
              <w:spacing w:before="0" w:after="0"/>
              <w:jc w:val="left"/>
              <w:rPr>
                <w:b/>
              </w:rPr>
            </w:pPr>
            <w:r>
              <w:rPr>
                <w:b/>
              </w:rPr>
              <w:t>Denominations:</w:t>
            </w:r>
          </w:p>
        </w:tc>
        <w:tc>
          <w:tcPr>
            <w:tcW w:w="8429" w:type="dxa"/>
            <w:tcBorders/>
            <w:vAlign w:val="center"/>
          </w:tcPr>
          <w:p>
            <w:pPr>
              <w:pStyle w:val="TableContents"/>
              <w:bidi w:val="0"/>
              <w:spacing w:before="0" w:after="0"/>
              <w:jc w:val="left"/>
              <w:rPr/>
            </w:pPr>
            <w:r>
              <w:rPr/>
              <w:t>€</w:t>
            </w:r>
            <w:r>
              <w:rPr/>
              <w:t>100,000 and integral multiples of €1,000 in excess thereof</w:t>
            </w:r>
          </w:p>
        </w:tc>
      </w:tr>
      <w:tr>
        <w:trPr/>
        <w:tc>
          <w:tcPr>
            <w:tcW w:w="1776"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1776" w:type="dxa"/>
            <w:tcBorders/>
            <w:vAlign w:val="center"/>
          </w:tcPr>
          <w:p>
            <w:pPr>
              <w:pStyle w:val="TableContents"/>
              <w:bidi w:val="0"/>
              <w:spacing w:before="0" w:after="0"/>
              <w:jc w:val="left"/>
              <w:rPr>
                <w:b/>
              </w:rPr>
            </w:pPr>
            <w:r>
              <w:rPr>
                <w:b/>
              </w:rPr>
              <w:t>Stabilization:</w:t>
            </w:r>
          </w:p>
        </w:tc>
        <w:tc>
          <w:tcPr>
            <w:tcW w:w="8429" w:type="dxa"/>
            <w:tcBorders/>
            <w:vAlign w:val="center"/>
          </w:tcPr>
          <w:p>
            <w:pPr>
              <w:pStyle w:val="TableContents"/>
              <w:bidi w:val="0"/>
              <w:spacing w:before="0" w:after="0"/>
              <w:jc w:val="left"/>
              <w:rPr/>
            </w:pPr>
            <w:r>
              <w:rPr/>
              <w:t>FCA / ICMA</w:t>
            </w:r>
          </w:p>
        </w:tc>
      </w:tr>
      <w:tr>
        <w:trPr/>
        <w:tc>
          <w:tcPr>
            <w:tcW w:w="1776"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1776" w:type="dxa"/>
            <w:tcBorders/>
            <w:vAlign w:val="center"/>
          </w:tcPr>
          <w:p>
            <w:pPr>
              <w:pStyle w:val="TableContents"/>
              <w:bidi w:val="0"/>
              <w:spacing w:before="0" w:after="0"/>
              <w:jc w:val="left"/>
              <w:rPr>
                <w:b/>
              </w:rPr>
            </w:pPr>
            <w:r>
              <w:rPr>
                <w:b/>
              </w:rPr>
              <w:t>Expected Settlement Date:</w:t>
            </w:r>
          </w:p>
        </w:tc>
        <w:tc>
          <w:tcPr>
            <w:tcW w:w="8429" w:type="dxa"/>
            <w:tcBorders/>
            <w:vAlign w:val="center"/>
          </w:tcPr>
          <w:p>
            <w:pPr>
              <w:pStyle w:val="TableContents"/>
              <w:bidi w:val="0"/>
              <w:spacing w:before="0" w:after="0"/>
              <w:jc w:val="left"/>
              <w:rPr/>
            </w:pPr>
            <w:r>
              <w:rPr/>
              <w:t>It is expected that delivery of the Notes will be made against payment therefor on or about June 17, 2026, which will be the third business day following the date of pricing of the notes (such settlement cycle being herein referred to as “T+3”). Under Rule 15c6-1 under the Exchange Act, trades in the secondary market generally are required to settle in one business day, unless the parties to any such trade expressly agree otherwise. Accordingly, purchasers who wish to trade notes prior to one business day preceding the closing date will be required, by virtue of the fact that the notes initially will settle T+3, to specify an alternate settlement cycle at the time of any such trade to prevent a failed settlement. Purchasers of notes who wish to trade notes prior to one business day preceding the closing date should consult their own advisor.</w:t>
            </w:r>
          </w:p>
        </w:tc>
      </w:tr>
      <w:tr>
        <w:trPr/>
        <w:tc>
          <w:tcPr>
            <w:tcW w:w="1776"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1776" w:type="dxa"/>
            <w:tcBorders/>
            <w:vAlign w:val="center"/>
          </w:tcPr>
          <w:p>
            <w:pPr>
              <w:pStyle w:val="TableContents"/>
              <w:bidi w:val="0"/>
              <w:spacing w:before="0" w:after="0"/>
              <w:jc w:val="left"/>
              <w:rPr>
                <w:b/>
              </w:rPr>
            </w:pPr>
            <w:r>
              <w:rPr>
                <w:b/>
              </w:rPr>
              <w:t>ISIN / Common Code:</w:t>
            </w:r>
          </w:p>
        </w:tc>
        <w:tc>
          <w:tcPr>
            <w:tcW w:w="8429" w:type="dxa"/>
            <w:tcBorders/>
            <w:vAlign w:val="center"/>
          </w:tcPr>
          <w:p>
            <w:pPr>
              <w:pStyle w:val="TableContents"/>
              <w:bidi w:val="0"/>
              <w:spacing w:before="0" w:after="0"/>
              <w:jc w:val="left"/>
              <w:rPr/>
            </w:pPr>
            <w:r>
              <w:rPr/>
              <w:t>XS3325429580 / 332542958</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2916"/>
        <w:gridCol w:w="7289"/>
      </w:tblGrid>
      <w:tr>
        <w:trPr/>
        <w:tc>
          <w:tcPr>
            <w:tcW w:w="2916" w:type="dxa"/>
            <w:tcBorders/>
            <w:vAlign w:val="center"/>
          </w:tcPr>
          <w:p>
            <w:pPr>
              <w:pStyle w:val="TableContents"/>
              <w:bidi w:val="0"/>
              <w:spacing w:before="0" w:after="0"/>
              <w:jc w:val="left"/>
              <w:rPr>
                <w:b/>
              </w:rPr>
            </w:pPr>
            <w:r>
              <w:rPr>
                <w:b/>
              </w:rPr>
              <w:t>Prohibition of Sales to EEA/UK Retail Investors:</w:t>
            </w:r>
          </w:p>
        </w:tc>
        <w:tc>
          <w:tcPr>
            <w:tcW w:w="7289" w:type="dxa"/>
            <w:tcBorders/>
            <w:vAlign w:val="center"/>
          </w:tcPr>
          <w:p>
            <w:pPr>
              <w:pStyle w:val="TableContents"/>
              <w:bidi w:val="0"/>
              <w:spacing w:before="0" w:after="0"/>
              <w:jc w:val="left"/>
              <w:rPr/>
            </w:pPr>
            <w:r>
              <w:rPr/>
              <w:t>Applicable</w:t>
            </w:r>
          </w:p>
        </w:tc>
      </w:tr>
      <w:tr>
        <w:trPr/>
        <w:tc>
          <w:tcPr>
            <w:tcW w:w="2916" w:type="dxa"/>
            <w:tcBorders/>
            <w:vAlign w:val="center"/>
          </w:tcPr>
          <w:p>
            <w:pPr>
              <w:pStyle w:val="TableContents"/>
              <w:bidi w:val="0"/>
              <w:spacing w:before="0" w:after="283"/>
              <w:jc w:val="left"/>
              <w:rPr/>
            </w:pPr>
            <w:r>
              <w:rPr/>
              <w:t> </w:t>
            </w:r>
          </w:p>
        </w:tc>
        <w:tc>
          <w:tcPr>
            <w:tcW w:w="7289" w:type="dxa"/>
            <w:tcBorders/>
            <w:vAlign w:val="center"/>
          </w:tcPr>
          <w:p>
            <w:pPr>
              <w:pStyle w:val="TableContents"/>
              <w:bidi w:val="0"/>
              <w:spacing w:before="0" w:after="283"/>
              <w:jc w:val="left"/>
              <w:rPr/>
            </w:pPr>
            <w:r>
              <w:rPr/>
              <w:t> </w:t>
            </w:r>
          </w:p>
        </w:tc>
      </w:tr>
      <w:tr>
        <w:trPr/>
        <w:tc>
          <w:tcPr>
            <w:tcW w:w="2916" w:type="dxa"/>
            <w:tcBorders/>
            <w:vAlign w:val="center"/>
          </w:tcPr>
          <w:p>
            <w:pPr>
              <w:pStyle w:val="TableContents"/>
              <w:bidi w:val="0"/>
              <w:spacing w:before="0" w:after="0"/>
              <w:jc w:val="left"/>
              <w:rPr>
                <w:b/>
              </w:rPr>
            </w:pPr>
            <w:r>
              <w:rPr>
                <w:b/>
              </w:rPr>
              <w:t>MiFID II/UK MiFIR Target Market:</w:t>
            </w:r>
          </w:p>
        </w:tc>
        <w:tc>
          <w:tcPr>
            <w:tcW w:w="7289" w:type="dxa"/>
            <w:tcBorders/>
            <w:vAlign w:val="center"/>
          </w:tcPr>
          <w:p>
            <w:pPr>
              <w:pStyle w:val="TableContents"/>
              <w:bidi w:val="0"/>
              <w:spacing w:before="0" w:after="0"/>
              <w:jc w:val="left"/>
              <w:rPr/>
            </w:pPr>
            <w:r>
              <w:rPr/>
              <w:t>No EU PRIIPs key information document (KID) and no UK disclosure document required by DISC have been prepared as the notes are not available to retail in EEA or UK.</w:t>
            </w:r>
          </w:p>
        </w:tc>
      </w:tr>
      <w:tr>
        <w:trPr/>
        <w:tc>
          <w:tcPr>
            <w:tcW w:w="2916" w:type="dxa"/>
            <w:tcBorders/>
            <w:vAlign w:val="center"/>
          </w:tcPr>
          <w:p>
            <w:pPr>
              <w:pStyle w:val="TableContents"/>
              <w:bidi w:val="0"/>
              <w:spacing w:before="0" w:after="283"/>
              <w:jc w:val="left"/>
              <w:rPr/>
            </w:pPr>
            <w:r>
              <w:rPr/>
              <w:t> </w:t>
            </w:r>
          </w:p>
        </w:tc>
        <w:tc>
          <w:tcPr>
            <w:tcW w:w="7289" w:type="dxa"/>
            <w:tcBorders/>
            <w:vAlign w:val="center"/>
          </w:tcPr>
          <w:p>
            <w:pPr>
              <w:pStyle w:val="TableContents"/>
              <w:bidi w:val="0"/>
              <w:spacing w:before="0" w:after="283"/>
              <w:jc w:val="left"/>
              <w:rPr/>
            </w:pPr>
            <w:r>
              <w:rPr/>
              <w:t> </w:t>
            </w:r>
          </w:p>
        </w:tc>
      </w:tr>
      <w:tr>
        <w:trPr/>
        <w:tc>
          <w:tcPr>
            <w:tcW w:w="2916" w:type="dxa"/>
            <w:tcBorders/>
            <w:vAlign w:val="center"/>
          </w:tcPr>
          <w:p>
            <w:pPr>
              <w:pStyle w:val="TableContents"/>
              <w:bidi w:val="0"/>
              <w:spacing w:before="0" w:after="0"/>
              <w:jc w:val="left"/>
              <w:rPr>
                <w:b/>
              </w:rPr>
            </w:pPr>
            <w:r>
              <w:rPr>
                <w:b/>
              </w:rPr>
              <w:t>Active Joint Book-Running Managers:</w:t>
            </w:r>
          </w:p>
        </w:tc>
        <w:tc>
          <w:tcPr>
            <w:tcW w:w="7289" w:type="dxa"/>
            <w:tcBorders/>
            <w:vAlign w:val="center"/>
          </w:tcPr>
          <w:p>
            <w:pPr>
              <w:pStyle w:val="TableContents"/>
              <w:bidi w:val="0"/>
              <w:spacing w:before="0" w:after="0"/>
              <w:jc w:val="left"/>
              <w:rPr/>
            </w:pPr>
            <w:r>
              <w:rPr/>
              <w:t>BNP PARIBAS</w:t>
            </w:r>
          </w:p>
          <w:p>
            <w:pPr>
              <w:pStyle w:val="TableContents"/>
              <w:bidi w:val="0"/>
              <w:spacing w:before="0" w:after="0"/>
              <w:jc w:val="left"/>
              <w:rPr/>
            </w:pPr>
            <w:r>
              <w:rPr/>
              <w:t>Citigroup Global Markets Limited</w:t>
            </w:r>
          </w:p>
          <w:p>
            <w:pPr>
              <w:pStyle w:val="TableContents"/>
              <w:bidi w:val="0"/>
              <w:spacing w:before="0" w:after="0"/>
              <w:jc w:val="left"/>
              <w:rPr/>
            </w:pPr>
            <w:r>
              <w:rPr/>
              <w:t>Goldman Sachs &amp; Co. LLC</w:t>
            </w:r>
          </w:p>
        </w:tc>
      </w:tr>
      <w:tr>
        <w:trPr/>
        <w:tc>
          <w:tcPr>
            <w:tcW w:w="2916" w:type="dxa"/>
            <w:tcBorders/>
            <w:vAlign w:val="center"/>
          </w:tcPr>
          <w:p>
            <w:pPr>
              <w:pStyle w:val="TableContents"/>
              <w:bidi w:val="0"/>
              <w:spacing w:before="0" w:after="283"/>
              <w:jc w:val="left"/>
              <w:rPr/>
            </w:pPr>
            <w:r>
              <w:rPr/>
              <w:t> </w:t>
            </w:r>
          </w:p>
        </w:tc>
        <w:tc>
          <w:tcPr>
            <w:tcW w:w="7289" w:type="dxa"/>
            <w:tcBorders/>
            <w:vAlign w:val="center"/>
          </w:tcPr>
          <w:p>
            <w:pPr>
              <w:pStyle w:val="TableContents"/>
              <w:bidi w:val="0"/>
              <w:spacing w:before="0" w:after="283"/>
              <w:jc w:val="left"/>
              <w:rPr/>
            </w:pPr>
            <w:r>
              <w:rPr/>
              <w:t> </w:t>
            </w:r>
          </w:p>
        </w:tc>
      </w:tr>
      <w:tr>
        <w:trPr/>
        <w:tc>
          <w:tcPr>
            <w:tcW w:w="2916" w:type="dxa"/>
            <w:tcBorders/>
            <w:vAlign w:val="center"/>
          </w:tcPr>
          <w:p>
            <w:pPr>
              <w:pStyle w:val="TableContents"/>
              <w:bidi w:val="0"/>
              <w:spacing w:before="0" w:after="0"/>
              <w:jc w:val="left"/>
              <w:rPr>
                <w:b/>
              </w:rPr>
            </w:pPr>
            <w:r>
              <w:rPr>
                <w:b/>
              </w:rPr>
              <w:t>Passive Joint Book-Running Managers:</w:t>
            </w:r>
          </w:p>
        </w:tc>
        <w:tc>
          <w:tcPr>
            <w:tcW w:w="7289" w:type="dxa"/>
            <w:tcBorders/>
            <w:vAlign w:val="center"/>
          </w:tcPr>
          <w:p>
            <w:pPr>
              <w:pStyle w:val="TableContents"/>
              <w:bidi w:val="0"/>
              <w:spacing w:before="0" w:after="0"/>
              <w:jc w:val="left"/>
              <w:rPr/>
            </w:pPr>
            <w:r>
              <w:rPr/>
              <w:t>Barclays Bank PLC</w:t>
            </w:r>
          </w:p>
          <w:p>
            <w:pPr>
              <w:pStyle w:val="TableContents"/>
              <w:bidi w:val="0"/>
              <w:spacing w:before="0" w:after="0"/>
              <w:jc w:val="left"/>
              <w:rPr/>
            </w:pPr>
            <w:r>
              <w:rPr/>
              <w:t>Deutsche Bank AG, London Branch</w:t>
            </w:r>
          </w:p>
          <w:p>
            <w:pPr>
              <w:pStyle w:val="TableContents"/>
              <w:bidi w:val="0"/>
              <w:spacing w:before="0" w:after="0"/>
              <w:jc w:val="left"/>
              <w:rPr/>
            </w:pPr>
            <w:r>
              <w:rPr/>
              <w:t>DNB Bank ASA</w:t>
            </w:r>
          </w:p>
        </w:tc>
      </w:tr>
      <w:tr>
        <w:trPr/>
        <w:tc>
          <w:tcPr>
            <w:tcW w:w="2916" w:type="dxa"/>
            <w:tcBorders/>
            <w:vAlign w:val="center"/>
          </w:tcPr>
          <w:p>
            <w:pPr>
              <w:pStyle w:val="TableContents"/>
              <w:bidi w:val="0"/>
              <w:spacing w:before="0" w:after="283"/>
              <w:jc w:val="left"/>
              <w:rPr/>
            </w:pPr>
            <w:r>
              <w:rPr/>
              <w:t> </w:t>
            </w:r>
          </w:p>
        </w:tc>
        <w:tc>
          <w:tcPr>
            <w:tcW w:w="7289" w:type="dxa"/>
            <w:tcBorders/>
            <w:vAlign w:val="center"/>
          </w:tcPr>
          <w:p>
            <w:pPr>
              <w:pStyle w:val="TableContents"/>
              <w:bidi w:val="0"/>
              <w:spacing w:before="0" w:after="283"/>
              <w:jc w:val="left"/>
              <w:rPr/>
            </w:pPr>
            <w:r>
              <w:rPr/>
              <w:t> </w:t>
            </w:r>
          </w:p>
        </w:tc>
      </w:tr>
      <w:tr>
        <w:trPr/>
        <w:tc>
          <w:tcPr>
            <w:tcW w:w="2916" w:type="dxa"/>
            <w:tcBorders/>
            <w:vAlign w:val="center"/>
          </w:tcPr>
          <w:p>
            <w:pPr>
              <w:pStyle w:val="TableContents"/>
              <w:bidi w:val="0"/>
              <w:spacing w:before="0" w:after="0"/>
              <w:jc w:val="left"/>
              <w:rPr>
                <w:b/>
              </w:rPr>
            </w:pPr>
            <w:r>
              <w:rPr>
                <w:b/>
              </w:rPr>
              <w:t>Co-Managers:</w:t>
            </w:r>
          </w:p>
        </w:tc>
        <w:tc>
          <w:tcPr>
            <w:tcW w:w="7289" w:type="dxa"/>
            <w:tcBorders/>
            <w:vAlign w:val="center"/>
          </w:tcPr>
          <w:p>
            <w:pPr>
              <w:pStyle w:val="TableContents"/>
              <w:bidi w:val="0"/>
              <w:spacing w:before="0" w:after="0"/>
              <w:jc w:val="left"/>
              <w:rPr/>
            </w:pPr>
            <w:r>
              <w:rPr/>
              <w:t>ING Bank N.V., Belgian Branch</w:t>
            </w:r>
          </w:p>
          <w:p>
            <w:pPr>
              <w:pStyle w:val="TableContents"/>
              <w:bidi w:val="0"/>
              <w:spacing w:before="0" w:after="0"/>
              <w:jc w:val="left"/>
              <w:rPr/>
            </w:pPr>
            <w:r>
              <w:rPr/>
              <w:t>J.P. Morgan Securities plc</w:t>
            </w:r>
          </w:p>
          <w:p>
            <w:pPr>
              <w:pStyle w:val="TableContents"/>
              <w:bidi w:val="0"/>
              <w:spacing w:before="0" w:after="0"/>
              <w:jc w:val="left"/>
              <w:rPr/>
            </w:pPr>
            <w:r>
              <w:rPr/>
              <w:t>Merrill Lynch International</w:t>
            </w:r>
          </w:p>
          <w:p>
            <w:pPr>
              <w:pStyle w:val="TableContents"/>
              <w:bidi w:val="0"/>
              <w:spacing w:before="0" w:after="0"/>
              <w:jc w:val="left"/>
              <w:rPr/>
            </w:pPr>
            <w:r>
              <w:rPr/>
              <w:t>Mizuho International plc</w:t>
            </w:r>
          </w:p>
          <w:p>
            <w:pPr>
              <w:pStyle w:val="TableContents"/>
              <w:bidi w:val="0"/>
              <w:spacing w:before="0" w:after="0"/>
              <w:jc w:val="left"/>
              <w:rPr/>
            </w:pPr>
            <w:r>
              <w:rPr/>
              <w:t>Morgan Stanley &amp; Co. International plc</w:t>
            </w:r>
          </w:p>
          <w:p>
            <w:pPr>
              <w:pStyle w:val="TableContents"/>
              <w:bidi w:val="0"/>
              <w:spacing w:before="0" w:after="0"/>
              <w:jc w:val="left"/>
              <w:rPr/>
            </w:pPr>
            <w:r>
              <w:rPr/>
              <w:t>PNC Capital Markets LLC</w:t>
            </w:r>
          </w:p>
          <w:p>
            <w:pPr>
              <w:pStyle w:val="TableContents"/>
              <w:bidi w:val="0"/>
              <w:spacing w:before="0" w:after="0"/>
              <w:jc w:val="left"/>
              <w:rPr/>
            </w:pPr>
            <w:r>
              <w:rPr/>
              <w:t>SMBC Bank International plc</w:t>
            </w:r>
          </w:p>
          <w:p>
            <w:pPr>
              <w:pStyle w:val="TableContents"/>
              <w:bidi w:val="0"/>
              <w:spacing w:before="0" w:after="0"/>
              <w:jc w:val="left"/>
              <w:rPr/>
            </w:pPr>
            <w:r>
              <w:rPr/>
              <w:t>Scotiabank (Ireland) Designated Activity Company</w:t>
            </w:r>
          </w:p>
          <w:p>
            <w:pPr>
              <w:pStyle w:val="TableContents"/>
              <w:bidi w:val="0"/>
              <w:spacing w:before="0" w:after="0"/>
              <w:jc w:val="left"/>
              <w:rPr/>
            </w:pPr>
            <w:r>
              <w:rPr/>
              <w:t>Société Générale</w:t>
            </w:r>
          </w:p>
          <w:p>
            <w:pPr>
              <w:pStyle w:val="TableContents"/>
              <w:bidi w:val="0"/>
              <w:spacing w:before="0" w:after="0"/>
              <w:jc w:val="left"/>
              <w:rPr/>
            </w:pPr>
            <w:r>
              <w:rPr/>
              <w:t>Standard Chartered Bank</w:t>
            </w:r>
          </w:p>
          <w:p>
            <w:pPr>
              <w:pStyle w:val="TableContents"/>
              <w:bidi w:val="0"/>
              <w:spacing w:before="0" w:after="0"/>
              <w:jc w:val="left"/>
              <w:rPr/>
            </w:pPr>
            <w:r>
              <w:rPr/>
              <w:t>Academy Securities, Inc.</w:t>
            </w:r>
          </w:p>
          <w:p>
            <w:pPr>
              <w:pStyle w:val="TableContents"/>
              <w:bidi w:val="0"/>
              <w:spacing w:before="0" w:after="0"/>
              <w:jc w:val="left"/>
              <w:rPr/>
            </w:pPr>
            <w:r>
              <w:rPr/>
              <w:t>R. Seelaus &amp; Co., LLC</w:t>
            </w:r>
          </w:p>
        </w:tc>
      </w:tr>
    </w:tbl>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 securities rating is not a recommendation to buy, sell or hold securities and may be subject to revision or withdrawal by the assigning rating organization at any time. Each rating should be evaluated independently of any other rating.</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The Issuer has filed an automatic shelf registration statement (including a prospectus) and a prospectus supplement with the U.S. Securities and Exchange Commission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EDGAR on the SEC website at </w:t>
      </w:r>
      <w:r>
        <w:rPr>
          <w:rFonts w:ascii="Times New Roman;Times;serif" w:hAnsi="Times New Roman;Times;serif"/>
          <w:b/>
          <w:color w:val="000000"/>
          <w:sz w:val="20"/>
          <w:u w:val="single"/>
        </w:rPr>
        <w:t>www.sec.gov</w:t>
      </w:r>
      <w:r>
        <w:rPr>
          <w:rFonts w:ascii="Times New Roman;Times;serif" w:hAnsi="Times New Roman;Times;serif"/>
          <w:b/>
          <w:color w:val="000000"/>
          <w:sz w:val="20"/>
        </w:rPr>
        <w:t>. Alternatively, the Issuer, any underwriter or any dealer participating in the offering will arrange to send you the prospectus and prospectus supplement if you request it by calling (i) BNP PARIBAS at +44 0-20-7595-8222; (ii) Citigroup Global Markets Limited toll-free at +1-800-831-9146 or (iii) Goldman Sachs &amp; Co. LLC toll-free at +1-866-471-2526.</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4</w:t>
      </w:r>
      <w:r>
        <w:rPr>
          <w:rFonts w:ascii="Times New Roman;Times;serif" w:hAnsi="Times New Roman;Times;serif"/>
          <w:color w:val="000000"/>
          <w:sz w:val="20"/>
        </w:rPr>
        <w:t xml:space="preserve"> </w:t>
      </w:r>
    </w:p>
    <w:p>
      <w:pPr>
        <w:pStyle w:val="HorizontalLine"/>
        <w:pBdr>
          <w:bottom w:val="single" w:sz="12" w:space="0" w:color="808080"/>
        </w:pBdr>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1104</Words>
  <Characters>5889</Characters>
  <CharactersWithSpaces>6959</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