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6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4"/>
        </w:rPr>
      </w:pPr>
      <w:bookmarkStart w:id="0" w:name="ny20055082x771_def14a_000-regcov_pg1"/>
      <w:bookmarkStart w:id="1" w:name="ny20055082x772_defa14a.htm"/>
      <w:bookmarkStart w:id="2" w:name="ksny20055082x772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4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SCHEDULE 14A 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Proxy Statement Pursuant to Section 14(a) of the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Securities Exchange Act of 1934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(Amendment No. )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28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5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76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734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73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Confidential, for Use of the Commission Only (as permitted by Rule14a-6(e)(2))</w:t>
            </w: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 </w:t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42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9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66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5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2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Soliciting Material under §240.14a-12 </w:t>
            </w:r>
          </w:p>
        </w:tc>
      </w:tr>
    </w:tbl>
    <w:tbl>
      <w:tblPr>
        <w:tblW w:w="66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65"/>
      </w:tblGrid>
      <w:tr>
        <w:trPr/>
        <w:tc>
          <w:tcPr>
            <w:tcW w:w="66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666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36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36"/>
              </w:rPr>
              <w:t xml:space="preserve">VIATRIS INC. </w:t>
            </w:r>
          </w:p>
        </w:tc>
      </w:tr>
      <w:tr>
        <w:trPr/>
        <w:tc>
          <w:tcPr>
            <w:tcW w:w="6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 xml:space="preserve">(Name of Registrant as Specified In Its Charter) </w:t>
            </w:r>
          </w:p>
        </w:tc>
      </w:tr>
      <w:tr>
        <w:trPr/>
        <w:tc>
          <w:tcPr>
            <w:tcW w:w="6665" w:type="dxa"/>
            <w:tcBorders>
              <w:bottom w:val="single" w:sz="8" w:space="0" w:color="000000"/>
            </w:tcBorders>
            <w:tcMar>
              <w:bottom w:w="43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66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all boxes that apply): </w:t>
      </w:r>
    </w:p>
    <w:tbl>
      <w:tblPr>
        <w:tblW w:w="9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140"/>
        <w:gridCol w:w="140"/>
        <w:gridCol w:w="875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paid previously with preliminary materials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computed on table in exhibit required by Item 25(b) per Exchange Act Rules 14a-6(i)(1) and 0-11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80" w:after="20"/>
        <w:ind w:left="0" w:right="0" w:hanging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80" w:after="20"/>
        <w:jc w:val="left"/>
        <w:rPr/>
      </w:pPr>
      <w:r>
        <w:rPr/>
      </w:r>
    </w:p>
    <w:p>
      <w:pPr>
        <w:pStyle w:val="TextBody"/>
        <w:bidi w:val="0"/>
        <w:spacing w:before="80" w:after="20"/>
        <w:jc w:val="center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drawing>
          <wp:inline distT="0" distB="0" distL="0" distR="0">
            <wp:extent cx="6000750" cy="77628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bdr w:val="single" w:sz="16" w:space="1" w:color="000000"/>
        </w:rPr>
        <w:t xml:space="preserve"> </w:t>
      </w:r>
    </w:p>
    <w:p>
      <w:pPr>
        <w:pStyle w:val="TextBody"/>
        <w:bidi w:val="0"/>
        <w:spacing w:before="80" w:after="2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80" w:after="20"/>
        <w:jc w:val="center"/>
        <w:rPr/>
      </w:pPr>
      <w:r>
        <w:rPr/>
      </w:r>
    </w:p>
    <w:p>
      <w:pPr>
        <w:pStyle w:val="TextBody"/>
        <w:bidi w:val="0"/>
        <w:spacing w:before="80" w:after="20"/>
        <w:jc w:val="center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drawing>
          <wp:inline distT="0" distB="0" distL="0" distR="0">
            <wp:extent cx="6000750" cy="77628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bdr w:val="single" w:sz="16" w:space="1" w:color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80" w:after="20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133</Words>
  <Characters>718</Characters>
  <CharactersWithSpaces>875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