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February 27, 2025</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983" w:right="3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sectPr>
          <w:pgSz w:w="11900" w:h="16838" w:orient="portrait"/>
          <w:cols w:equalWidth="0" w:num="3">
            <w:col w:w="4500" w:space="720"/>
            <w:col w:w="2980" w:space="720"/>
            <w:col w:w="2320"/>
          </w:cols>
          <w:pgMar w:left="320" w:top="983"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80"/>
          </w:cols>
          <w:pgMar w:left="320" w:top="983" w:right="339" w:bottom="1440" w:gutter="0" w:footer="0" w:header="0"/>
          <w:type w:val="continuous"/>
        </w:sectPr>
      </w:pP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33" w:lineRule="exact"/>
        <w:rPr>
          <w:sz w:val="24"/>
          <w:szCs w:val="24"/>
          <w:color w:val="auto"/>
        </w:rPr>
      </w:pPr>
    </w:p>
    <w:p>
      <w:pPr>
        <w:ind w:right="100" w:firstLine="324"/>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44" w:lineRule="exact"/>
        <w:rPr>
          <w:sz w:val="24"/>
          <w:szCs w:val="24"/>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119"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105"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 (b))</w:t>
      </w:r>
    </w:p>
    <w:p>
      <w:pPr>
        <w:spacing w:after="0" w:line="119" w:lineRule="exact"/>
        <w:rPr>
          <w:rFonts w:ascii="MS PGothic" w:cs="MS PGothic" w:eastAsia="MS PGothic" w:hAnsi="MS PGothic"/>
          <w:sz w:val="19"/>
          <w:szCs w:val="19"/>
          <w:color w:val="auto"/>
        </w:rPr>
      </w:pPr>
    </w:p>
    <w:p>
      <w:pPr>
        <w:ind w:right="2060" w:firstLine="332"/>
        <w:spacing w:after="0" w:line="369" w:lineRule="auto"/>
        <w:tabs>
          <w:tab w:leader="none" w:pos="688"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 (c)) Securities registered pursuant to Section 12(b) of the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0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54" w:lineRule="exact"/>
        <w:rPr>
          <w:sz w:val="24"/>
          <w:szCs w:val="24"/>
          <w:color w:val="auto"/>
        </w:rPr>
      </w:pPr>
    </w:p>
    <w:p>
      <w:pPr>
        <w:ind w:right="180" w:firstLine="324"/>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ind w:left="340"/>
        <w:spacing w:after="0" w:line="219" w:lineRule="exact"/>
        <w:tabs>
          <w:tab w:leader="none" w:pos="2560" w:val="left"/>
        </w:tabs>
        <w:rPr>
          <w:sz w:val="20"/>
          <w:szCs w:val="20"/>
          <w:color w:val="auto"/>
        </w:rPr>
      </w:pPr>
      <w:r>
        <w:rPr>
          <w:rFonts w:ascii="Times New Roman" w:cs="Times New Roman" w:eastAsia="Times New Roman" w:hAnsi="Times New Roman"/>
          <w:sz w:val="19"/>
          <w:szCs w:val="19"/>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35" w:lineRule="exact"/>
        <w:rPr>
          <w:sz w:val="24"/>
          <w:szCs w:val="24"/>
          <w:color w:val="auto"/>
        </w:rPr>
      </w:pPr>
    </w:p>
    <w:p>
      <w:pPr>
        <w:ind w:left="340" w:right="340"/>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27, 2025, Viatris Inc. (“Viatris” or the “Company”) issued a press release reporting the Company's financial results for the period ended December 31, 2024 and announcing 2025 guidance. A copy of the press release is attached hereto as Exhibit 99.1 and is incorporated herein by reference.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fourth quarter and full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8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r>
      <w:tr>
        <w:trPr>
          <w:trHeight w:val="495"/>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860" w:type="dxa"/>
            <w:vAlign w:val="bottom"/>
          </w:tcPr>
          <w:p>
            <w:pPr>
              <w:spacing w:after="0"/>
              <w:rPr>
                <w:sz w:val="16"/>
                <w:szCs w:val="16"/>
                <w:color w:val="auto"/>
              </w:rPr>
            </w:pPr>
          </w:p>
        </w:tc>
        <w:tc>
          <w:tcPr>
            <w:tcW w:w="862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w w:val="99"/>
              </w:rPr>
              <w:t>Press release announcing the Company’s financial results for the fourth quarter and year ended December 31, 2024.</w:t>
            </w:r>
          </w:p>
        </w:tc>
      </w:tr>
    </w:tbl>
    <w:p>
      <w:pPr>
        <w:spacing w:after="0" w:line="22"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Theodora Mistras</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Viatris Reports Fourth Quarter and Full Year 2024 Financial Results and</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Provides 2025 Financial Guidance</w:t>
      </w:r>
    </w:p>
    <w:p>
      <w:pPr>
        <w:spacing w:after="0" w:line="373" w:lineRule="exact"/>
        <w:rPr>
          <w:sz w:val="20"/>
          <w:szCs w:val="20"/>
          <w:color w:val="auto"/>
        </w:rPr>
      </w:pPr>
    </w:p>
    <w:p>
      <w:pPr>
        <w:ind w:left="660" w:right="40" w:hanging="328"/>
        <w:spacing w:after="0" w:line="247" w:lineRule="auto"/>
        <w:tabs>
          <w:tab w:leader="none" w:pos="655"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Meets 2024 Guidance for Total Revenues, Adjusted EBITDA and Adjusted EPS; Exceeds 2024 Guidance for Free Cash Flow [1]</w:t>
      </w:r>
    </w:p>
    <w:p>
      <w:pPr>
        <w:spacing w:after="0" w:line="245" w:lineRule="exact"/>
        <w:rPr>
          <w:rFonts w:ascii="Arial" w:cs="Arial" w:eastAsia="Arial" w:hAnsi="Arial"/>
          <w:sz w:val="22"/>
          <w:szCs w:val="22"/>
          <w:i w:val="1"/>
          <w:iCs w:val="1"/>
          <w:color w:val="auto"/>
        </w:rPr>
      </w:pPr>
    </w:p>
    <w:p>
      <w:pPr>
        <w:ind w:left="660" w:hanging="328"/>
        <w:spacing w:after="0" w:line="251"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Reports 2024 Total Revenues of $14.7 Billion, U.S. GAAP Net Loss of $(634) Million, Adjusted EBITDA of $4.7 Billion, U.S. GAAP Diluted EPS Loss of $(0.53) per Share, Adjusted EPS of $2.65 per Share, U.S. GAAP Net Cash Provided by Operating Activities of $2.3 Billion, and Free Cash Flow of $2.0 Billion Including ~$650 Million of Transaction-Related Costs</w:t>
      </w:r>
    </w:p>
    <w:p>
      <w:pPr>
        <w:spacing w:after="0" w:line="228"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Delivers Strong New Product Revenues of $582 Million in 2024</w:t>
      </w:r>
    </w:p>
    <w:p>
      <w:pPr>
        <w:spacing w:after="0" w:line="260" w:lineRule="exact"/>
        <w:rPr>
          <w:rFonts w:ascii="Arial" w:cs="Arial" w:eastAsia="Arial" w:hAnsi="Arial"/>
          <w:sz w:val="22"/>
          <w:szCs w:val="22"/>
          <w:i w:val="1"/>
          <w:iCs w:val="1"/>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Returns $825 Million in Capital to Shareholders and Repays $3.7 Billion of Debt in 2024</w:t>
      </w:r>
    </w:p>
    <w:p>
      <w:pPr>
        <w:spacing w:after="0" w:line="260" w:lineRule="exact"/>
        <w:rPr>
          <w:rFonts w:ascii="Arial" w:cs="Arial" w:eastAsia="Arial" w:hAnsi="Arial"/>
          <w:sz w:val="22"/>
          <w:szCs w:val="22"/>
          <w:i w:val="1"/>
          <w:iCs w:val="1"/>
          <w:color w:val="auto"/>
        </w:rPr>
      </w:pPr>
    </w:p>
    <w:p>
      <w:pPr>
        <w:ind w:left="660" w:hanging="328"/>
        <w:spacing w:after="0"/>
        <w:tabs>
          <w:tab w:leader="none" w:pos="660"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Announces Plan to Prioritize Capital Return in 2025, Including $500 Million to $650 Million in Share Repurchases</w:t>
      </w:r>
    </w:p>
    <w:p>
      <w:pPr>
        <w:spacing w:after="0" w:line="246" w:lineRule="exact"/>
        <w:rPr>
          <w:rFonts w:ascii="Arial" w:cs="Arial" w:eastAsia="Arial" w:hAnsi="Arial"/>
          <w:sz w:val="22"/>
          <w:szCs w:val="22"/>
          <w:i w:val="1"/>
          <w:iCs w:val="1"/>
          <w:color w:val="auto"/>
        </w:rPr>
      </w:pPr>
    </w:p>
    <w:p>
      <w:pPr>
        <w:ind w:left="660" w:right="160" w:hanging="328"/>
        <w:spacing w:after="0" w:line="262" w:lineRule="auto"/>
        <w:tabs>
          <w:tab w:leader="none" w:pos="655"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Expects Six Phase 3 Data Readouts and Achievement of Important Late-Stage Development Milestones for Innovative Assets Selatogrel, Cenerimod and Sotagliflozin in 2025</w:t>
      </w:r>
    </w:p>
    <w:p>
      <w:pPr>
        <w:spacing w:after="0" w:line="215" w:lineRule="exact"/>
        <w:rPr>
          <w:rFonts w:ascii="Arial" w:cs="Arial" w:eastAsia="Arial" w:hAnsi="Arial"/>
          <w:sz w:val="22"/>
          <w:szCs w:val="22"/>
          <w:i w:val="1"/>
          <w:iCs w:val="1"/>
          <w:color w:val="auto"/>
        </w:rPr>
      </w:pPr>
    </w:p>
    <w:p>
      <w:pPr>
        <w:ind w:left="660" w:right="420" w:hanging="328"/>
        <w:spacing w:after="0" w:line="262" w:lineRule="auto"/>
        <w:tabs>
          <w:tab w:leader="none" w:pos="655" w:val="left"/>
        </w:tabs>
        <w:numPr>
          <w:ilvl w:val="0"/>
          <w:numId w:val="3"/>
        </w:numPr>
        <w:rPr>
          <w:rFonts w:ascii="Arial" w:cs="Arial" w:eastAsia="Arial" w:hAnsi="Arial"/>
          <w:sz w:val="22"/>
          <w:szCs w:val="22"/>
          <w:i w:val="1"/>
          <w:iCs w:val="1"/>
          <w:color w:val="auto"/>
        </w:rPr>
      </w:pPr>
      <w:r>
        <w:rPr>
          <w:rFonts w:ascii="Arial" w:cs="Arial" w:eastAsia="Arial" w:hAnsi="Arial"/>
          <w:sz w:val="20"/>
          <w:szCs w:val="20"/>
          <w:i w:val="1"/>
          <w:iCs w:val="1"/>
          <w:color w:val="auto"/>
        </w:rPr>
        <w:t>Provides 2025 Financial Guidance Including the Expected Financial Impact From Indore Facility Warning Letter and Import Alert</w:t>
      </w:r>
    </w:p>
    <w:p>
      <w:pPr>
        <w:spacing w:after="0" w:line="215" w:lineRule="exact"/>
        <w:rPr>
          <w:rFonts w:ascii="Arial" w:cs="Arial" w:eastAsia="Arial" w:hAnsi="Arial"/>
          <w:sz w:val="22"/>
          <w:szCs w:val="22"/>
          <w:i w:val="1"/>
          <w:iCs w:val="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Begins Enterprise-Wide Initiative to Review its Global Infrastructure and Identify Additional Cost Savings</w:t>
      </w:r>
    </w:p>
    <w:p>
      <w:pPr>
        <w:spacing w:after="0" w:line="339" w:lineRule="exact"/>
        <w:rPr>
          <w:sz w:val="20"/>
          <w:szCs w:val="20"/>
          <w:color w:val="auto"/>
        </w:rPr>
      </w:pPr>
    </w:p>
    <w:p>
      <w:pPr>
        <w:ind w:right="100"/>
        <w:spacing w:after="0" w:line="284" w:lineRule="auto"/>
        <w:rPr>
          <w:sz w:val="20"/>
          <w:szCs w:val="20"/>
          <w:color w:val="auto"/>
        </w:rPr>
      </w:pPr>
      <w:r>
        <w:rPr>
          <w:rFonts w:ascii="Arial" w:cs="Arial" w:eastAsia="Arial" w:hAnsi="Arial"/>
          <w:sz w:val="19"/>
          <w:szCs w:val="19"/>
          <w:b w:val="1"/>
          <w:bCs w:val="1"/>
          <w:color w:val="auto"/>
        </w:rPr>
        <w:t xml:space="preserve">PITTSBURGH – February 27, 2025 </w:t>
      </w:r>
      <w:r>
        <w:rPr>
          <w:rFonts w:ascii="Arial" w:cs="Arial" w:eastAsia="Arial" w:hAnsi="Arial"/>
          <w:sz w:val="19"/>
          <w:szCs w:val="19"/>
          <w:color w:val="auto"/>
        </w:rPr>
        <w:t>– Viatris Inc. (Nasdaq: VTRS) today announced strong financial results for the fourth</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and full year 2024—including divestiture-adjusted operational revenue growth of 2% for the full year with growth across all segments, new product revenues of $582 million and full year free cash flow that exceeded the Company’s guidance.[2]</w:t>
      </w:r>
    </w:p>
    <w:p>
      <w:pPr>
        <w:spacing w:after="0" w:line="293"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“2024 was a good year for Viatris with full year operational revenue growth of 2%, excluding divestitures, in line with our guidance,” said Scott A. Smith, CEO, Viatris. “As we head into 2025, we are focused on driving strong commercial execution, advancing our pipeline—including several important late-stage development milestones for selatogrel, cenerimod and sotagliflozin and six Phase 3 readouts—prioritizing capital return with a focus on share repurchases, executing our remediation plan for Indore and beginning an enterprise-wide initiative to review our global infrastructure and identify additional cost savings.”</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2024, we delivered strong cash flows that exceeded our expectations, strengthened our balance sheet with $3.7 billion of debt paydown and achieved our long-term gross leverage target, ending the year at 2.9x,” said Doretta Mistras, CFO, Viatris. “Looking at the year ahead, our focus will include executing on our 2025 operating plan and identifying opportunities to grow our business and streamline our global infrastructure post-divestitures. In addition, we will prioritize capital return to our shareholders, including a sizeable minimum commitment to share repurchases.”</w:t>
      </w:r>
    </w:p>
    <w:p>
      <w:pPr>
        <w:sectPr>
          <w:pgSz w:w="11900" w:h="16838" w:orient="portrait"/>
          <w:cols w:equalWidth="0" w:num="1">
            <w:col w:w="11180"/>
          </w:cols>
          <w:pgMar w:left="320" w:top="1440" w:right="399" w:bottom="1440" w:gutter="0" w:footer="0" w:header="0"/>
        </w:sectPr>
      </w:pPr>
    </w:p>
    <w:bookmarkStart w:id="5" w:name="page6"/>
    <w:bookmarkEnd w:id="5"/>
    <w:p>
      <w:pPr>
        <w:ind w:firstLine="8"/>
        <w:spacing w:after="0" w:line="254" w:lineRule="auto"/>
        <w:tabs>
          <w:tab w:leader="none" w:pos="275"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With respect to the 2024 guidance ranges provided on November 7, 2024, Viatris did not provide forward-looking guidance for U.S. GAAP net earnings (loss) or U.S. GAAP diluted EPS or a quantitative reconciliation of its 2024 Adjusted EBITDA or Adjusted EPS guidance. U.S. GAAP net cash provided by operating activities for 2024 was estimated to be between $2.62 billion and $2.92 billion. As previously disclosed, such guidance ranges excluded the impact of any divestiture-related taxes and transaction costs as well as any acquired IPR&amp;D for unsigned deals to be incurred in any future period as it could not be reasonably forecasted. U.S. GAAP net cash provided by operating activities for 2024 was $2.3 billion and free cash flow excluding the impact of transaction costs for 2024 was $2.6 billion</w:t>
      </w:r>
      <w:r>
        <w:rPr>
          <w:rFonts w:ascii="Arial" w:cs="Arial" w:eastAsia="Arial" w:hAnsi="Arial"/>
          <w:sz w:val="21"/>
          <w:szCs w:val="21"/>
          <w:i w:val="1"/>
          <w:iCs w:val="1"/>
          <w:color w:val="008080"/>
        </w:rPr>
        <w:t>.</w:t>
      </w:r>
      <w:r>
        <w:rPr>
          <w:rFonts w:ascii="Arial" w:cs="Arial" w:eastAsia="Arial" w:hAnsi="Arial"/>
          <w:sz w:val="20"/>
          <w:szCs w:val="20"/>
          <w:i w:val="1"/>
          <w:iCs w:val="1"/>
          <w:color w:val="auto"/>
        </w:rPr>
        <w:t xml:space="preserve"> Please see "Non-GAAP Financial Measures" for additional information.</w:t>
      </w:r>
    </w:p>
    <w:p>
      <w:pPr>
        <w:spacing w:after="0" w:line="79" w:lineRule="exact"/>
        <w:rPr>
          <w:rFonts w:ascii="Arial" w:cs="Arial" w:eastAsia="Arial" w:hAnsi="Arial"/>
          <w:sz w:val="20"/>
          <w:szCs w:val="20"/>
          <w:color w:val="auto"/>
        </w:rPr>
      </w:pPr>
    </w:p>
    <w:p>
      <w:pPr>
        <w:ind w:left="280" w:hanging="272"/>
        <w:spacing w:after="0"/>
        <w:tabs>
          <w:tab w:leader="none" w:pos="280"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For the year ended December 31, 2024, total revenues declined ~(4)%, Developed Markets net sales declined ~(3)%,</w:t>
      </w:r>
    </w:p>
    <w:p>
      <w:pPr>
        <w:spacing w:after="0" w:line="17" w:lineRule="exact"/>
        <w:rPr>
          <w:rFonts w:ascii="Arial" w:cs="Arial" w:eastAsia="Arial" w:hAnsi="Arial"/>
          <w:sz w:val="20"/>
          <w:szCs w:val="20"/>
          <w:color w:val="auto"/>
        </w:rPr>
      </w:pPr>
    </w:p>
    <w:p>
      <w:pPr>
        <w:spacing w:after="0" w:line="253" w:lineRule="auto"/>
        <w:rPr>
          <w:rFonts w:ascii="Arial" w:cs="Arial" w:eastAsia="Arial" w:hAnsi="Arial"/>
          <w:sz w:val="20"/>
          <w:szCs w:val="20"/>
          <w:color w:val="auto"/>
        </w:rPr>
      </w:pPr>
      <w:r>
        <w:rPr>
          <w:rFonts w:ascii="Arial" w:cs="Arial" w:eastAsia="Arial" w:hAnsi="Arial"/>
          <w:sz w:val="20"/>
          <w:szCs w:val="20"/>
          <w:i w:val="1"/>
          <w:iCs w:val="1"/>
          <w:color w:val="auto"/>
        </w:rPr>
        <w:t>Emerging Markets net sales declined ~(12)%, JANZ net sales declined ~(5)% and Greater China net sales were flat, in each case, on a U.S. GAAP basis. As previously disclosed, our free cash flow guidance range excluded the impact of any divestiture-related taxes and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373"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4C16AE"/>
        </w:rPr>
        <w:t>Fourth Quarter Results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5"/>
          </w:tcPr>
          <w:p>
            <w:pPr>
              <w:jc w:val="center"/>
              <w:ind w:left="60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5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280" w:type="dxa"/>
            <w:vAlign w:val="bottom"/>
          </w:tcPr>
          <w:p>
            <w:pPr>
              <w:spacing w:after="0"/>
              <w:rPr>
                <w:sz w:val="12"/>
                <w:szCs w:val="12"/>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3"/>
        </w:trPr>
        <w:tc>
          <w:tcPr>
            <w:tcW w:w="5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ind w:left="160"/>
              <w:spacing w:after="0" w:line="192"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(1) (2)</w:t>
            </w:r>
          </w:p>
        </w:tc>
        <w:tc>
          <w:tcPr>
            <w:tcW w:w="100" w:type="dxa"/>
            <w:vAlign w:val="bottom"/>
          </w:tcPr>
          <w:p>
            <w:pPr>
              <w:spacing w:after="0"/>
              <w:rPr>
                <w:sz w:val="16"/>
                <w:szCs w:val="16"/>
                <w:color w:val="auto"/>
              </w:rPr>
            </w:pPr>
          </w:p>
        </w:tc>
        <w:tc>
          <w:tcPr>
            <w:tcW w:w="1100" w:type="dxa"/>
            <w:vAlign w:val="bottom"/>
          </w:tcPr>
          <w:p>
            <w:pPr>
              <w:jc w:val="center"/>
              <w:spacing w:after="0" w:line="192"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 xml:space="preserve"> (2) (3)</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3,515.4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3,825.9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2,146.1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2,319.2</w:t>
            </w:r>
          </w:p>
        </w:tc>
        <w:tc>
          <w:tcPr>
            <w:tcW w:w="1140" w:type="dxa"/>
            <w:vAlign w:val="bottom"/>
            <w:gridSpan w:val="3"/>
          </w:tcPr>
          <w:p>
            <w:pPr>
              <w:jc w:val="center"/>
              <w:ind w:lef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619.1</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12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372.3</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515.3</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2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20"/>
              <w:spacing w:after="0"/>
              <w:rPr>
                <w:sz w:val="20"/>
                <w:szCs w:val="20"/>
                <w:color w:val="auto"/>
              </w:rPr>
            </w:pPr>
            <w:r>
              <w:rPr>
                <w:rFonts w:ascii="Arial" w:cs="Arial" w:eastAsia="Arial" w:hAnsi="Arial"/>
                <w:sz w:val="16"/>
                <w:szCs w:val="16"/>
                <w:color w:val="auto"/>
              </w:rPr>
              <w:t>Brands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2,165.9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2,402.4</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Generics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1,423.5</w:t>
            </w:r>
          </w:p>
        </w:tc>
        <w:tc>
          <w:tcPr>
            <w:tcW w:w="1140" w:type="dxa"/>
            <w:vAlign w:val="bottom"/>
            <w:gridSpan w:val="3"/>
            <w:shd w:val="clear" w:color="auto" w:fill="CCEEFF"/>
          </w:tcPr>
          <w:p>
            <w:pPr>
              <w:jc w:val="center"/>
              <w:ind w:left="4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1,596.5</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1,986.9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2,208.3</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U.S. GAAP 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(516.5)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(765.6)</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Loss Per Share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(0.64)</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655.6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746.6</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0.62</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983.5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1,117.4</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(12)%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Net Cash Provided by Operating Activities </w:t>
            </w:r>
            <w:r>
              <w:rPr>
                <w:rFonts w:ascii="Arial" w:cs="Arial" w:eastAsia="Arial" w:hAnsi="Arial"/>
                <w:sz w:val="21"/>
                <w:szCs w:val="21"/>
                <w:color w:val="auto"/>
                <w:vertAlign w:val="superscript"/>
              </w:rPr>
              <w:t>(4)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482.7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568.5</w:t>
            </w:r>
          </w:p>
        </w:tc>
        <w:tc>
          <w:tcPr>
            <w:tcW w:w="1140" w:type="dxa"/>
            <w:vAlign w:val="bottom"/>
            <w:gridSpan w:val="3"/>
          </w:tcPr>
          <w:p>
            <w:pPr>
              <w:jc w:val="center"/>
              <w:ind w:left="6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165.5</w:t>
            </w:r>
          </w:p>
        </w:tc>
        <w:tc>
          <w:tcPr>
            <w:tcW w:w="114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(2)(4)(5)</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403.0</w:t>
            </w:r>
          </w:p>
        </w:tc>
        <w:tc>
          <w:tcPr>
            <w:tcW w:w="20" w:type="dxa"/>
            <w:vAlign w:val="bottom"/>
            <w:tcBorders>
              <w:top w:val="single" w:sz="8" w:color="auto"/>
            </w:tcBorders>
          </w:tcPr>
          <w:p>
            <w:pPr>
              <w:spacing w:after="0"/>
              <w:rPr>
                <w:sz w:val="18"/>
                <w:szCs w:val="18"/>
                <w:color w:val="auto"/>
              </w:rPr>
            </w:pPr>
          </w:p>
        </w:tc>
        <w:tc>
          <w:tcPr>
            <w:tcW w:w="1120" w:type="dxa"/>
            <w:vAlign w:val="bottom"/>
            <w:gridSpan w:val="2"/>
          </w:tcPr>
          <w:p>
            <w:pPr>
              <w:jc w:val="center"/>
              <w:ind w:left="39"/>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right="20" w:hanging="328"/>
        <w:spacing w:after="0" w:line="222" w:lineRule="auto"/>
        <w:tabs>
          <w:tab w:leader="none" w:pos="567"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operational change for net sales, adjusted EBITDA, and adjusted EPS which excludes the impacts of foreign currency translation. See “Certain Key Terms and Presentation Matters” in this release for more information.</w:t>
      </w:r>
    </w:p>
    <w:p>
      <w:pPr>
        <w:spacing w:after="0" w:line="40" w:lineRule="exact"/>
        <w:rPr>
          <w:rFonts w:ascii="Arial" w:cs="Arial" w:eastAsia="Arial" w:hAnsi="Arial"/>
          <w:sz w:val="19"/>
          <w:szCs w:val="19"/>
          <w:color w:val="auto"/>
          <w:vertAlign w:val="superscript"/>
        </w:rPr>
      </w:pPr>
    </w:p>
    <w:p>
      <w:pPr>
        <w:ind w:left="540" w:hanging="208"/>
        <w:spacing w:after="0"/>
        <w:tabs>
          <w:tab w:leader="none" w:pos="540" w:val="left"/>
        </w:tabs>
        <w:numPr>
          <w:ilvl w:val="0"/>
          <w:numId w:val="5"/>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68" w:lineRule="exact"/>
        <w:rPr>
          <w:rFonts w:ascii="Arial" w:cs="Arial" w:eastAsia="Arial" w:hAnsi="Arial"/>
          <w:sz w:val="9"/>
          <w:szCs w:val="9"/>
          <w:color w:val="auto"/>
        </w:rPr>
      </w:pPr>
    </w:p>
    <w:p>
      <w:pPr>
        <w:ind w:left="660" w:hanging="328"/>
        <w:spacing w:after="0" w:line="231" w:lineRule="auto"/>
        <w:tabs>
          <w:tab w:leader="none" w:pos="581"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the impact of proportionate results from the divestitures that closed in 2023 and 2024, from the 2023 period on an operational basis. See “Certain Key Terms and Presentation Matters” in this release for more information.</w:t>
      </w:r>
    </w:p>
    <w:p>
      <w:pPr>
        <w:spacing w:after="0" w:line="39" w:lineRule="exact"/>
        <w:rPr>
          <w:rFonts w:ascii="Arial" w:cs="Arial" w:eastAsia="Arial" w:hAnsi="Arial"/>
          <w:sz w:val="19"/>
          <w:szCs w:val="19"/>
          <w:color w:val="auto"/>
          <w:vertAlign w:val="superscript"/>
        </w:rPr>
      </w:pPr>
    </w:p>
    <w:p>
      <w:pPr>
        <w:ind w:left="660" w:hanging="328"/>
        <w:spacing w:after="0" w:line="245" w:lineRule="auto"/>
        <w:tabs>
          <w:tab w:leader="none" w:pos="55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Beginning in 2024, upfront and milestone payments related to externally developed IPR&amp;D projects acquired directly in a transaction other than a business combination, which were previously included in cash flows from operating activities in the consolidated statements of cash flows, are now classified as cash flows from investing activities. Certain reclassifications were made to conform the prior period consolidated financial statements to the current period presentation. The adjustments resulted in an increase to net cash provided by operating activities, free cash flow, and net cash used in investing activities of $89 million for the three months ended December 31, 2023.</w:t>
      </w:r>
    </w:p>
    <w:p>
      <w:pPr>
        <w:spacing w:after="0" w:line="37" w:lineRule="exact"/>
        <w:rPr>
          <w:rFonts w:ascii="Arial" w:cs="Arial" w:eastAsia="Arial" w:hAnsi="Arial"/>
          <w:sz w:val="19"/>
          <w:szCs w:val="19"/>
          <w:color w:val="auto"/>
          <w:vertAlign w:val="superscript"/>
        </w:rPr>
      </w:pPr>
    </w:p>
    <w:p>
      <w:pPr>
        <w:jc w:val="both"/>
        <w:ind w:left="660" w:hanging="328"/>
        <w:spacing w:after="0" w:line="234" w:lineRule="auto"/>
        <w:tabs>
          <w:tab w:leader="none" w:pos="626"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 costs and taxes primarily related to the divestitures of $343 million, free cash flow for the three months ended December 31, 2024 was $685 million. Excluding the impact of transaction costs primarily related to the divestitures and the eye care acquisitions of $140 million, free cash flow for the three months ended December 31, 2023 was $543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C16AE"/>
        </w:rPr>
        <w:t>Full Year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6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2"/>
                <w:szCs w:val="12"/>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Operational</w:t>
            </w: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5"/>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0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3"/>
        </w:trPr>
        <w:tc>
          <w:tcPr>
            <w:tcW w:w="47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200"/>
              <w:spacing w:after="0" w:line="192"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(1) (2)</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line="192" w:lineRule="exact"/>
              <w:rPr>
                <w:sz w:val="20"/>
                <w:szCs w:val="20"/>
                <w:color w:val="auto"/>
              </w:rPr>
            </w:pPr>
            <w:r>
              <w:rPr>
                <w:rFonts w:ascii="Arial" w:cs="Arial" w:eastAsia="Arial" w:hAnsi="Arial"/>
                <w:sz w:val="22"/>
                <w:szCs w:val="22"/>
                <w:b w:val="1"/>
                <w:bCs w:val="1"/>
                <w:color w:val="auto"/>
                <w:vertAlign w:val="subscript"/>
              </w:rPr>
              <w:t>Change</w:t>
            </w:r>
            <w:r>
              <w:rPr>
                <w:rFonts w:ascii="Arial" w:cs="Arial" w:eastAsia="Arial" w:hAnsi="Arial"/>
                <w:sz w:val="8"/>
                <w:szCs w:val="8"/>
                <w:b w:val="1"/>
                <w:bCs w:val="1"/>
                <w:color w:val="auto"/>
              </w:rPr>
              <w:t xml:space="preserve"> (2) (3)</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14,692.8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15,388.4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8,929.4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9,251.9</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(3)%</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2,250.7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2,551.6</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(12)%</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w:t>
            </w:r>
          </w:p>
        </w:tc>
        <w:tc>
          <w:tcPr>
            <w:tcW w:w="12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JANZ</w:t>
            </w: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1,346.2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1,424.5</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2,160.4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2%</w:t>
            </w:r>
          </w:p>
        </w:tc>
        <w:tc>
          <w:tcPr>
            <w:tcW w:w="12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20"/>
              <w:spacing w:after="0"/>
              <w:rPr>
                <w:sz w:val="20"/>
                <w:szCs w:val="20"/>
                <w:color w:val="auto"/>
              </w:rPr>
            </w:pPr>
            <w:r>
              <w:rPr>
                <w:rFonts w:ascii="Arial" w:cs="Arial" w:eastAsia="Arial" w:hAnsi="Arial"/>
                <w:sz w:val="16"/>
                <w:szCs w:val="16"/>
                <w:color w:val="auto"/>
              </w:rPr>
              <w:t>Brands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9,200.3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9,800.5</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(6)%</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128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Generics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5,492.5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5,587.9</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w:t>
            </w:r>
          </w:p>
        </w:tc>
        <w:tc>
          <w:tcPr>
            <w:tcW w:w="12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5,623.6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6,438.6</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8,538.6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9,124.8</w:t>
            </w:r>
          </w:p>
        </w:tc>
        <w:tc>
          <w:tcPr>
            <w:tcW w:w="11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59.1 %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U.S. GAAP Net (Loss) Earnings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(634.2)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(Loss) Earnings Per Share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nm</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3,192.4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3,537.7</w:t>
            </w:r>
          </w:p>
        </w:tc>
        <w:tc>
          <w:tcPr>
            <w:tcW w:w="1120" w:type="dxa"/>
            <w:vAlign w:val="bottom"/>
            <w:gridSpan w:val="2"/>
          </w:tcPr>
          <w:p>
            <w:pPr>
              <w:jc w:val="center"/>
              <w:ind w:left="4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2.93</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3,516.5</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4,669.4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5,124.1</w:t>
            </w:r>
          </w:p>
        </w:tc>
        <w:tc>
          <w:tcPr>
            <w:tcW w:w="1120" w:type="dxa"/>
            <w:vAlign w:val="bottom"/>
            <w:gridSpan w:val="2"/>
          </w:tcPr>
          <w:p>
            <w:pPr>
              <w:jc w:val="center"/>
              <w:ind w:left="2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Net Cash Provided by Operating Activities </w:t>
            </w:r>
            <w:r>
              <w:rPr>
                <w:rFonts w:ascii="Arial" w:cs="Arial" w:eastAsia="Arial" w:hAnsi="Arial"/>
                <w:sz w:val="21"/>
                <w:szCs w:val="21"/>
                <w:color w:val="auto"/>
                <w:vertAlign w:val="superscript"/>
              </w:rPr>
              <w:t>(4)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2,302.9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2,900.0</w:t>
            </w:r>
          </w:p>
        </w:tc>
        <w:tc>
          <w:tcPr>
            <w:tcW w:w="1120" w:type="dxa"/>
            <w:vAlign w:val="bottom"/>
            <w:gridSpan w:val="2"/>
          </w:tcPr>
          <w:p>
            <w:pPr>
              <w:jc w:val="center"/>
              <w:ind w:left="4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377.0</w:t>
            </w:r>
          </w:p>
        </w:tc>
        <w:tc>
          <w:tcPr>
            <w:tcW w:w="11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(2)(4)(5)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1,976.9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2,523.0</w:t>
            </w:r>
          </w:p>
        </w:tc>
        <w:tc>
          <w:tcPr>
            <w:tcW w:w="1120" w:type="dxa"/>
            <w:vAlign w:val="bottom"/>
            <w:gridSpan w:val="2"/>
          </w:tcPr>
          <w:p>
            <w:pPr>
              <w:jc w:val="center"/>
              <w:ind w:left="4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right="20" w:hanging="328"/>
        <w:spacing w:after="0" w:line="222" w:lineRule="auto"/>
        <w:tabs>
          <w:tab w:leader="none" w:pos="59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operational change for net sales, adjusted EBITDA, and adjusted EPS which excludes the impacts of foreign currency translation. See “Certain Key Terms and Presentation Matters” in this release for more information.</w:t>
      </w:r>
    </w:p>
    <w:p>
      <w:pPr>
        <w:spacing w:after="0" w:line="40" w:lineRule="exact"/>
        <w:rPr>
          <w:rFonts w:ascii="Arial" w:cs="Arial" w:eastAsia="Arial" w:hAnsi="Arial"/>
          <w:sz w:val="19"/>
          <w:szCs w:val="19"/>
          <w:color w:val="auto"/>
          <w:vertAlign w:val="superscript"/>
        </w:rPr>
      </w:pPr>
    </w:p>
    <w:p>
      <w:pPr>
        <w:ind w:left="540" w:hanging="208"/>
        <w:spacing w:after="0"/>
        <w:tabs>
          <w:tab w:leader="none" w:pos="540" w:val="left"/>
        </w:tabs>
        <w:numPr>
          <w:ilvl w:val="0"/>
          <w:numId w:val="6"/>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68" w:lineRule="exact"/>
        <w:rPr>
          <w:rFonts w:ascii="Arial" w:cs="Arial" w:eastAsia="Arial" w:hAnsi="Arial"/>
          <w:sz w:val="9"/>
          <w:szCs w:val="9"/>
          <w:color w:val="auto"/>
        </w:rPr>
      </w:pPr>
    </w:p>
    <w:p>
      <w:pPr>
        <w:ind w:left="660" w:hanging="328"/>
        <w:spacing w:after="0" w:line="231" w:lineRule="auto"/>
        <w:tabs>
          <w:tab w:leader="none" w:pos="581"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the impact of proportionate results from the divestitures that closed in 2023 and 2024, from the 2023 period on an operational basis. See “Certain Key Terms and Presentation Matters” in this release for more information.</w:t>
      </w:r>
    </w:p>
    <w:p>
      <w:pPr>
        <w:spacing w:after="0" w:line="39" w:lineRule="exact"/>
        <w:rPr>
          <w:rFonts w:ascii="Arial" w:cs="Arial" w:eastAsia="Arial" w:hAnsi="Arial"/>
          <w:sz w:val="19"/>
          <w:szCs w:val="19"/>
          <w:color w:val="auto"/>
          <w:vertAlign w:val="superscript"/>
        </w:rPr>
      </w:pPr>
    </w:p>
    <w:p>
      <w:pPr>
        <w:ind w:left="660" w:hanging="328"/>
        <w:spacing w:after="0"/>
        <w:tabs>
          <w:tab w:leader="none" w:pos="554"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Beginning in 2024, upfront and milestone payments related to externally developed IPR&amp;D projects acquired directly in a transaction other than a business combination, which were previously included in cash flows from operating activities in the consolidated statements of cash flows, are now classified as cash flows from investing activities. Certain reclassifications were made to conform the prior period consolidated financial statements to the current period presentation. The adjustments resulted in an increase to net cash provided by operating activities, free cash flow, and net cash used in investing activities of $100 million for the year ended December 31, 2023.</w:t>
      </w:r>
    </w:p>
    <w:p>
      <w:pPr>
        <w:spacing w:after="0" w:line="216" w:lineRule="exact"/>
        <w:rPr>
          <w:rFonts w:ascii="Arial" w:cs="Arial" w:eastAsia="Arial" w:hAnsi="Arial"/>
          <w:sz w:val="19"/>
          <w:szCs w:val="19"/>
          <w:color w:val="auto"/>
          <w:vertAlign w:val="superscript"/>
        </w:rPr>
      </w:pPr>
    </w:p>
    <w:p>
      <w:pPr>
        <w:jc w:val="both"/>
        <w:ind w:left="660" w:hanging="328"/>
        <w:spacing w:after="0" w:line="234" w:lineRule="auto"/>
        <w:tabs>
          <w:tab w:leader="none" w:pos="6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 costs and taxes primarily related to the divestitures of $649 million, free cash flow for the year ended December 31, 2024 was $2.6 billion. Excluding the impact of transaction costs primarily related to the divestitures and the eye care acquisitions of $219 million, free cash flow for the year ended December 31, 2023 was $2.7 billion.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0"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4C16AE"/>
        </w:rPr>
        <w:t>Financial Highlights</w:t>
      </w:r>
    </w:p>
    <w:p>
      <w:pPr>
        <w:spacing w:after="0" w:line="123" w:lineRule="exact"/>
        <w:rPr>
          <w:sz w:val="20"/>
          <w:szCs w:val="20"/>
          <w:color w:val="auto"/>
        </w:rPr>
      </w:pPr>
    </w:p>
    <w:p>
      <w:pPr>
        <w:ind w:left="340" w:right="200" w:hanging="332"/>
        <w:spacing w:after="0" w:line="271"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Fourth quarter 2024 total net sales were $3.5 billion, up 1% on a divestiture-adjusted operational basis compared to fourth-quarter 2023 results.</w:t>
      </w:r>
    </w:p>
    <w:p>
      <w:pPr>
        <w:spacing w:after="0" w:line="169" w:lineRule="exact"/>
        <w:rPr>
          <w:rFonts w:ascii="Arial" w:cs="Arial" w:eastAsia="Arial" w:hAnsi="Arial"/>
          <w:sz w:val="20"/>
          <w:szCs w:val="20"/>
          <w:color w:val="auto"/>
        </w:rPr>
      </w:pPr>
    </w:p>
    <w:p>
      <w:pPr>
        <w:ind w:left="340" w:right="520" w:hanging="332"/>
        <w:spacing w:after="0" w:line="271"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Brands net sales reflect the expansion of the Company's portfolio in Emerging Markets and JANZ, and strong growth in Greater China.</w:t>
      </w:r>
    </w:p>
    <w:p>
      <w:pPr>
        <w:spacing w:after="0" w:line="169" w:lineRule="exact"/>
        <w:rPr>
          <w:rFonts w:ascii="Arial" w:cs="Arial" w:eastAsia="Arial" w:hAnsi="Arial"/>
          <w:sz w:val="20"/>
          <w:szCs w:val="20"/>
          <w:color w:val="auto"/>
        </w:rPr>
      </w:pPr>
    </w:p>
    <w:p>
      <w:pPr>
        <w:ind w:left="340" w:right="640" w:hanging="332"/>
        <w:spacing w:after="0" w:line="28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Generics net sales reflect strong growth from new product performance in Developed Markets, continued growth from complex products, and solid performance across our broader European portfolio.</w:t>
      </w:r>
    </w:p>
    <w:p>
      <w:pPr>
        <w:spacing w:after="0" w:line="140" w:lineRule="exact"/>
        <w:rPr>
          <w:rFonts w:ascii="Arial" w:cs="Arial" w:eastAsia="Arial" w:hAnsi="Arial"/>
          <w:sz w:val="20"/>
          <w:szCs w:val="20"/>
          <w:color w:val="auto"/>
        </w:rPr>
      </w:pPr>
    </w:p>
    <w:p>
      <w:pPr>
        <w:ind w:left="340" w:right="260" w:hanging="332"/>
        <w:spacing w:after="0" w:line="28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generated approximately $85 million in new product revenues in the quarter (approximately $582 million for the year). The Company expects to deliver $450 million to $550 million in new product revenues in 2025.</w:t>
      </w:r>
    </w:p>
    <w:p>
      <w:pPr>
        <w:spacing w:after="0" w:line="140" w:lineRule="exact"/>
        <w:rPr>
          <w:rFonts w:ascii="Arial" w:cs="Arial" w:eastAsia="Arial" w:hAnsi="Arial"/>
          <w:sz w:val="20"/>
          <w:szCs w:val="20"/>
          <w:color w:val="auto"/>
        </w:rPr>
      </w:pPr>
    </w:p>
    <w:p>
      <w:pPr>
        <w:ind w:left="340" w:right="440" w:hanging="332"/>
        <w:spacing w:after="0" w:line="269"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had U.S. GAAP net cash provided by operating activities of $483 million in the quarter ($2.3 billion for the year) and generated free cash flow, excluding the impact of transaction costs, of $685 million in the fourth quarter ($2.6 billion for the year).</w:t>
      </w:r>
    </w:p>
    <w:p>
      <w:pPr>
        <w:spacing w:after="0" w:line="185" w:lineRule="exact"/>
        <w:rPr>
          <w:rFonts w:ascii="Arial" w:cs="Arial" w:eastAsia="Arial" w:hAnsi="Arial"/>
          <w:sz w:val="20"/>
          <w:szCs w:val="20"/>
          <w:color w:val="auto"/>
        </w:rPr>
      </w:pPr>
    </w:p>
    <w:p>
      <w:pPr>
        <w:ind w:left="340" w:right="140" w:hanging="332"/>
        <w:spacing w:after="0" w:line="286"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paid down approximately $1.4 billion in debt in the fourth quarter (approximately $3.7 billion for the year) and achieved its long-term gross leverage target, ending the year at 2.9x.</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Indore Facility Update</w:t>
      </w:r>
    </w:p>
    <w:p>
      <w:pPr>
        <w:spacing w:after="0" w:line="123" w:lineRule="exact"/>
        <w:rPr>
          <w:sz w:val="20"/>
          <w:szCs w:val="20"/>
          <w:color w:val="auto"/>
        </w:rPr>
      </w:pPr>
    </w:p>
    <w:p>
      <w:pPr>
        <w:ind w:left="340" w:right="100" w:hanging="332"/>
        <w:spacing w:after="0" w:line="254" w:lineRule="auto"/>
        <w:tabs>
          <w:tab w:leader="none" w:pos="333" w:val="left"/>
        </w:tabs>
        <w:numPr>
          <w:ilvl w:val="0"/>
          <w:numId w:val="8"/>
        </w:numPr>
        <w:rPr>
          <w:rFonts w:ascii="Calibri" w:cs="Calibri" w:eastAsia="Calibri" w:hAnsi="Calibri"/>
          <w:sz w:val="20"/>
          <w:szCs w:val="20"/>
          <w:color w:val="auto"/>
        </w:rPr>
      </w:pPr>
      <w:r>
        <w:rPr>
          <w:rFonts w:ascii="Arial" w:cs="Arial" w:eastAsia="Arial" w:hAnsi="Arial"/>
          <w:sz w:val="20"/>
          <w:szCs w:val="20"/>
          <w:color w:val="auto"/>
        </w:rPr>
        <w:t>Following an inspection of Viatris’ oral finished dose manufacturing facility in Indore, India, in June 2024 the Company received a warning letter and import alert from the U.S. Food and Drug Administration (FDA) in December 2024. The import alert affects 11 actively distributed products, including lenalidomide and everolimus. The FDA made exceptions, subject to certain conditions, for four products based on shortage concerns. Following recently concluded interactions with the FDA regarding potential additional product exceptions, the Company currently does not expect any additional product exceptions to be granted.</w:t>
      </w:r>
    </w:p>
    <w:p>
      <w:pPr>
        <w:spacing w:after="0" w:line="171" w:lineRule="exact"/>
        <w:rPr>
          <w:rFonts w:ascii="Calibri" w:cs="Calibri" w:eastAsia="Calibri" w:hAnsi="Calibri"/>
          <w:sz w:val="20"/>
          <w:szCs w:val="20"/>
          <w:color w:val="auto"/>
        </w:rPr>
      </w:pPr>
    </w:p>
    <w:p>
      <w:pPr>
        <w:ind w:left="340"/>
        <w:spacing w:after="0" w:line="259" w:lineRule="auto"/>
        <w:rPr>
          <w:rFonts w:ascii="Calibri" w:cs="Calibri" w:eastAsia="Calibri" w:hAnsi="Calibri"/>
          <w:sz w:val="20"/>
          <w:szCs w:val="20"/>
          <w:color w:val="auto"/>
        </w:rPr>
      </w:pPr>
      <w:r>
        <w:rPr>
          <w:rFonts w:ascii="Arial" w:cs="Arial" w:eastAsia="Arial" w:hAnsi="Arial"/>
          <w:sz w:val="20"/>
          <w:szCs w:val="20"/>
          <w:color w:val="auto"/>
        </w:rPr>
        <w:t>While product continues to be shipped from the Indore facility to markets outside the U.S., the Company currently anticipates some impact in other markets, including to parts of its ARV business in Emerging Markets and to select generic products in Europe. The Company currently estimates the negative impact on 2025 total revenues to be approximately $500 million and to 2025 adjusted EBITDA to be approximately $385 million.</w:t>
      </w:r>
    </w:p>
    <w:p>
      <w:pPr>
        <w:spacing w:after="0" w:line="181" w:lineRule="exact"/>
        <w:rPr>
          <w:rFonts w:ascii="Calibri" w:cs="Calibri" w:eastAsia="Calibri" w:hAnsi="Calibri"/>
          <w:sz w:val="20"/>
          <w:szCs w:val="20"/>
          <w:color w:val="auto"/>
        </w:rPr>
      </w:pPr>
    </w:p>
    <w:p>
      <w:pPr>
        <w:ind w:left="340" w:right="200"/>
        <w:spacing w:after="0" w:line="282" w:lineRule="auto"/>
        <w:rPr>
          <w:rFonts w:ascii="Calibri" w:cs="Calibri" w:eastAsia="Calibri" w:hAnsi="Calibri"/>
          <w:sz w:val="20"/>
          <w:szCs w:val="20"/>
          <w:color w:val="auto"/>
        </w:rPr>
      </w:pPr>
      <w:r>
        <w:rPr>
          <w:rFonts w:ascii="Arial" w:cs="Arial" w:eastAsia="Arial" w:hAnsi="Arial"/>
          <w:sz w:val="19"/>
          <w:szCs w:val="19"/>
          <w:color w:val="auto"/>
        </w:rPr>
        <w:t>The Company immediately implemented a comprehensive remediation plan following the FDA’s inspection in June 2024. The necessary corrective and preventive actions are well underway, including, but not limited to, related personnel actions. Additionally, the Company has engaged independent third-party subject matter experts to support the remediation plan.</w:t>
      </w:r>
    </w:p>
    <w:p>
      <w:pPr>
        <w:spacing w:after="0" w:line="161" w:lineRule="exact"/>
        <w:rPr>
          <w:rFonts w:ascii="Calibri" w:cs="Calibri" w:eastAsia="Calibri" w:hAnsi="Calibri"/>
          <w:sz w:val="20"/>
          <w:szCs w:val="20"/>
          <w:color w:val="auto"/>
        </w:rPr>
      </w:pPr>
    </w:p>
    <w:p>
      <w:pPr>
        <w:jc w:val="both"/>
        <w:ind w:left="340" w:right="300"/>
        <w:spacing w:after="0" w:line="254" w:lineRule="auto"/>
        <w:rPr>
          <w:rFonts w:ascii="Calibri" w:cs="Calibri" w:eastAsia="Calibri" w:hAnsi="Calibri"/>
          <w:sz w:val="20"/>
          <w:szCs w:val="20"/>
          <w:color w:val="auto"/>
        </w:rPr>
      </w:pPr>
      <w:r>
        <w:rPr>
          <w:rFonts w:ascii="Arial" w:cs="Arial" w:eastAsia="Arial" w:hAnsi="Arial"/>
          <w:sz w:val="20"/>
          <w:szCs w:val="20"/>
          <w:color w:val="auto"/>
        </w:rPr>
        <w:t>The Company is more than halfway through its remediation efforts and expects to be completed in a few months at which time the Company anticipates requesting FDA to conduct a reinspection of the facility. The Company takes these matters very seriously and is working closely with its customers to mitigate any possible supply disruptions and meet the needs of patients and will continue to work to ensure that the FDA is satisfied with the steps that have been taken to resolve all the points raised.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Additional Updates</w:t>
      </w:r>
    </w:p>
    <w:p>
      <w:pPr>
        <w:spacing w:after="0" w:line="110" w:lineRule="exact"/>
        <w:rPr>
          <w:sz w:val="20"/>
          <w:szCs w:val="20"/>
          <w:color w:val="auto"/>
        </w:rPr>
      </w:pPr>
    </w:p>
    <w:p>
      <w:pPr>
        <w:ind w:left="340" w:right="40" w:hanging="332"/>
        <w:spacing w:after="0" w:line="262"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December 2024, the Company announced the publication of Phase 2b CARE study result evaluating the efficacy and safety of cenerimod in adults with moderate-to-severe systemic lupus erythematosus (SLE). The results, published in Lancet Rheumatology, showed cenerimod 4 mg</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101" w:right="339" w:bottom="1440" w:gutter="0" w:footer="0" w:header="0"/>
          <w:type w:val="continuous"/>
        </w:sectPr>
      </w:pPr>
    </w:p>
    <w:bookmarkStart w:id="9" w:name="page10"/>
    <w:bookmarkEnd w:id="9"/>
    <w:p>
      <w:pPr>
        <w:ind w:left="340" w:right="140"/>
        <w:spacing w:after="0" w:line="262" w:lineRule="auto"/>
        <w:rPr>
          <w:sz w:val="20"/>
          <w:szCs w:val="20"/>
          <w:color w:val="auto"/>
        </w:rPr>
      </w:pPr>
      <w:r>
        <w:rPr>
          <w:rFonts w:ascii="Arial" w:cs="Arial" w:eastAsia="Arial" w:hAnsi="Arial"/>
          <w:sz w:val="20"/>
          <w:szCs w:val="20"/>
          <w:color w:val="auto"/>
        </w:rPr>
        <w:t>demonstrated clinically meaningful and sustained improvement from baseline on multiple measures of SLE disease activity compared to placebo, in addition to stable background SLE therapy. Cenerimod was shown to be well tolerated with an adverse event profile consistent with the mechanism of action.</w:t>
      </w:r>
    </w:p>
    <w:p>
      <w:pPr>
        <w:spacing w:after="0" w:line="178" w:lineRule="exact"/>
        <w:rPr>
          <w:sz w:val="20"/>
          <w:szCs w:val="20"/>
          <w:color w:val="auto"/>
        </w:rPr>
      </w:pPr>
    </w:p>
    <w:p>
      <w:pPr>
        <w:ind w:left="340" w:right="180" w:hanging="332"/>
        <w:spacing w:after="0" w:line="251"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In February 2025, </w:t>
      </w:r>
      <w:r>
        <w:rPr>
          <w:rFonts w:ascii="Arial" w:cs="Arial" w:eastAsia="Arial" w:hAnsi="Arial"/>
          <w:sz w:val="20"/>
          <w:szCs w:val="20"/>
          <w:i w:val="1"/>
          <w:iCs w:val="1"/>
          <w:color w:val="auto"/>
        </w:rPr>
        <w:t>The Lancet Diabetes &amp; Endocrinology</w:t>
      </w:r>
      <w:r>
        <w:rPr>
          <w:rFonts w:ascii="Arial" w:cs="Arial" w:eastAsia="Arial" w:hAnsi="Arial"/>
          <w:sz w:val="20"/>
          <w:szCs w:val="20"/>
          <w:color w:val="auto"/>
        </w:rPr>
        <w:t xml:space="preserve"> published a research paper analyzing the ability of sotagliflozin, a dual SGLT1 and SGLT2 inhibitor, to reduce the risks of life-threatening cardiovascular outcomes. The findings from the study, “Reduction in Major Adverse Cardiovascular Events with Sotagliflozin: A Prespecified Analysis of the SCORED Randomized Trial,” concluded that the ischemic benefit of sotagliflozin on both heart attack (myocardial infarction, or MI), and stroke reduction has not been shown by other SGLT inhibitors. The researchers note that sotagliflozin reduced major adverse cardiovascular events (MACE), MI, and stroke among patients with type 2 diabetes (T2D), chronic kidney disease (CKD), and high cardiovascular (CV) risk.</w:t>
      </w:r>
    </w:p>
    <w:p>
      <w:pPr>
        <w:spacing w:after="0" w:line="192" w:lineRule="exact"/>
        <w:rPr>
          <w:rFonts w:ascii="Arial" w:cs="Arial" w:eastAsia="Arial" w:hAnsi="Arial"/>
          <w:sz w:val="20"/>
          <w:szCs w:val="20"/>
          <w:color w:val="auto"/>
        </w:rPr>
      </w:pPr>
    </w:p>
    <w:p>
      <w:pPr>
        <w:ind w:left="340" w:right="80"/>
        <w:spacing w:after="0" w:line="262" w:lineRule="auto"/>
        <w:rPr>
          <w:rFonts w:ascii="Arial" w:cs="Arial" w:eastAsia="Arial" w:hAnsi="Arial"/>
          <w:sz w:val="20"/>
          <w:szCs w:val="20"/>
          <w:color w:val="auto"/>
        </w:rPr>
      </w:pPr>
      <w:r>
        <w:rPr>
          <w:rFonts w:ascii="Arial" w:cs="Arial" w:eastAsia="Arial" w:hAnsi="Arial"/>
          <w:sz w:val="20"/>
          <w:szCs w:val="20"/>
          <w:color w:val="auto"/>
        </w:rPr>
        <w:t>The study was a secondary analysis of SCORED, a double-blind, placebo-controlled, randomized clinical trial enrolling patients with T2D and CKD. A pre-specified outcome was total MACE, which was defined as a composite of total CV death, nonfatal MI, and nonfatal stroke. Other outcomes included total MI and total stroke.</w:t>
      </w:r>
    </w:p>
    <w:p>
      <w:pPr>
        <w:spacing w:after="0" w:line="178" w:lineRule="exact"/>
        <w:rPr>
          <w:rFonts w:ascii="Arial" w:cs="Arial" w:eastAsia="Arial" w:hAnsi="Arial"/>
          <w:sz w:val="20"/>
          <w:szCs w:val="20"/>
          <w:color w:val="auto"/>
        </w:rPr>
      </w:pPr>
    </w:p>
    <w:p>
      <w:pPr>
        <w:ind w:left="340" w:hanging="332"/>
        <w:spacing w:after="0" w:line="252" w:lineRule="auto"/>
        <w:tabs>
          <w:tab w:leader="none" w:pos="328"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February 2025, in order to preserve the ongoing continuity of the development programs for selatogrel and cenerimod, the Company updated certain terms of the original global research and development collaboration agreements with Idorsia announced in February 2024. Under the updated terms, Viatris will receive additional territory rights in Japan, South Korea and certain other countries in the Asia-Pacific region for cenerimod, a reduction of certain contingent milestone payments by $250 million, of which $200 million is from future development milestones, and other consideration in exchange for Viatris assuming $100 million of Idorsia’s obligation to contribute to development costs. In addition, the updated terms provide for the replacement of the original joint development committee with a transition committee to oversee the transition of both development programs to Viatris.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2025 Financial Guidance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providing the following financial guidance metrics for fiscal year 2025.</w:t>
      </w:r>
    </w:p>
    <w:p>
      <w:pPr>
        <w:spacing w:after="0" w:line="243"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auto"/>
        </w:rPr>
        <w:t>The Company’s financial guidance metrics for fiscal year 2025 include the anticipated negative impact from the Indore facility of ~$500 million to total revenues and ~$385 million to adjusted EBITDA. The Company is not providing forward-looking guidance for U.S. GAAP net earnings (loss) or U.S. GAAP diluted earnings (loss) per share (EPS) or a quantitative reconciliation of its 2025 adjusted EBITDA or adjusted EPS guidance to the most directly comparable U.S. GAAP measures, U.S. GAAP net earnings (loss) or U.S. GAAP diluted EPS, respectively, because it is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2025 is estimated to be between $2.2 billion and $2.5 billion, with a midpoint of approximately $2.35 billion.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887" w:right="379" w:bottom="1440" w:gutter="0" w:footer="0" w:header="0"/>
        </w:sectPr>
      </w:pPr>
    </w:p>
    <w:bookmarkStart w:id="10" w:name="page11"/>
    <w:bookmarkEnd w:id="10"/>
    <w:tbl>
      <w:tblPr>
        <w:tblLayout w:type="fixed"/>
        <w:tblInd w:w="100" w:type="dxa"/>
        <w:tblCellMar>
          <w:top w:w="0" w:type="dxa"/>
          <w:left w:w="0" w:type="dxa"/>
          <w:bottom w:w="0" w:type="dxa"/>
          <w:right w:w="0" w:type="dxa"/>
        </w:tblCellMar>
      </w:tblPr>
      <w:tr>
        <w:trPr>
          <w:trHeight w:val="161"/>
        </w:trPr>
        <w:tc>
          <w:tcPr>
            <w:tcW w:w="70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Adjusted EPS)</w:t>
            </w:r>
          </w:p>
        </w:tc>
        <w:tc>
          <w:tcPr>
            <w:tcW w:w="2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Estimated Guidance</w:t>
            </w:r>
          </w:p>
        </w:tc>
        <w:tc>
          <w:tcPr>
            <w:tcW w:w="19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Midpoint</w:t>
            </w:r>
          </w:p>
        </w:tc>
        <w:tc>
          <w:tcPr>
            <w:tcW w:w="0" w:type="dxa"/>
            <w:vAlign w:val="bottom"/>
          </w:tcPr>
          <w:p>
            <w:pPr>
              <w:spacing w:after="0"/>
              <w:rPr>
                <w:sz w:val="1"/>
                <w:szCs w:val="1"/>
                <w:color w:val="auto"/>
              </w:rPr>
            </w:pPr>
          </w:p>
        </w:tc>
      </w:tr>
      <w:tr>
        <w:trPr>
          <w:trHeight w:val="189"/>
        </w:trPr>
        <w:tc>
          <w:tcPr>
            <w:tcW w:w="7080" w:type="dxa"/>
            <w:vAlign w:val="bottom"/>
            <w:vMerge w:val="continue"/>
          </w:tcPr>
          <w:p>
            <w:pPr>
              <w:spacing w:after="0"/>
              <w:rPr>
                <w:sz w:val="16"/>
                <w:szCs w:val="16"/>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Range</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$14,000</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6"/>
        </w:trPr>
        <w:tc>
          <w:tcPr>
            <w:tcW w:w="7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6"/>
                <w:szCs w:val="16"/>
                <w:color w:val="auto"/>
              </w:rPr>
              <w:t>$3,900</w:t>
            </w:r>
          </w:p>
        </w:tc>
        <w:tc>
          <w:tcPr>
            <w:tcW w:w="980" w:type="dxa"/>
            <w:vAlign w:val="bottom"/>
          </w:tcPr>
          <w:p>
            <w:pPr>
              <w:ind w:left="20"/>
              <w:spacing w:after="0"/>
              <w:rPr>
                <w:sz w:val="20"/>
                <w:szCs w:val="20"/>
                <w:color w:val="auto"/>
              </w:rPr>
            </w:pPr>
            <w:r>
              <w:rPr>
                <w:rFonts w:ascii="Arial" w:cs="Arial" w:eastAsia="Arial" w:hAnsi="Arial"/>
                <w:sz w:val="16"/>
                <w:szCs w:val="16"/>
                <w:color w:val="auto"/>
              </w:rPr>
              <w:t>- $4,200</w:t>
            </w: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8"/>
              </w:rPr>
              <w:t>$4,050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$2.26</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$2.19</w:t>
            </w:r>
          </w:p>
        </w:tc>
        <w:tc>
          <w:tcPr>
            <w:tcW w:w="0" w:type="dxa"/>
            <w:vAlign w:val="bottom"/>
          </w:tcPr>
          <w:p>
            <w:pPr>
              <w:spacing w:after="0"/>
              <w:rPr>
                <w:sz w:val="1"/>
                <w:szCs w:val="1"/>
                <w:color w:val="auto"/>
              </w:rPr>
            </w:pPr>
          </w:p>
        </w:tc>
      </w:tr>
      <w:tr>
        <w:trPr>
          <w:trHeight w:val="282"/>
        </w:trPr>
        <w:tc>
          <w:tcPr>
            <w:tcW w:w="7080" w:type="dxa"/>
            <w:vAlign w:val="bottom"/>
          </w:tcPr>
          <w:p>
            <w:pPr>
              <w:ind w:left="20"/>
              <w:spacing w:after="0"/>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6"/>
                <w:szCs w:val="16"/>
                <w:color w:val="auto"/>
              </w:rPr>
              <w:t>$1,800</w:t>
            </w:r>
          </w:p>
        </w:tc>
        <w:tc>
          <w:tcPr>
            <w:tcW w:w="980" w:type="dxa"/>
            <w:vAlign w:val="bottom"/>
          </w:tcPr>
          <w:p>
            <w:pPr>
              <w:ind w:left="20"/>
              <w:spacing w:after="0"/>
              <w:rPr>
                <w:sz w:val="20"/>
                <w:szCs w:val="20"/>
                <w:color w:val="auto"/>
              </w:rPr>
            </w:pPr>
            <w:r>
              <w:rPr>
                <w:rFonts w:ascii="Arial" w:cs="Arial" w:eastAsia="Arial" w:hAnsi="Arial"/>
                <w:sz w:val="16"/>
                <w:szCs w:val="16"/>
                <w:color w:val="auto"/>
              </w:rPr>
              <w:t>- $2,200</w:t>
            </w:r>
          </w:p>
        </w:tc>
        <w:tc>
          <w:tcPr>
            <w:tcW w:w="12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8"/>
              </w:rPr>
              <w:t>$2,000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40" w:hanging="208"/>
        <w:spacing w:after="0"/>
        <w:tabs>
          <w:tab w:leader="none" w:pos="54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66" w:lineRule="exact"/>
        <w:rPr>
          <w:rFonts w:ascii="Arial" w:cs="Arial" w:eastAsia="Arial" w:hAnsi="Arial"/>
          <w:sz w:val="19"/>
          <w:szCs w:val="19"/>
          <w:color w:val="auto"/>
          <w:vertAlign w:val="superscript"/>
        </w:rPr>
      </w:pPr>
    </w:p>
    <w:p>
      <w:pPr>
        <w:ind w:left="660" w:right="20" w:hanging="328"/>
        <w:spacing w:after="0" w:line="305" w:lineRule="auto"/>
        <w:tabs>
          <w:tab w:leader="none" w:pos="581" w:val="left"/>
        </w:tabs>
        <w:numPr>
          <w:ilvl w:val="0"/>
          <w:numId w:val="11"/>
        </w:numPr>
        <w:rPr>
          <w:rFonts w:ascii="Arial" w:cs="Arial" w:eastAsia="Arial" w:hAnsi="Arial"/>
          <w:sz w:val="9"/>
          <w:szCs w:val="9"/>
          <w:color w:val="auto"/>
        </w:rPr>
      </w:pPr>
      <w:r>
        <w:rPr>
          <w:rFonts w:ascii="Arial" w:cs="Arial" w:eastAsia="Arial" w:hAnsi="Arial"/>
          <w:sz w:val="14"/>
          <w:szCs w:val="14"/>
          <w:color w:val="auto"/>
        </w:rPr>
        <w:t>Excludes the impact of divestiture-related taxes and transaction costs. Also excludes any acquired IPR&amp;D for unsigned deals to be incurred in any future period as it cannot be reasonably forecasted.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Key Exchange Rates Used for 2025 Guidance</w:t>
            </w:r>
          </w:p>
        </w:tc>
        <w:tc>
          <w:tcPr>
            <w:tcW w:w="264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China Renminbi ($ / CNY)</w:t>
            </w:r>
          </w:p>
        </w:tc>
        <w:tc>
          <w:tcPr>
            <w:tcW w:w="2640" w:type="dxa"/>
            <w:vAlign w:val="bottom"/>
            <w:shd w:val="clear" w:color="auto" w:fill="CCEEFF"/>
          </w:tcPr>
          <w:p>
            <w:pPr>
              <w:jc w:val="center"/>
              <w:ind w:left="1659"/>
              <w:spacing w:after="0"/>
              <w:rPr>
                <w:sz w:val="20"/>
                <w:szCs w:val="20"/>
                <w:color w:val="auto"/>
              </w:rPr>
            </w:pPr>
            <w:r>
              <w:rPr>
                <w:rFonts w:ascii="Arial" w:cs="Arial" w:eastAsia="Arial" w:hAnsi="Arial"/>
                <w:sz w:val="16"/>
                <w:szCs w:val="16"/>
                <w:color w:val="auto"/>
                <w:w w:val="96"/>
              </w:rPr>
              <w:t>7.20</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Euro ($ / EUR)</w:t>
            </w:r>
          </w:p>
        </w:tc>
        <w:tc>
          <w:tcPr>
            <w:tcW w:w="2640" w:type="dxa"/>
            <w:vAlign w:val="bottom"/>
          </w:tcPr>
          <w:p>
            <w:pPr>
              <w:jc w:val="center"/>
              <w:ind w:left="1659"/>
              <w:spacing w:after="0"/>
              <w:rPr>
                <w:sz w:val="20"/>
                <w:szCs w:val="20"/>
                <w:color w:val="auto"/>
              </w:rPr>
            </w:pPr>
            <w:r>
              <w:rPr>
                <w:rFonts w:ascii="Arial" w:cs="Arial" w:eastAsia="Arial" w:hAnsi="Arial"/>
                <w:sz w:val="16"/>
                <w:szCs w:val="16"/>
                <w:color w:val="auto"/>
                <w:w w:val="96"/>
              </w:rPr>
              <w:t>0.95</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Indian Rupee ($ / INR)</w:t>
            </w:r>
          </w:p>
        </w:tc>
        <w:tc>
          <w:tcPr>
            <w:tcW w:w="2640" w:type="dxa"/>
            <w:vAlign w:val="bottom"/>
            <w:shd w:val="clear" w:color="auto" w:fill="CCEEFF"/>
          </w:tcPr>
          <w:p>
            <w:pPr>
              <w:jc w:val="center"/>
              <w:ind w:left="1659"/>
              <w:spacing w:after="0"/>
              <w:rPr>
                <w:sz w:val="20"/>
                <w:szCs w:val="20"/>
                <w:color w:val="auto"/>
              </w:rPr>
            </w:pPr>
            <w:r>
              <w:rPr>
                <w:rFonts w:ascii="Arial" w:cs="Arial" w:eastAsia="Arial" w:hAnsi="Arial"/>
                <w:sz w:val="16"/>
                <w:szCs w:val="16"/>
                <w:color w:val="auto"/>
              </w:rPr>
              <w:t>86.71</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Japanese Yen ($ / JPY)</w:t>
            </w:r>
          </w:p>
        </w:tc>
        <w:tc>
          <w:tcPr>
            <w:tcW w:w="2640" w:type="dxa"/>
            <w:vAlign w:val="bottom"/>
          </w:tcPr>
          <w:p>
            <w:pPr>
              <w:jc w:val="center"/>
              <w:ind w:left="1659"/>
              <w:spacing w:after="0"/>
              <w:rPr>
                <w:sz w:val="20"/>
                <w:szCs w:val="20"/>
                <w:color w:val="auto"/>
              </w:rPr>
            </w:pPr>
            <w:r>
              <w:rPr>
                <w:rFonts w:ascii="Arial" w:cs="Arial" w:eastAsia="Arial" w:hAnsi="Arial"/>
                <w:sz w:val="16"/>
                <w:szCs w:val="16"/>
                <w:color w:val="auto"/>
              </w:rPr>
              <w:t>153.64</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Conference Call and Earnings Materials</w:t>
      </w:r>
    </w:p>
    <w:p>
      <w:pPr>
        <w:spacing w:after="0" w:line="110"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Viatris will host a conference call and live webcast, today at 8:30 a.m. ET, to review the Company’s fourth quarter and full-year 2024 financial results, and 2025 financial guidance. Investors and the general public are invited to listen to a live webcast of the call at investor.viatris.com or by calling 844.308.3344 or 412.317.1896 for international callers. The “Viatris Q4 2024 Earnings Presentation,” which will be referenced during the call, can be found at investor.viatris.com. A replay of the webcast also will be available on the website.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About Viatris</w:t>
      </w:r>
    </w:p>
    <w:p>
      <w:pPr>
        <w:spacing w:after="0" w:line="56"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Non-GAAP Financial Measures</w:t>
      </w:r>
    </w:p>
    <w:p>
      <w:pPr>
        <w:spacing w:after="0" w:line="110"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 costs;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divestiture-adjusted operational change, leverage ratio, and long-term leverage target, are presented in order to supplement investors' and other readers' understanding and assessment of the financial performance of Viatris Inc.</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18" w:right="339" w:bottom="1440" w:gutter="0" w:footer="0" w:header="0"/>
        </w:sectPr>
      </w:pPr>
    </w:p>
    <w:bookmarkStart w:id="11" w:name="page12"/>
    <w:bookmarkEnd w:id="11"/>
    <w:p>
      <w:pPr>
        <w:spacing w:after="0" w:line="248" w:lineRule="auto"/>
        <w:rPr>
          <w:sz w:val="20"/>
          <w:szCs w:val="20"/>
          <w:color w:val="auto"/>
        </w:rPr>
      </w:pPr>
      <w:r>
        <w:rPr>
          <w:rFonts w:ascii="Arial" w:cs="Arial" w:eastAsia="Arial" w:hAnsi="Arial"/>
          <w:sz w:val="20"/>
          <w:szCs w:val="20"/>
          <w:color w:val="auto"/>
        </w:rPr>
        <w:t>("Viatris"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Divestiture-adjusted operational change refers to operational change, further adjusted for the impact of divestitures that have closed during 2023 and 2024 by excluding proportionate net sales from those divested businesses from comparable prior periods. The "Summary of Total Revenues by Segment" table below compares net sales and total revenues on an actual and constant currency basis for each reportable segment for the three and twelve months ended December 31, 2024 and 2023, as well as divestiture adjusted operational change in net sales and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Annual Report on Form 10-K for the year ended December 31, 2024.</w:t>
      </w:r>
    </w:p>
    <w:p>
      <w:pPr>
        <w:spacing w:after="0" w:line="241"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With respect to the guidance ranges as provided on November 7, 2024, at that time the Company did not provide forward-looking guidance for U.S. GAAP net earnings (loss) or U.S. GAAP diluted EPS or a quantitative reconciliation of its 2024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had not occurred, were out of the Company’s control and/or could not be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7" w:right="339" w:bottom="1440" w:gutter="0" w:footer="0" w:header="0"/>
        </w:sectPr>
      </w:pPr>
    </w:p>
    <w:bookmarkStart w:id="12" w:name="page13"/>
    <w:bookmarkEnd w:id="12"/>
    <w:p>
      <w:pPr>
        <w:ind w:right="20"/>
        <w:spacing w:after="0" w:line="254" w:lineRule="auto"/>
        <w:rPr>
          <w:sz w:val="20"/>
          <w:szCs w:val="20"/>
          <w:color w:val="auto"/>
        </w:rPr>
      </w:pPr>
      <w:r>
        <w:rPr>
          <w:rFonts w:ascii="Arial" w:cs="Arial" w:eastAsia="Arial" w:hAnsi="Arial"/>
          <w:sz w:val="20"/>
          <w:szCs w:val="20"/>
          <w:color w:val="auto"/>
        </w:rPr>
        <w:t>reasonably predicted without unreasonable effort. These items were uncertain, depended on various factors, and could have had a material impact on U.S. GAAP reported results for the guidance period. As previously disclosed, such guidance ranges excluded any divestiture-related taxes and transaction costs, as well as any acquired IPR&amp;D for unsigned deals to be incurred in any future period as it could not be reasonably forecasted. With respect to the guidance ranges as provided on November 7, 2024, U.S. GAAP net cash provided by operating activities for 2024 was estimated to be between $2.62 billion and $2.92 billion, with a midpoint of approximately $2.77 billion.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Certain Key Terms and Presentation Matters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2024 and the carryover impact of new products, including business development, launched within the last 12 months.</w:t>
      </w:r>
    </w:p>
    <w:p>
      <w:pPr>
        <w:spacing w:after="0" w:line="140" w:lineRule="exact"/>
        <w:rPr>
          <w:sz w:val="20"/>
          <w:szCs w:val="20"/>
          <w:color w:val="auto"/>
        </w:rPr>
      </w:pPr>
    </w:p>
    <w:p>
      <w:pPr>
        <w:jc w:val="both"/>
        <w:ind w:right="500"/>
        <w:spacing w:after="0" w:line="282"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2024 constant currency net sales, total revenues, adjusted EBITDA, and adjusted EPS to the corresponding amount in the prior year.</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u w:val="single" w:color="auto"/>
          <w:color w:val="auto"/>
        </w:rPr>
        <w:t>Divestiture-adjusted operational change:</w:t>
      </w:r>
      <w:r>
        <w:rPr>
          <w:rFonts w:ascii="Arial" w:cs="Arial" w:eastAsia="Arial" w:hAnsi="Arial"/>
          <w:sz w:val="20"/>
          <w:szCs w:val="20"/>
          <w:color w:val="auto"/>
        </w:rPr>
        <w:t xml:space="preserve"> Refers to operational changes, further adjusted for the impact of the proportionate results from the divestitures that closed in 2023 and 2024, from the 2023 period by excluding such net sales from those divested businesses from comparable prior periods. Also, for adjusted EBITDA and adjusted EPS, refers to operational changes, adjusted as outlined in the previous sentence and further adjusted for the mark up for the TSA services provided to Biocon Biologics Limited (</w:t>
      </w:r>
      <w:r>
        <w:rPr>
          <w:rFonts w:ascii="Arial" w:cs="Arial" w:eastAsia="Arial" w:hAnsi="Arial"/>
          <w:sz w:val="20"/>
          <w:szCs w:val="20"/>
          <w:color w:val="008080"/>
        </w:rPr>
        <w:t>“</w:t>
      </w:r>
      <w:r>
        <w:rPr>
          <w:rFonts w:ascii="Arial" w:cs="Arial" w:eastAsia="Arial" w:hAnsi="Arial"/>
          <w:sz w:val="20"/>
          <w:szCs w:val="20"/>
          <w:color w:val="auto"/>
        </w:rPr>
        <w:t>Biocon Biologics</w:t>
      </w:r>
      <w:r>
        <w:rPr>
          <w:rFonts w:ascii="Arial" w:cs="Arial" w:eastAsia="Arial" w:hAnsi="Arial"/>
          <w:sz w:val="20"/>
          <w:szCs w:val="20"/>
          <w:color w:val="008080"/>
        </w:rPr>
        <w:t>”</w:t>
      </w:r>
      <w:r>
        <w:rPr>
          <w:rFonts w:ascii="Arial" w:cs="Arial" w:eastAsia="Arial" w:hAnsi="Arial"/>
          <w:sz w:val="20"/>
          <w:szCs w:val="20"/>
          <w:color w:val="auto"/>
        </w:rPr>
        <w:t>) from the 2023 period.</w:t>
      </w:r>
    </w:p>
    <w:p>
      <w:pPr>
        <w:spacing w:after="0" w:line="214" w:lineRule="exact"/>
        <w:rPr>
          <w:sz w:val="20"/>
          <w:szCs w:val="20"/>
          <w:color w:val="auto"/>
        </w:rPr>
      </w:pPr>
    </w:p>
    <w:p>
      <w:pPr>
        <w:spacing w:after="0" w:line="251" w:lineRule="auto"/>
        <w:rPr>
          <w:sz w:val="20"/>
          <w:szCs w:val="20"/>
          <w:color w:val="auto"/>
        </w:rPr>
      </w:pPr>
      <w:r>
        <w:rPr>
          <w:rFonts w:ascii="Arial" w:cs="Arial" w:eastAsia="Arial" w:hAnsi="Arial"/>
          <w:sz w:val="20"/>
          <w:szCs w:val="20"/>
          <w:u w:val="single" w:color="auto"/>
          <w:color w:val="auto"/>
        </w:rPr>
        <w:t>SG&amp;A and R&amp;D TSA reimbursement and DSA reimbursement:</w:t>
      </w:r>
      <w:r>
        <w:rPr>
          <w:rFonts w:ascii="Arial" w:cs="Arial" w:eastAsia="Arial" w:hAnsi="Arial"/>
          <w:sz w:val="20"/>
          <w:szCs w:val="20"/>
          <w:color w:val="auto"/>
        </w:rPr>
        <w:t xml:space="preserve"> Expenses related to TSA services provided for divested businesses are recorded in their respective functional line item; however, reimbursement of those expenses plus any mark-up is included in Other expense (income), net. For comparability purposes, amounts related to the cost reimbursement were reclassified to adjusted SG&amp;A and adjusted R&amp;D during 2023 and the first quarter of 2024, primarily related to the contribution of the biosimilars business to Biocon Biologics in November 2022. This reclassification had no impact on adjusted net earnings, adjusted EBITDA or adjusted EPS. Any TSA reimbursement and DSA reimbursement amounts related to the closed divestitures are not direct offsets to operational expense and have not been reclassified.</w:t>
      </w:r>
    </w:p>
    <w:p>
      <w:pPr>
        <w:spacing w:after="0" w:line="220"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u w:val="single" w:color="auto"/>
          <w:color w:val="auto"/>
        </w:rPr>
        <w:t>Closed divestitures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divestitures closed in 2023 and 2024:</w:t>
      </w:r>
      <w:r>
        <w:rPr>
          <w:rFonts w:ascii="Arial" w:cs="Arial" w:eastAsia="Arial" w:hAnsi="Arial"/>
          <w:sz w:val="20"/>
          <w:szCs w:val="20"/>
          <w:color w:val="auto"/>
        </w:rPr>
        <w:t xml:space="preserve"> Refers to the divestiture of the Company’s rights to two women’s healthcare products in certain countries that closed in December 2023 and August 2024, the divestitures of the commercialization rights in the majority of the Upjohn Distributor markets that closed in 2023 and 2024, the divestiture of the women's healthcare business that closed in March 2024, the divestiture of the API business in India that closed in June 2024, and the divestiture of the OTC business that closed in July 2024.</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This release contains “forward-looking statements”. These statements are made pursuant to the safe harbor provisions of the Private Securities Litigation Reform Act of 1995. Such forward-looking statements may include, without limitation, statements about 2025 financial guidance including the expected financial impact from Indore facility warning letter and import alert; plan to prioritize capital return in 2025, including $500 million to $650 million in share repurchases; expects six Phase 3 data readouts and achievement of important late-stage development milestones for innovative assets selatogrel, cenerimod and sotagliflozin in 2025; enterprise-wide initiative to review its global infrastructure and identify additional cost savings; as we head into 2025, we are focused on driving strong commercial execution, advancing our pipeline—including several important late-stage development milestones for selatogrel, cenerimod and sotagliflozin and six Phase 3 readouts—prioritizing capital return with a focus on share repurchases, executing our remediation plan for Indore and beginning an enterprise-wide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7" w:right="339" w:bottom="1440" w:gutter="0" w:footer="0" w:header="0"/>
        </w:sectPr>
      </w:pPr>
    </w:p>
    <w:bookmarkStart w:id="13" w:name="page14"/>
    <w:bookmarkEnd w:id="13"/>
    <w:p>
      <w:pPr>
        <w:spacing w:after="0" w:line="232" w:lineRule="auto"/>
        <w:rPr>
          <w:sz w:val="20"/>
          <w:szCs w:val="20"/>
          <w:color w:val="auto"/>
        </w:rPr>
      </w:pPr>
      <w:r>
        <w:rPr>
          <w:rFonts w:ascii="Arial" w:cs="Arial" w:eastAsia="Arial" w:hAnsi="Arial"/>
          <w:sz w:val="20"/>
          <w:szCs w:val="20"/>
          <w:color w:val="auto"/>
        </w:rPr>
        <w:t>initiative to review our global infrastructure and identify additional cost savings; looking at the year ahead, our focus will include executing on our 2025 operating plan and identifying opportunities to grow our business and streamline our global infrastructure post-divestitures; we will prioritize capital return to our shareholders, including a sizeable minimum commitment to share repurchases; the Company expects to deliver $450 million to $ 550 million in new product revenues in 2025; the Company currently does not expect any additional product exceptions to be granted for the Indore facility; while product continues to be shipped from the Indore facility to markets outside the U.S., the Company currently anticipates some impact in other markets, including to parts of its ARV business in Emerging Markets and to select generic products in Europe; the Company currently estimates the negative impact on 2025 total revenues to be approximately $500 million and to 2025 adjusted EBITDA to be approximately $385 million; the Company immediately implemented a comprehensive remediation plan following the FDA’s inspection in June 2024; the necessary corrective and preventive actions are well underway, including, but not limited to, related personnel actions; the Company has engaged independent third-party subject matter experts to support the remediation plan; the Company is more than halfway through its remediation efforts and expects to be completed in a few months at which time the Company anticipates requesting FDA to conduct a reinspection of the facility; the Company is working closely with its customers to mitigate any possible supply disruptions and meet the needs of patients and will continue to work to ensure that the FDA is satisfied with the steps that have been taken to resolve all the points raised; the outcomes of clinical trials and research studies; updated terms of the Company’s development collaboration agreements with Idorsia;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 the ongoing risks and uncertainties associated with our recent divestitures; goodwill or impairment charges or other losses; the Company’s failure to achieve expected or targeted future financial and operating performance and results; the potential impact of natural or man-made disasters, public health outbreaks, epidemics, pandemics, or social disruption in regions where we or our partners or suppliers operate;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887" w:right="359" w:bottom="1440" w:gutter="0" w:footer="0" w:header="0"/>
        </w:sectPr>
      </w:pPr>
    </w:p>
    <w:bookmarkStart w:id="14" w:name="page15"/>
    <w:bookmarkEnd w:id="14"/>
    <w:p>
      <w:pPr>
        <w:ind w:right="160"/>
        <w:spacing w:after="0" w:line="235" w:lineRule="auto"/>
        <w:rPr>
          <w:sz w:val="20"/>
          <w:szCs w:val="20"/>
          <w:color w:val="auto"/>
        </w:rPr>
      </w:pPr>
      <w:r>
        <w:rPr>
          <w:rFonts w:ascii="Arial" w:cs="Arial" w:eastAsia="Arial" w:hAnsi="Arial"/>
          <w:sz w:val="20"/>
          <w:szCs w:val="20"/>
          <w:color w:val="auto"/>
        </w:rPr>
        <w:t>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adverse regulatory action,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tariffs and trade policies,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For more detailed information on the risks and uncertainties associated with Viatris, see the risks described in Part I, Item 1A of the Company’s Annual Report on Form 10-K for the year ended December 31, 2023, as amended, the Company's Annual Report on Form 10-K for the year ended December 31, 2024, which is expected to be filed with the SEC on February 27, 2025,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filings with the SEC. Viatris undertakes no obligation to update any statements herein for revisions or changes after the date of this release other than as required by law.</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Contacts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20" w:hanging="194"/>
        <w:spacing w:after="0"/>
        <w:tabs>
          <w:tab w:leader="none" w:pos="2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1.724.514.1968</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Communications@viatris.com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20" w:hanging="194"/>
        <w:spacing w:after="0"/>
        <w:tabs>
          <w:tab w:leader="none" w:pos="2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1.724.514.1813</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Jill Sawyer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Jill.Sawyer@viatris.com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887" w:right="4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3,515.4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3,825.9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14,692.8</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15,388.4</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14,739.3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15,426.9</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9,115.7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8,988.3</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5,623.6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6,438.6</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805.2</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4,650.1</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5,613.5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5,672.4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from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573.1</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(Loss) earnings before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Net (loss) earnings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Viatris Inc. shareholders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1,193.6</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1,193.3</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360" w:top="890"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5080" w:type="dxa"/>
            <w:vAlign w:val="bottom"/>
          </w:tcPr>
          <w:p>
            <w:pPr>
              <w:jc w:val="center"/>
              <w:ind w:left="35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jc w:val="center"/>
              <w:ind w:left="208"/>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4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50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r>
    </w:tbl>
    <w:p>
      <w:pPr>
        <w:spacing w:after="0" w:line="1" w:lineRule="exact"/>
        <w:rPr>
          <w:sz w:val="20"/>
          <w:szCs w:val="20"/>
          <w:color w:val="auto"/>
        </w:rPr>
      </w:pPr>
    </w:p>
    <w:p>
      <w:pPr>
        <w:sectPr>
          <w:pgSz w:w="11900" w:h="16838" w:orient="portrait"/>
          <w:cols w:equalWidth="0" w:num="1">
            <w:col w:w="11200"/>
          </w:cols>
          <w:pgMar w:left="340" w:top="890" w:right="35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158115</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-115570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734.8</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991.9</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3,700.4</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3,469.7</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2,028.1</w:t>
            </w:r>
          </w:p>
        </w:tc>
      </w:tr>
      <w:tr>
        <w:trPr>
          <w:trHeight w:val="217"/>
        </w:trPr>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2,786.0</w:t>
            </w:r>
          </w:p>
        </w:tc>
      </w:tr>
      <w:tr>
        <w:trPr>
          <w:trHeight w:val="209"/>
        </w:trPr>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9,520.7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12,976.1</w:t>
            </w: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17,070.9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19,181.1</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9,133.3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9,867.1</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5,776.0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5,661.2</w:t>
            </w:r>
          </w:p>
        </w:tc>
      </w:tr>
      <w:tr>
        <w:trPr>
          <w:trHeight w:val="209"/>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41,500.9</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47,685.5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1,943.4</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 held for sale</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5,771.1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5,558.9</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16,188.1</w:t>
            </w: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3,252.6</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27,218.1</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18,635.5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20,467.4</w:t>
            </w: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41,500.9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47,685.5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40" w:top="890" w:right="35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224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r>
      <w:tr>
        <w:trPr>
          <w:trHeight w:val="196"/>
        </w:trPr>
        <w:tc>
          <w:tcPr>
            <w:tcW w:w="5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r>
      <w:tr>
        <w:trPr>
          <w:trHeight w:val="198"/>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Lipitor ®</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355.9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379.8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1,559.3</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Norvasc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166.2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171.8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673.3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732.4</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Lyrica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495.4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Creon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328.2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Viagra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395.6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EpiPen® Auto-Injectors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392.0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442.2</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Celebrex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Effexor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252.9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262.9</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Zoloft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Xalabrands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166.4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271"/>
        </w:trPr>
        <w:tc>
          <w:tcPr>
            <w:tcW w:w="50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Yupelri ®</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Influvac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178.7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192.4</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Dymista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5"/>
        </w:trPr>
        <w:tc>
          <w:tcPr>
            <w:tcW w:w="5040" w:type="dxa"/>
            <w:vAlign w:val="bottom"/>
          </w:tcPr>
          <w:p>
            <w:pPr>
              <w:ind w:left="120"/>
              <w:spacing w:after="0"/>
              <w:rPr>
                <w:sz w:val="20"/>
                <w:szCs w:val="20"/>
                <w:color w:val="auto"/>
              </w:rPr>
            </w:pPr>
            <w:r>
              <w:rPr>
                <w:rFonts w:ascii="Arial" w:cs="Arial" w:eastAsia="Arial" w:hAnsi="Arial"/>
                <w:sz w:val="16"/>
                <w:szCs w:val="16"/>
                <w:color w:val="auto"/>
              </w:rPr>
              <w:t>Amitiza ®</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149.2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157.0</w:t>
            </w:r>
          </w:p>
        </w:tc>
      </w:tr>
      <w:tr>
        <w:trPr>
          <w:trHeight w:val="217"/>
        </w:trPr>
        <w:tc>
          <w:tcPr>
            <w:tcW w:w="5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Xanax ®</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Company does not disclose net sales for any products considered competitively sensitive.</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Products disclosed may change in future periods, including as a result of seasonality, competition or new product launches.</w:t>
      </w:r>
    </w:p>
    <w:p>
      <w:pPr>
        <w:spacing w:after="0" w:line="31" w:lineRule="exact"/>
        <w:rPr>
          <w:rFonts w:ascii="Arial" w:cs="Arial" w:eastAsia="Arial" w:hAnsi="Arial"/>
          <w:sz w:val="21"/>
          <w:szCs w:val="21"/>
          <w:color w:val="auto"/>
          <w:vertAlign w:val="superscript"/>
        </w:rPr>
      </w:pPr>
    </w:p>
    <w:p>
      <w:pPr>
        <w:ind w:left="660" w:hanging="328"/>
        <w:spacing w:after="0" w:line="218"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Amounts for the three months and year ended December 31, 2024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025"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9"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Reconciliation of U.S. GAAP Net (Loss) Earnings to Adjusted Net Earnings and U.S. GAAP (Loss) Earnings Per Share to Adjusted EPS</w:t>
      </w:r>
    </w:p>
    <w:p>
      <w:pPr>
        <w:spacing w:after="0" w:line="36"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Below is a reconciliation of U.S. GAAP net (loss) earnings and diluted (loss) earnings per share to adjusted net earnings and adjusted EPS for the three months and year ended December 31, 2024, compared to the prior year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43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U.S. GAAP net (loss) earnings and U.S. GAAP diluted (loss)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(516.5)</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(765.6)</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(634.2)</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share</w:t>
            </w:r>
          </w:p>
        </w:tc>
        <w:tc>
          <w:tcPr>
            <w:tcW w:w="2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20"/>
              <w:spacing w:after="0" w:line="149" w:lineRule="exact"/>
              <w:rPr>
                <w:sz w:val="20"/>
                <w:szCs w:val="20"/>
                <w:color w:val="auto"/>
              </w:rPr>
            </w:pPr>
            <w:r>
              <w:rPr>
                <w:rFonts w:ascii="Arial" w:cs="Arial" w:eastAsia="Arial" w:hAnsi="Arial"/>
                <w:sz w:val="14"/>
                <w:szCs w:val="14"/>
                <w:color w:val="auto"/>
              </w:rPr>
              <w:t>Purchase accounting amortization (primarily included in cost of</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673.5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556.9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2,581.1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2,421.5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rPr>
                <w:sz w:val="20"/>
                <w:szCs w:val="20"/>
                <w:color w:val="auto"/>
              </w:rPr>
            </w:pPr>
            <w:r>
              <w:rPr>
                <w:rFonts w:ascii="Arial" w:cs="Arial" w:eastAsia="Arial" w:hAnsi="Arial"/>
                <w:sz w:val="14"/>
                <w:szCs w:val="14"/>
                <w:color w:val="auto"/>
              </w:rPr>
              <w:t xml:space="preserve">sales) </w:t>
            </w:r>
            <w:r>
              <w:rPr>
                <w:rFonts w:ascii="Arial" w:cs="Arial" w:eastAsia="Arial" w:hAnsi="Arial"/>
                <w:sz w:val="9"/>
                <w:szCs w:val="9"/>
                <w:color w:val="auto"/>
              </w:rPr>
              <w:t>(a)</w:t>
            </w: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Impairment of goodwill (included in SG&amp;A) </w:t>
            </w:r>
            <w:r>
              <w:rPr>
                <w:rFonts w:ascii="Arial" w:cs="Arial" w:eastAsia="Arial" w:hAnsi="Arial"/>
                <w:sz w:val="18"/>
                <w:szCs w:val="18"/>
                <w:color w:val="auto"/>
                <w:vertAlign w:val="superscript"/>
              </w:rPr>
              <w:t>(b)</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rPr>
                <w:sz w:val="20"/>
                <w:szCs w:val="20"/>
                <w:color w:val="auto"/>
              </w:rPr>
            </w:pPr>
            <w:r>
              <w:rPr>
                <w:rFonts w:ascii="Arial" w:cs="Arial" w:eastAsia="Arial" w:hAnsi="Arial"/>
                <w:sz w:val="14"/>
                <w:szCs w:val="14"/>
                <w:color w:val="auto"/>
              </w:rPr>
              <w:t>Litigation settlements and other contingencies, net</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350.9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Interest expense (primarily amortization of premiums and discounts</w:t>
            </w: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 long term debt)</w:t>
            </w:r>
          </w:p>
        </w:tc>
        <w:tc>
          <w:tcPr>
            <w:tcW w:w="2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340" w:type="dxa"/>
            <w:vAlign w:val="bottom"/>
          </w:tcPr>
          <w:p>
            <w:pPr>
              <w:ind w:left="20"/>
              <w:spacing w:after="0" w:line="149" w:lineRule="exact"/>
              <w:rPr>
                <w:sz w:val="20"/>
                <w:szCs w:val="20"/>
                <w:color w:val="auto"/>
              </w:rPr>
            </w:pPr>
            <w:r>
              <w:rPr>
                <w:rFonts w:ascii="Arial" w:cs="Arial" w:eastAsia="Arial" w:hAnsi="Arial"/>
                <w:sz w:val="14"/>
                <w:szCs w:val="14"/>
                <w:color w:val="auto"/>
              </w:rPr>
              <w:t>Acquisition and divestiture-related costs (primarily included in</w:t>
            </w: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361.0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377.9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rPr>
                <w:sz w:val="20"/>
                <w:szCs w:val="20"/>
                <w:color w:val="auto"/>
              </w:rPr>
            </w:pPr>
            <w:r>
              <w:rPr>
                <w:rFonts w:ascii="Arial" w:cs="Arial" w:eastAsia="Arial" w:hAnsi="Arial"/>
                <w:sz w:val="14"/>
                <w:szCs w:val="14"/>
                <w:color w:val="auto"/>
              </w:rPr>
              <w:t xml:space="preserve">SG&amp;A) </w:t>
            </w:r>
            <w:r>
              <w:rPr>
                <w:rFonts w:ascii="Arial" w:cs="Arial" w:eastAsia="Arial" w:hAnsi="Arial"/>
                <w:sz w:val="9"/>
                <w:szCs w:val="9"/>
                <w:color w:val="auto"/>
              </w:rPr>
              <w:t>(c)</w:t>
            </w: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Loss on divestitures of businesses (included in other expense</w:t>
            </w: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239.9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399.4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(income), net) </w:t>
            </w:r>
            <w:r>
              <w:rPr>
                <w:rFonts w:ascii="Arial" w:cs="Arial" w:eastAsia="Arial" w:hAnsi="Arial"/>
                <w:sz w:val="9"/>
                <w:szCs w:val="9"/>
                <w:color w:val="auto"/>
              </w:rPr>
              <w:t>(d)</w:t>
            </w: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Restructuring-related costs </w:t>
            </w:r>
            <w:r>
              <w:rPr>
                <w:rFonts w:ascii="Arial" w:cs="Arial" w:eastAsia="Arial" w:hAnsi="Arial"/>
                <w:sz w:val="18"/>
                <w:szCs w:val="18"/>
                <w:color w:val="auto"/>
                <w:vertAlign w:val="superscript"/>
              </w:rPr>
              <w:t>(e)</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rPr>
                <w:sz w:val="20"/>
                <w:szCs w:val="20"/>
                <w:color w:val="auto"/>
              </w:rPr>
            </w:pPr>
            <w:r>
              <w:rPr>
                <w:rFonts w:ascii="Arial" w:cs="Arial" w:eastAsia="Arial" w:hAnsi="Arial"/>
                <w:sz w:val="14"/>
                <w:szCs w:val="14"/>
                <w:color w:val="auto"/>
              </w:rPr>
              <w:t>Other special items included in:</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Cost of sales </w:t>
            </w:r>
            <w:r>
              <w:rPr>
                <w:rFonts w:ascii="Arial" w:cs="Arial" w:eastAsia="Arial" w:hAnsi="Arial"/>
                <w:sz w:val="18"/>
                <w:szCs w:val="18"/>
                <w:color w:val="auto"/>
                <w:vertAlign w:val="superscript"/>
              </w:rPr>
              <w:t>(f)</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2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Other expense (income), net </w:t>
            </w:r>
            <w:r>
              <w:rPr>
                <w:rFonts w:ascii="Arial" w:cs="Arial" w:eastAsia="Arial" w:hAnsi="Arial"/>
                <w:sz w:val="18"/>
                <w:szCs w:val="18"/>
                <w:color w:val="auto"/>
                <w:vertAlign w:val="superscript"/>
              </w:rPr>
              <w:t>(g)</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Tax effect of the above items and other income tax related items </w:t>
            </w:r>
            <w:r>
              <w:rPr>
                <w:rFonts w:ascii="Arial" w:cs="Arial" w:eastAsia="Arial" w:hAnsi="Arial"/>
                <w:sz w:val="18"/>
                <w:szCs w:val="18"/>
                <w:color w:val="auto"/>
                <w:vertAlign w:val="superscript"/>
              </w:rPr>
              <w:t>(h)</w:t>
            </w: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20"/>
              <w:spacing w:after="0"/>
              <w:rPr>
                <w:sz w:val="20"/>
                <w:szCs w:val="20"/>
                <w:color w:val="auto"/>
              </w:rPr>
            </w:pPr>
            <w:r>
              <w:rPr>
                <w:rFonts w:ascii="Arial" w:cs="Arial" w:eastAsia="Arial" w:hAnsi="Arial"/>
                <w:sz w:val="14"/>
                <w:szCs w:val="14"/>
                <w:color w:val="auto"/>
              </w:rPr>
              <w:t>Adjusted net earnings and adjusted EPS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655.6</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746.6</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3,192.4</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3,537.7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diluted shares outstanding</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jc w:val="both"/>
        <w:ind w:left="660" w:hanging="328"/>
        <w:spacing w:after="0" w:line="233"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2024, includes IPR&amp;D intangible asset impairment charges of $75.1 million and $177.1 million, respectively, as the Company concluded that certain of its IPR&amp;D assets were fully impaired due to unfavorable clinical results and/or changes in market conditions which led to the termination of the development programs.</w:t>
      </w:r>
    </w:p>
    <w:p>
      <w:pPr>
        <w:spacing w:after="0" w:line="15"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year ended December 31, 2024, includes a goodwill impairment charge of $321.0 million related to the JANZ reporting unit.</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transaction costs including legal and consulting fees and integration activities.</w:t>
      </w:r>
    </w:p>
    <w:p>
      <w:pPr>
        <w:spacing w:after="0" w:line="58" w:lineRule="exact"/>
        <w:rPr>
          <w:rFonts w:ascii="Arial" w:cs="Arial" w:eastAsia="Arial" w:hAnsi="Arial"/>
          <w:sz w:val="21"/>
          <w:szCs w:val="21"/>
          <w:color w:val="auto"/>
          <w:vertAlign w:val="superscript"/>
        </w:rPr>
      </w:pPr>
    </w:p>
    <w:p>
      <w:pPr>
        <w:jc w:val="both"/>
        <w:ind w:left="660" w:hanging="328"/>
        <w:spacing w:after="0" w:line="236"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December 31, 2024, consists primarily of pre-tax charges (gains) related to the divestitures of the OTC, biosimilars, API, and women's healthcare businesses of approximately $28.6 million, $60.0 million, $15.3 million, and $(0.2) million, respectively. For the year ended December 31, 2024, consists primarily of pre-tax charges (gains) related to the divestitures of the OTC, biosimilars, API, and women's healthcare businesses of approximately $369.0 million, $60.0 million</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$47.8 million, and $(77.8) million, respectively.</w:t>
      </w:r>
    </w:p>
    <w:p>
      <w:pPr>
        <w:spacing w:after="0" w:line="42" w:lineRule="exact"/>
        <w:rPr>
          <w:rFonts w:ascii="Arial" w:cs="Arial" w:eastAsia="Arial" w:hAnsi="Arial"/>
          <w:sz w:val="21"/>
          <w:szCs w:val="21"/>
          <w:color w:val="auto"/>
          <w:vertAlign w:val="superscript"/>
        </w:rPr>
      </w:pPr>
    </w:p>
    <w:p>
      <w:pPr>
        <w:ind w:left="660" w:hanging="328"/>
        <w:spacing w:after="0" w:line="229"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 xml:space="preserve">For the three months and year ended December 31, 2024, charges include approximately $17.6 million and $115.7 million, respectively, in cost of sales, approximately $1.1 million and $3.0 million, respectively, in R&amp;D, and approximately $46.4 million </w:t>
      </w:r>
      <w:r>
        <w:rPr>
          <w:rFonts w:ascii="Times New Roman" w:cs="Times New Roman" w:eastAsia="Times New Roman" w:hAnsi="Times New Roman"/>
          <w:sz w:val="17"/>
          <w:szCs w:val="17"/>
          <w:color w:val="auto"/>
        </w:rPr>
        <w:t>a</w:t>
      </w:r>
      <w:r>
        <w:rPr>
          <w:rFonts w:ascii="Arial" w:cs="Arial" w:eastAsia="Arial" w:hAnsi="Arial"/>
          <w:sz w:val="16"/>
          <w:szCs w:val="16"/>
          <w:color w:val="auto"/>
        </w:rPr>
        <w:t>nd $92.3 million, respectively, in SG&amp;A.</w:t>
      </w:r>
    </w:p>
    <w:p>
      <w:pPr>
        <w:spacing w:after="0" w:line="41" w:lineRule="exact"/>
        <w:rPr>
          <w:rFonts w:ascii="Arial" w:cs="Arial" w:eastAsia="Arial" w:hAnsi="Arial"/>
          <w:sz w:val="21"/>
          <w:szCs w:val="21"/>
          <w:color w:val="auto"/>
          <w:vertAlign w:val="superscript"/>
        </w:rPr>
      </w:pPr>
    </w:p>
    <w:p>
      <w:pPr>
        <w:ind w:left="660" w:right="20" w:hanging="328"/>
        <w:spacing w:after="0" w:line="235" w:lineRule="auto"/>
        <w:tabs>
          <w:tab w:leader="none" w:pos="651"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2024, charges include incremental manufacturing variances at plants slated for sale or closure of approximately $31.9 million and $109.4 million, respectively.</w:t>
      </w:r>
    </w:p>
    <w:p>
      <w:pPr>
        <w:spacing w:after="0" w:line="28" w:lineRule="exact"/>
        <w:rPr>
          <w:rFonts w:ascii="Arial" w:cs="Arial" w:eastAsia="Arial" w:hAnsi="Arial"/>
          <w:sz w:val="21"/>
          <w:szCs w:val="21"/>
          <w:color w:val="auto"/>
          <w:vertAlign w:val="superscript"/>
        </w:rPr>
      </w:pPr>
    </w:p>
    <w:p>
      <w:pPr>
        <w:jc w:val="both"/>
        <w:ind w:left="660" w:hanging="328"/>
        <w:spacing w:after="0"/>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and year ended December 31, 2024, include: (1) gains of approximately $4.8 million and $373.5 million, respectively, as a result of remeasuring the compulsory convertible preferred shares (CCPS) in Biocon Biologics to fair value; (2) loss (gain) on the extinguishment of debt of $0.2 million and $(16.5) million, respectively; and (3) charges of $184.6 million related to the impairment of our equity investment in Mapi Pharma Ltd. and advances for GA Depot inventory.</w:t>
      </w:r>
    </w:p>
    <w:p>
      <w:pPr>
        <w:spacing w:after="0" w:line="3"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(loss) earnings to EBITDA and adjusted EBITDA for the three months and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compared to the prior year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 earnings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provision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r>
      <w:tr>
        <w:trPr>
          <w:trHeight w:val="216"/>
        </w:trPr>
        <w:tc>
          <w:tcPr>
            <w:tcW w:w="60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573.1</w:t>
            </w:r>
          </w:p>
        </w:tc>
      </w:tr>
      <w:tr>
        <w:trPr>
          <w:trHeight w:val="216"/>
        </w:trPr>
        <w:tc>
          <w:tcPr>
            <w:tcW w:w="60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746.2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2,893.2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2,740.5</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339.9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2,820.0</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3,516.5</w:t>
            </w: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606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180.7</w:t>
            </w:r>
          </w:p>
        </w:tc>
      </w:tr>
      <w:tr>
        <w:trPr>
          <w:trHeight w:val="217"/>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Loss on divestitures of businesses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399.4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239.9</w:t>
            </w:r>
          </w:p>
        </w:tc>
      </w:tr>
      <w:tr>
        <w:trPr>
          <w:trHeight w:val="217"/>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r>
      <w:tr>
        <w:trPr>
          <w:trHeight w:val="216"/>
        </w:trPr>
        <w:tc>
          <w:tcPr>
            <w:tcW w:w="606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6"/>
                <w:szCs w:val="16"/>
                <w:color w:val="auto"/>
              </w:rPr>
              <w:t xml:space="preserve">Restructuring, acquisition and divestiture 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w:t>
            </w: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983.5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4,669.4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(Loss) Earnings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10"/>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2023 Adjusted</w:t>
            </w:r>
          </w:p>
        </w:tc>
        <w:tc>
          <w:tcPr>
            <w:tcW w:w="80" w:type="dxa"/>
            <w:vAlign w:val="bottom"/>
          </w:tcPr>
          <w:p>
            <w:pPr>
              <w:spacing w:after="0"/>
              <w:rPr>
                <w:sz w:val="12"/>
                <w:szCs w:val="12"/>
                <w:color w:val="auto"/>
              </w:rPr>
            </w:pPr>
          </w:p>
        </w:tc>
        <w:tc>
          <w:tcPr>
            <w:tcW w:w="12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8"/>
        </w:trPr>
        <w:tc>
          <w:tcPr>
            <w:tcW w:w="1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5"/>
                <w:szCs w:val="5"/>
                <w:color w:val="auto"/>
              </w:rPr>
            </w:pP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5"/>
                <w:szCs w:val="5"/>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Currency %</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Closed</w:t>
            </w:r>
          </w:p>
        </w:tc>
        <w:tc>
          <w:tcPr>
            <w:tcW w:w="12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14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rPr>
              <w:t>Ex Divestitures</w:t>
            </w: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80" w:type="dxa"/>
            <w:vAlign w:val="bottom"/>
          </w:tcPr>
          <w:p>
            <w:pPr>
              <w:spacing w:after="0"/>
              <w:rPr>
                <w:sz w:val="11"/>
                <w:szCs w:val="11"/>
                <w:color w:val="auto"/>
              </w:rPr>
            </w:pPr>
          </w:p>
        </w:tc>
        <w:tc>
          <w:tcPr>
            <w:tcW w:w="92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11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center"/>
              <w:ind w:right="291"/>
              <w:spacing w:after="0"/>
              <w:rPr>
                <w:sz w:val="20"/>
                <w:szCs w:val="20"/>
                <w:color w:val="auto"/>
              </w:rPr>
            </w:pPr>
            <w:r>
              <w:rPr>
                <w:rFonts w:ascii="Arial" w:cs="Arial" w:eastAsia="Arial" w:hAnsi="Arial"/>
                <w:sz w:val="9"/>
                <w:szCs w:val="9"/>
                <w:b w:val="1"/>
                <w:bCs w:val="1"/>
                <w:color w:val="auto"/>
                <w:w w:val="90"/>
              </w:rPr>
              <w:t>(5)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right="10"/>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(6)</w:t>
            </w:r>
          </w:p>
        </w:tc>
        <w:tc>
          <w:tcPr>
            <w:tcW w:w="0" w:type="dxa"/>
            <w:vAlign w:val="bottom"/>
          </w:tcPr>
          <w:p>
            <w:pPr>
              <w:spacing w:after="0"/>
              <w:rPr>
                <w:sz w:val="1"/>
                <w:szCs w:val="1"/>
                <w:color w:val="auto"/>
              </w:rPr>
            </w:pPr>
          </w:p>
        </w:tc>
      </w:tr>
      <w:tr>
        <w:trPr>
          <w:trHeight w:val="183"/>
        </w:trPr>
        <w:tc>
          <w:tcPr>
            <w:tcW w:w="178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80" w:type="dxa"/>
            <w:vAlign w:val="bottom"/>
            <w:gridSpan w:val="2"/>
          </w:tcPr>
          <w:p>
            <w:pPr>
              <w:ind w:left="220"/>
              <w:spacing w:after="0"/>
              <w:rPr>
                <w:sz w:val="20"/>
                <w:szCs w:val="20"/>
                <w:color w:val="auto"/>
              </w:rPr>
            </w:pPr>
            <w:r>
              <w:rPr>
                <w:rFonts w:ascii="Arial" w:cs="Arial" w:eastAsia="Arial" w:hAnsi="Arial"/>
                <w:sz w:val="14"/>
                <w:szCs w:val="14"/>
                <w:color w:val="auto"/>
              </w:rPr>
              <w:t>Developed Markets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2,146.1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2,319.2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2,154.3</w:t>
            </w: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2,129.4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1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526.7</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8"/>
        </w:trPr>
        <w:tc>
          <w:tcPr>
            <w:tcW w:w="1780" w:type="dxa"/>
            <w:vAlign w:val="bottom"/>
            <w:gridSpan w:val="2"/>
          </w:tcPr>
          <w:p>
            <w:pPr>
              <w:ind w:left="220"/>
              <w:spacing w:after="0"/>
              <w:rPr>
                <w:sz w:val="20"/>
                <w:szCs w:val="20"/>
                <w:color w:val="auto"/>
              </w:rPr>
            </w:pPr>
            <w:r>
              <w:rPr>
                <w:rFonts w:ascii="Arial" w:cs="Arial" w:eastAsia="Arial" w:hAnsi="Arial"/>
                <w:sz w:val="14"/>
                <w:szCs w:val="14"/>
                <w:color w:val="auto"/>
              </w:rPr>
              <w:t>JANZ</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345.3</w:t>
            </w: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1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537.8</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1780" w:type="dxa"/>
            <w:vAlign w:val="bottom"/>
            <w:gridSpan w:val="2"/>
          </w:tcPr>
          <w:p>
            <w:pPr>
              <w:ind w:left="360"/>
              <w:spacing w:after="0"/>
              <w:rPr>
                <w:sz w:val="20"/>
                <w:szCs w:val="20"/>
                <w:color w:val="auto"/>
              </w:rPr>
            </w:pPr>
            <w:r>
              <w:rPr>
                <w:rFonts w:ascii="Arial" w:cs="Arial" w:eastAsia="Arial" w:hAnsi="Arial"/>
                <w:sz w:val="14"/>
                <w:szCs w:val="14"/>
                <w:color w:val="auto"/>
              </w:rPr>
              <w:t>Total net sales</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3,515.4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3,825.9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3,564.1</w:t>
            </w:r>
          </w:p>
        </w:tc>
        <w:tc>
          <w:tcPr>
            <w:tcW w:w="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286.7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3,539.2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gridSpan w:val="2"/>
          </w:tcPr>
          <w:p>
            <w:pPr>
              <w:ind w:left="36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b w:val="1"/>
                <w:bCs w:val="1"/>
                <w:color w:val="auto"/>
                <w:vertAlign w:val="superscript"/>
              </w:rPr>
              <w:t>(7)</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NM</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0"/>
        </w:trPr>
        <w:tc>
          <w:tcPr>
            <w:tcW w:w="1780" w:type="dxa"/>
            <w:vAlign w:val="bottom"/>
            <w:tcBorders>
              <w:top w:val="single" w:sz="8" w:color="CCEEFF"/>
            </w:tcBorders>
            <w:gridSpan w:val="2"/>
            <w:shd w:val="clear" w:color="auto" w:fill="CCEEFF"/>
          </w:tcPr>
          <w:p>
            <w:pPr>
              <w:ind w:left="220"/>
              <w:spacing w:after="0" w:line="131" w:lineRule="exact"/>
              <w:rPr>
                <w:sz w:val="20"/>
                <w:szCs w:val="20"/>
                <w:color w:val="auto"/>
              </w:rPr>
            </w:pPr>
            <w:r>
              <w:rPr>
                <w:rFonts w:ascii="Arial" w:cs="Arial" w:eastAsia="Arial" w:hAnsi="Arial"/>
                <w:sz w:val="14"/>
                <w:szCs w:val="14"/>
                <w:color w:val="auto"/>
              </w:rPr>
              <w:t>Consolidated total</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3,528.1</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3,837.3</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3,577.0</w:t>
            </w: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gridSpan w:val="2"/>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3,550.6</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4"/>
        </w:trPr>
        <w:tc>
          <w:tcPr>
            <w:tcW w:w="1780" w:type="dxa"/>
            <w:vAlign w:val="bottom"/>
            <w:tcBorders>
              <w:bottom w:val="single" w:sz="8" w:color="CCEEFF"/>
            </w:tcBorders>
            <w:gridSpan w:val="2"/>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b w:val="1"/>
                <w:bCs w:val="1"/>
                <w:color w:val="auto"/>
                <w:vertAlign w:val="superscript"/>
              </w:rPr>
              <w:t>(3)(8)</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gridSpan w:val="2"/>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gridSpan w:val="2"/>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rPr>
              <w:t>2023 Adjusted</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4"/>
        </w:trPr>
        <w:tc>
          <w:tcPr>
            <w:tcW w:w="1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4"/>
                <w:szCs w:val="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Currency %</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Closed</w:t>
            </w:r>
          </w:p>
        </w:tc>
        <w:tc>
          <w:tcPr>
            <w:tcW w:w="8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35"/>
        </w:trPr>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140" w:type="dxa"/>
            <w:vAlign w:val="bottom"/>
          </w:tcPr>
          <w:p>
            <w:pPr>
              <w:spacing w:after="0"/>
              <w:rPr>
                <w:sz w:val="11"/>
                <w:szCs w:val="11"/>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rPr>
              <w:t>Ex Divestitures</w:t>
            </w: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17"/>
                <w:szCs w:val="17"/>
                <w:b w:val="1"/>
                <w:bCs w:val="1"/>
                <w:color w:val="auto"/>
                <w:w w:val="98"/>
                <w:vertAlign w:val="superscript"/>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Change </w:t>
            </w:r>
            <w:r>
              <w:rPr>
                <w:rFonts w:ascii="Arial" w:cs="Arial" w:eastAsia="Arial" w:hAnsi="Arial"/>
                <w:sz w:val="17"/>
                <w:szCs w:val="17"/>
                <w:b w:val="1"/>
                <w:bCs w:val="1"/>
                <w:color w:val="auto"/>
                <w:w w:val="98"/>
                <w:vertAlign w:val="superscript"/>
              </w:rPr>
              <w:t>(2)</w:t>
            </w:r>
          </w:p>
        </w:tc>
        <w:tc>
          <w:tcPr>
            <w:tcW w:w="8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 xml:space="preserve">Divestitures </w:t>
            </w:r>
            <w:r>
              <w:rPr>
                <w:rFonts w:ascii="Arial" w:cs="Arial" w:eastAsia="Arial" w:hAnsi="Arial"/>
                <w:sz w:val="9"/>
                <w:szCs w:val="9"/>
                <w:b w:val="1"/>
                <w:bCs w:val="1"/>
                <w:color w:val="auto"/>
              </w:rPr>
              <w:t>(4)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center"/>
              <w:ind w:right="111"/>
              <w:spacing w:after="0"/>
              <w:rPr>
                <w:sz w:val="20"/>
                <w:szCs w:val="20"/>
                <w:color w:val="auto"/>
              </w:rPr>
            </w:pPr>
            <w:r>
              <w:rPr>
                <w:rFonts w:ascii="Arial" w:cs="Arial" w:eastAsia="Arial" w:hAnsi="Arial"/>
                <w:sz w:val="9"/>
                <w:szCs w:val="9"/>
                <w:b w:val="1"/>
                <w:bCs w:val="1"/>
                <w:color w:val="auto"/>
              </w:rPr>
              <w:t>(5)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Change </w:t>
            </w:r>
            <w:r>
              <w:rPr>
                <w:rFonts w:ascii="Arial" w:cs="Arial" w:eastAsia="Arial" w:hAnsi="Arial"/>
                <w:sz w:val="17"/>
                <w:szCs w:val="17"/>
                <w:b w:val="1"/>
                <w:bCs w:val="1"/>
                <w:color w:val="auto"/>
                <w:w w:val="98"/>
                <w:vertAlign w:val="superscript"/>
              </w:rPr>
              <w:t>(6)</w:t>
            </w:r>
          </w:p>
        </w:tc>
        <w:tc>
          <w:tcPr>
            <w:tcW w:w="0" w:type="dxa"/>
            <w:vAlign w:val="bottom"/>
          </w:tcPr>
          <w:p>
            <w:pPr>
              <w:spacing w:after="0"/>
              <w:rPr>
                <w:sz w:val="1"/>
                <w:szCs w:val="1"/>
                <w:color w:val="auto"/>
              </w:rPr>
            </w:pPr>
          </w:p>
        </w:tc>
      </w:tr>
      <w:tr>
        <w:trPr>
          <w:trHeight w:val="183"/>
        </w:trPr>
        <w:tc>
          <w:tcPr>
            <w:tcW w:w="1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80" w:type="dxa"/>
            <w:vAlign w:val="bottom"/>
            <w:gridSpan w:val="2"/>
          </w:tcPr>
          <w:p>
            <w:pPr>
              <w:ind w:left="220"/>
              <w:spacing w:after="0"/>
              <w:rPr>
                <w:sz w:val="20"/>
                <w:szCs w:val="20"/>
                <w:color w:val="auto"/>
              </w:rPr>
            </w:pPr>
            <w:r>
              <w:rPr>
                <w:rFonts w:ascii="Arial" w:cs="Arial" w:eastAsia="Arial" w:hAnsi="Arial"/>
                <w:sz w:val="14"/>
                <w:szCs w:val="14"/>
                <w:color w:val="auto"/>
              </w:rPr>
              <w:t>Developed Markets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8,929.4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9,251.9</w:t>
            </w:r>
          </w:p>
        </w:tc>
        <w:tc>
          <w:tcPr>
            <w:tcW w:w="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8,924.1</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421.1</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8,830.8</w:t>
            </w:r>
          </w:p>
        </w:tc>
        <w:tc>
          <w:tcPr>
            <w:tcW w:w="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1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2,160.4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2,213.7</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2,160.3</w:t>
            </w: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8"/>
        </w:trPr>
        <w:tc>
          <w:tcPr>
            <w:tcW w:w="1780" w:type="dxa"/>
            <w:vAlign w:val="bottom"/>
            <w:gridSpan w:val="2"/>
          </w:tcPr>
          <w:p>
            <w:pPr>
              <w:ind w:left="220"/>
              <w:spacing w:after="0"/>
              <w:rPr>
                <w:sz w:val="20"/>
                <w:szCs w:val="20"/>
                <w:color w:val="auto"/>
              </w:rPr>
            </w:pPr>
            <w:r>
              <w:rPr>
                <w:rFonts w:ascii="Arial" w:cs="Arial" w:eastAsia="Arial" w:hAnsi="Arial"/>
                <w:sz w:val="14"/>
                <w:szCs w:val="14"/>
                <w:color w:val="auto"/>
              </w:rPr>
              <w:t>JANZ</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1,346.2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1,424.5</w:t>
            </w:r>
          </w:p>
        </w:tc>
        <w:tc>
          <w:tcPr>
            <w:tcW w:w="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1,427.6</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1,408.1</w:t>
            </w:r>
          </w:p>
        </w:tc>
        <w:tc>
          <w:tcPr>
            <w:tcW w:w="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2,551.6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2,366.9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294.6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2,257.0</w:t>
            </w: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2"/>
        </w:trPr>
        <w:tc>
          <w:tcPr>
            <w:tcW w:w="1780" w:type="dxa"/>
            <w:vAlign w:val="bottom"/>
            <w:gridSpan w:val="2"/>
          </w:tcPr>
          <w:p>
            <w:pPr>
              <w:ind w:left="360"/>
              <w:spacing w:after="0"/>
              <w:rPr>
                <w:sz w:val="20"/>
                <w:szCs w:val="20"/>
                <w:color w:val="auto"/>
              </w:rPr>
            </w:pPr>
            <w:r>
              <w:rPr>
                <w:rFonts w:ascii="Arial" w:cs="Arial" w:eastAsia="Arial" w:hAnsi="Arial"/>
                <w:sz w:val="14"/>
                <w:szCs w:val="14"/>
                <w:color w:val="auto"/>
              </w:rPr>
              <w:t>Total net sales</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14,692.8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15,388.4</w:t>
            </w:r>
          </w:p>
        </w:tc>
        <w:tc>
          <w:tcPr>
            <w:tcW w:w="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239.5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14,932.3</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732.2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14,656.2</w:t>
            </w:r>
          </w:p>
        </w:tc>
        <w:tc>
          <w:tcPr>
            <w:tcW w:w="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20"/>
        </w:trPr>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60" w:type="dxa"/>
            <w:vAlign w:val="bottom"/>
            <w:tcBorders>
              <w:bottom w:val="single" w:sz="8" w:color="CCEEFF"/>
            </w:tcBorders>
          </w:tcPr>
          <w:p>
            <w:pPr>
              <w:ind w:left="360"/>
              <w:spacing w:after="0" w:line="202" w:lineRule="exact"/>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b w:val="1"/>
                <w:bCs w:val="1"/>
                <w:color w:val="auto"/>
                <w:vertAlign w:val="superscript"/>
              </w:rPr>
              <w:t>(7)</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38.5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46.6</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NM</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38.5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29"/>
        </w:trPr>
        <w:tc>
          <w:tcPr>
            <w:tcW w:w="176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Consolidated total</w:t>
            </w:r>
          </w:p>
        </w:tc>
        <w:tc>
          <w:tcPr>
            <w:tcW w:w="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14,739.3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15,426.9</w:t>
            </w:r>
          </w:p>
        </w:tc>
        <w:tc>
          <w:tcPr>
            <w:tcW w:w="2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239.6</w:t>
            </w:r>
          </w:p>
        </w:tc>
        <w:tc>
          <w:tcPr>
            <w:tcW w:w="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14,978.9</w:t>
            </w:r>
          </w:p>
        </w:tc>
        <w:tc>
          <w:tcPr>
            <w:tcW w:w="11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732.2</w:t>
            </w:r>
          </w:p>
        </w:tc>
        <w:tc>
          <w:tcPr>
            <w:tcW w:w="36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14,694.7</w:t>
            </w:r>
          </w:p>
        </w:tc>
        <w:tc>
          <w:tcPr>
            <w:tcW w:w="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5"/>
        </w:trPr>
        <w:tc>
          <w:tcPr>
            <w:tcW w:w="1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 xml:space="preserve">revenues </w:t>
            </w:r>
            <w:r>
              <w:rPr>
                <w:rFonts w:ascii="Arial" w:cs="Arial" w:eastAsia="Arial" w:hAnsi="Arial"/>
                <w:sz w:val="9"/>
                <w:szCs w:val="9"/>
                <w:b w:val="1"/>
                <w:bCs w:val="1"/>
                <w:color w:val="auto"/>
              </w:rPr>
              <w:t>(3)(8)</w:t>
            </w:r>
          </w:p>
        </w:tc>
        <w:tc>
          <w:tcPr>
            <w:tcW w:w="1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120" w:type="dxa"/>
            <w:vAlign w:val="bottom"/>
            <w:gridSpan w:val="3"/>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340" w:hanging="332"/>
        <w:spacing w:after="0"/>
        <w:tabs>
          <w:tab w:leader="none" w:pos="37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16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Reductions were driven primarily by the inclusion of net sales in the prior year period related to divestitures that have closed during 2023 and 2024.</w:t>
      </w:r>
    </w:p>
    <w:p>
      <w:pPr>
        <w:spacing w:after="0" w:line="4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proportionate net sales relating to divestitures that have closed during 2023 and 2024 in the relevant period.</w:t>
      </w:r>
    </w:p>
    <w:p>
      <w:pPr>
        <w:spacing w:after="0" w:line="58" w:lineRule="exact"/>
        <w:rPr>
          <w:rFonts w:ascii="Arial" w:cs="Arial" w:eastAsia="Arial" w:hAnsi="Arial"/>
          <w:sz w:val="21"/>
          <w:szCs w:val="21"/>
          <w:color w:val="auto"/>
          <w:vertAlign w:val="superscript"/>
        </w:rPr>
      </w:pPr>
    </w:p>
    <w:p>
      <w:pPr>
        <w:ind w:left="260" w:hanging="252"/>
        <w:spacing w:after="0" w:line="197" w:lineRule="auto"/>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proportionate net sales relating to divestitures that have closed during 2023 and 2024 for the relevant period.</w:t>
      </w:r>
    </w:p>
    <w:p>
      <w:pPr>
        <w:spacing w:after="0" w:line="44" w:lineRule="exact"/>
        <w:rPr>
          <w:rFonts w:ascii="Arial" w:cs="Arial" w:eastAsia="Arial" w:hAnsi="Arial"/>
          <w:sz w:val="21"/>
          <w:szCs w:val="21"/>
          <w:color w:val="auto"/>
          <w:vertAlign w:val="superscript"/>
        </w:rPr>
      </w:pPr>
    </w:p>
    <w:p>
      <w:pPr>
        <w:ind w:left="260" w:hanging="252"/>
        <w:spacing w:after="0" w:line="197" w:lineRule="auto"/>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44" w:lineRule="exact"/>
        <w:rPr>
          <w:rFonts w:ascii="Arial" w:cs="Arial" w:eastAsia="Arial" w:hAnsi="Arial"/>
          <w:sz w:val="21"/>
          <w:szCs w:val="21"/>
          <w:color w:val="auto"/>
          <w:vertAlign w:val="superscript"/>
        </w:rPr>
      </w:pPr>
    </w:p>
    <w:p>
      <w:pPr>
        <w:jc w:val="both"/>
        <w:ind w:left="340" w:hanging="332"/>
        <w:spacing w:after="0"/>
        <w:tabs>
          <w:tab w:leader="none" w:pos="437"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December 31, 2024, other revenues in Developed Markets, Greater China, JANZ, and Emerging Markets were approximately $9.4 million, $0.5 million, $1.8 million, and $1.0 million, respectively. For the year ended December 31, 2024, other revenues in Developed Markets, Greater China, JANZ, and Emerging Markets were approximately $32.0 million, $1.3 million, $3.5 million, and $9.7 million, respectively.</w:t>
      </w:r>
    </w:p>
    <w:p>
      <w:pPr>
        <w:spacing w:after="0" w:line="184" w:lineRule="exact"/>
        <w:rPr>
          <w:rFonts w:ascii="Arial" w:cs="Arial" w:eastAsia="Arial" w:hAnsi="Arial"/>
          <w:sz w:val="21"/>
          <w:szCs w:val="21"/>
          <w:color w:val="auto"/>
          <w:vertAlign w:val="superscript"/>
        </w:rPr>
      </w:pPr>
    </w:p>
    <w:p>
      <w:pPr>
        <w:ind w:left="260" w:hanging="252"/>
        <w:spacing w:after="0"/>
        <w:tabs>
          <w:tab w:leader="none" w:pos="26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2,313.1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2,240.8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9,115.7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8,988.3</w:t>
            </w:r>
          </w:p>
        </w:tc>
      </w:tr>
      <w:tr>
        <w:trPr>
          <w:trHeight w:val="199"/>
        </w:trPr>
        <w:tc>
          <w:tcPr>
            <w:tcW w:w="566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(673.5)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(2,581.1)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(2,421.6)</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(40.7)</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(101.8)</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(2.9)</w:t>
            </w:r>
          </w:p>
        </w:tc>
      </w:tr>
      <w:tr>
        <w:trPr>
          <w:trHeight w:val="203"/>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(143.0)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(119.2)</w:t>
            </w:r>
          </w:p>
        </w:tc>
      </w:tr>
      <w:tr>
        <w:trPr>
          <w:trHeight w:val="200"/>
        </w:trPr>
        <w:tc>
          <w:tcPr>
            <w:tcW w:w="566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1,541.2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1,629.0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6,200.7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6,302.1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1,986.9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2,208.3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8,538.6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9,124.8</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19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206.5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202.8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808.7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805.2</w:t>
            </w:r>
          </w:p>
        </w:tc>
      </w:tr>
      <w:tr>
        <w:trPr>
          <w:trHeight w:val="198"/>
        </w:trPr>
        <w:tc>
          <w:tcPr>
            <w:tcW w:w="5680" w:type="dxa"/>
            <w:vAlign w:val="bottom"/>
          </w:tcPr>
          <w:p>
            <w:pPr>
              <w:ind w:left="20"/>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w:t>
            </w:r>
          </w:p>
        </w:tc>
      </w:tr>
      <w:tr>
        <w:trPr>
          <w:trHeight w:val="198"/>
        </w:trPr>
        <w:tc>
          <w:tcPr>
            <w:tcW w:w="56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(0.3)</w:t>
            </w:r>
          </w:p>
        </w:tc>
      </w:tr>
      <w:tr>
        <w:trPr>
          <w:trHeight w:val="207"/>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r>
      <w:tr>
        <w:trPr>
          <w:trHeight w:val="203"/>
        </w:trPr>
        <w:tc>
          <w:tcPr>
            <w:tcW w:w="5680" w:type="dxa"/>
            <w:vAlign w:val="bottom"/>
          </w:tcPr>
          <w:p>
            <w:pPr>
              <w:ind w:left="220"/>
              <w:spacing w:after="0" w:line="202" w:lineRule="exact"/>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tc>
        <w:tc>
          <w:tcPr>
            <w:tcW w:w="26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(32.3)</w:t>
            </w:r>
          </w:p>
        </w:tc>
      </w:tr>
      <w:tr>
        <w:trPr>
          <w:trHeight w:val="198"/>
        </w:trPr>
        <w:tc>
          <w:tcPr>
            <w:tcW w:w="5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r>
      <w:tr>
        <w:trPr>
          <w:trHeight w:val="200"/>
        </w:trPr>
        <w:tc>
          <w:tcPr>
            <w:tcW w:w="5680" w:type="dxa"/>
            <w:vAlign w:val="bottom"/>
          </w:tcPr>
          <w:p>
            <w:pPr>
              <w:ind w:left="20"/>
              <w:spacing w:after="0"/>
              <w:rPr>
                <w:sz w:val="20"/>
                <w:szCs w:val="20"/>
                <w:color w:val="auto"/>
              </w:rPr>
            </w:pPr>
            <w:r>
              <w:rPr>
                <w:rFonts w:ascii="Arial" w:cs="Arial" w:eastAsia="Arial" w:hAnsi="Arial"/>
                <w:sz w:val="14"/>
                <w:szCs w:val="14"/>
                <w:color w:val="auto"/>
              </w:rPr>
              <w:t>Adjusted R&amp;D</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193.0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781.1</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752.5</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5680" w:type="dxa"/>
            <w:vAlign w:val="bottom"/>
          </w:tcPr>
          <w:p>
            <w:pPr>
              <w:ind w:left="20"/>
              <w:spacing w:after="0"/>
              <w:rPr>
                <w:sz w:val="20"/>
                <w:szCs w:val="20"/>
                <w:color w:val="auto"/>
              </w:rPr>
            </w:pPr>
            <w:r>
              <w:rPr>
                <w:rFonts w:ascii="Arial" w:cs="Arial" w:eastAsia="Arial" w:hAnsi="Arial"/>
                <w:sz w:val="14"/>
                <w:szCs w:val="14"/>
                <w:color w:val="auto"/>
              </w:rPr>
              <w:t>Adjusted R&amp;D as % of total revenues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r>
      <w:tr>
        <w:trPr>
          <w:trHeight w:val="203"/>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1,046.7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1,605.8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4,425.6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4,650.1</w:t>
            </w:r>
          </w:p>
        </w:tc>
      </w:tr>
      <w:tr>
        <w:trPr>
          <w:trHeight w:val="198"/>
        </w:trPr>
        <w:tc>
          <w:tcPr>
            <w:tcW w:w="566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(325.2)</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(23.1)</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(172.5)</w:t>
            </w:r>
          </w:p>
        </w:tc>
      </w:tr>
      <w:tr>
        <w:trPr>
          <w:trHeight w:val="198"/>
        </w:trPr>
        <w:tc>
          <w:tcPr>
            <w:tcW w:w="5660" w:type="dxa"/>
            <w:vAlign w:val="bottom"/>
          </w:tcPr>
          <w:p>
            <w:pPr>
              <w:ind w:left="220"/>
              <w:spacing w:after="0"/>
              <w:rPr>
                <w:sz w:val="20"/>
                <w:szCs w:val="20"/>
                <w:color w:val="auto"/>
              </w:rPr>
            </w:pPr>
            <w:r>
              <w:rPr>
                <w:rFonts w:ascii="Arial" w:cs="Arial" w:eastAsia="Arial" w:hAnsi="Arial"/>
                <w:sz w:val="14"/>
                <w:szCs w:val="14"/>
                <w:color w:val="auto"/>
              </w:rPr>
              <w:t>Impairment of goodwill</w:t>
            </w:r>
          </w:p>
        </w:tc>
        <w:tc>
          <w:tcPr>
            <w:tcW w:w="2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(580.1)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(321.0)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(580.1)</w:t>
            </w:r>
          </w:p>
        </w:tc>
      </w:tr>
      <w:tr>
        <w:trPr>
          <w:trHeight w:val="207"/>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(90.4)</w:t>
            </w:r>
          </w:p>
        </w:tc>
      </w:tr>
      <w:tr>
        <w:trPr>
          <w:trHeight w:val="198"/>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117.5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83.5</w:t>
            </w:r>
          </w:p>
        </w:tc>
      </w:tr>
      <w:tr>
        <w:trPr>
          <w:trHeight w:val="22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886.3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934.4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3,504.3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3,542.3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320" w:top="890" w:right="419" w:bottom="1440" w:gutter="0" w:footer="0" w:header="0"/>
        </w:sectPr>
      </w:pPr>
    </w:p>
    <w:bookmarkStart w:id="22" w:name="page23"/>
    <w:bookmarkEnd w:id="22"/>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1,394.8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5,613.5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5,672.4</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(52.7)</w:t>
            </w:r>
          </w:p>
        </w:tc>
      </w:tr>
      <w:tr>
        <w:trPr>
          <w:trHeight w:val="203"/>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(1,107.8)</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1,116.3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4,313.7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4,400.3</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2"/>
        </w:trPr>
        <w:tc>
          <w:tcPr>
            <w:tcW w:w="59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(c)</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870.6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4,224.9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4,724.5</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573.1</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54.4</w:t>
            </w:r>
          </w:p>
        </w:tc>
      </w:tr>
      <w:tr>
        <w:trPr>
          <w:trHeight w:val="203"/>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color w:val="auto"/>
              </w:rPr>
              <w:t>Adjusted interest expense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615.5</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r>
      <w:tr>
        <w:trPr>
          <w:trHeight w:val="197"/>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expense (income), net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divestitures of businesses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r>
      <w:tr>
        <w:trPr>
          <w:trHeight w:val="198"/>
        </w:trPr>
        <w:tc>
          <w:tcPr>
            <w:tcW w:w="5980" w:type="dxa"/>
            <w:vAlign w:val="bottom"/>
          </w:tcPr>
          <w:p>
            <w:pPr>
              <w:ind w:left="220"/>
              <w:spacing w:after="0"/>
              <w:rPr>
                <w:sz w:val="20"/>
                <w:szCs w:val="20"/>
                <w:color w:val="auto"/>
              </w:rPr>
            </w:pPr>
            <w:r>
              <w:rPr>
                <w:rFonts w:ascii="Arial" w:cs="Arial" w:eastAsia="Arial" w:hAnsi="Arial"/>
                <w:sz w:val="14"/>
                <w:szCs w:val="14"/>
                <w:color w:val="auto"/>
              </w:rPr>
              <w:t>Fair value adjustments on non-marketable equity investments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207.8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43.4</w:t>
            </w:r>
          </w:p>
        </w:tc>
      </w:tr>
      <w:tr>
        <w:trPr>
          <w:trHeight w:val="207"/>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122.7</w:t>
            </w:r>
          </w:p>
        </w:tc>
      </w:tr>
      <w:tr>
        <w:trPr>
          <w:trHeight w:val="198"/>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items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r>
      <w:tr>
        <w:trPr>
          <w:trHeight w:val="22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income,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15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earnings before income taxes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9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1,307.0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1,743.8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4,423.7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4,008.6</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780.5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888.8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3,800.5</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4,211.5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 provision</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9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597.1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124.9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608.1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673.8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660" w:hanging="328"/>
        <w:spacing w:after="0"/>
        <w:tabs>
          <w:tab w:leader="none" w:pos="653"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80"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18"/>
        </w:numPr>
        <w:rPr>
          <w:rFonts w:ascii="Arial" w:cs="Arial" w:eastAsia="Arial" w:hAnsi="Arial"/>
          <w:sz w:val="9"/>
          <w:szCs w:val="9"/>
          <w:color w:val="auto"/>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122" w:lineRule="exact"/>
        <w:rPr>
          <w:rFonts w:ascii="Arial" w:cs="Arial" w:eastAsia="Arial" w:hAnsi="Arial"/>
          <w:sz w:val="9"/>
          <w:szCs w:val="9"/>
          <w:color w:val="auto"/>
        </w:rPr>
      </w:pPr>
    </w:p>
    <w:p>
      <w:pPr>
        <w:ind w:left="660" w:right="20" w:hanging="328"/>
        <w:spacing w:after="0" w:line="231" w:lineRule="auto"/>
        <w:tabs>
          <w:tab w:leader="none" w:pos="64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940" w:right="339" w:bottom="1440" w:gutter="0" w:footer="0" w:header="0"/>
        </w:sectPr>
      </w:pPr>
    </w:p>
    <w:bookmarkStart w:id="23" w:name="page24"/>
    <w:bookmarkEnd w:id="23"/>
    <w:p>
      <w:pPr>
        <w:jc w:val="center"/>
        <w:ind w:right="140"/>
        <w:spacing w:after="0" w:line="287" w:lineRule="auto"/>
        <w:rPr>
          <w:sz w:val="20"/>
          <w:szCs w:val="20"/>
          <w:color w:val="auto"/>
        </w:rPr>
      </w:pPr>
      <w:r>
        <w:rPr>
          <w:rFonts w:ascii="Arial" w:cs="Arial" w:eastAsia="Arial" w:hAnsi="Arial"/>
          <w:sz w:val="18"/>
          <w:szCs w:val="18"/>
          <w:b w:val="1"/>
          <w:bCs w:val="1"/>
          <w:color w:val="auto"/>
        </w:rPr>
        <w:t xml:space="preserve">Reconciliation of Estimated 2025 U.S. GAAP Net Cash Provided by Operating Activities to Free Cash Flow as of February 27, 2025 </w:t>
      </w:r>
      <w:r>
        <w:rPr>
          <w:rFonts w:ascii="Arial" w:cs="Arial" w:eastAsia="Arial" w:hAnsi="Arial"/>
          <w:sz w:val="18"/>
          <w:szCs w:val="18"/>
          <w:color w:val="auto"/>
        </w:rPr>
        <w:t>(Unaudited)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2025 U.S. GAAP Net Cash provided by Operating Activities to Free Cash Flow is presented below:</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40" w:type="dxa"/>
            <w:vAlign w:val="bottom"/>
          </w:tcPr>
          <w:p>
            <w:pPr>
              <w:spacing w:after="0"/>
              <w:rPr>
                <w:sz w:val="18"/>
                <w:szCs w:val="18"/>
                <w:color w:val="auto"/>
              </w:rPr>
            </w:pPr>
          </w:p>
        </w:tc>
        <w:tc>
          <w:tcPr>
            <w:tcW w:w="868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Estimated U.S. GAAP Net Cash provided by Operating Activities</w:t>
            </w:r>
            <w:r>
              <w:rPr>
                <w:rFonts w:ascii="Arial" w:cs="Arial" w:eastAsia="Arial" w:hAnsi="Arial"/>
                <w:sz w:val="21"/>
                <w:szCs w:val="21"/>
                <w:color w:val="auto"/>
                <w:vertAlign w:val="superscript"/>
              </w:rPr>
              <w:t>(a)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$2,500</w:t>
            </w:r>
          </w:p>
        </w:tc>
      </w:tr>
      <w:tr>
        <w:trPr>
          <w:trHeight w:val="216"/>
        </w:trPr>
        <w:tc>
          <w:tcPr>
            <w:tcW w:w="4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Less: Capital Expenditures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($400)</w:t>
            </w:r>
          </w:p>
        </w:tc>
      </w:tr>
      <w:tr>
        <w:trPr>
          <w:trHeight w:val="197"/>
        </w:trPr>
        <w:tc>
          <w:tcPr>
            <w:tcW w:w="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Free Cash Flow</w:t>
            </w:r>
            <w:r>
              <w:rPr>
                <w:rFonts w:ascii="Arial" w:cs="Arial" w:eastAsia="Arial" w:hAnsi="Arial"/>
                <w:sz w:val="21"/>
                <w:szCs w:val="21"/>
                <w:color w:val="auto"/>
                <w:vertAlign w:val="superscript"/>
              </w:rPr>
              <w:t>(a)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$2,200</w:t>
            </w:r>
          </w:p>
        </w:tc>
      </w:tr>
      <w:tr>
        <w:trPr>
          <w:trHeight w:val="311"/>
        </w:trPr>
        <w:tc>
          <w:tcPr>
            <w:tcW w:w="8720" w:type="dxa"/>
            <w:vAlign w:val="bottom"/>
            <w:gridSpan w:val="2"/>
          </w:tcPr>
          <w:p>
            <w:pPr>
              <w:jc w:val="right"/>
              <w:ind w:right="7641"/>
              <w:spacing w:after="0"/>
              <w:rPr>
                <w:sz w:val="20"/>
                <w:szCs w:val="20"/>
                <w:color w:val="auto"/>
              </w:rPr>
            </w:pPr>
            <w:r>
              <w:rPr>
                <w:rFonts w:ascii="Times New Roman" w:cs="Times New Roman" w:eastAsia="Times New Roman" w:hAnsi="Times New Roman"/>
                <w:sz w:val="18"/>
                <w:szCs w:val="18"/>
                <w:color w:val="auto"/>
                <w:w w:val="98"/>
              </w:rPr>
              <w:t>___________</w:t>
            </w: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Excludes the impact of any divestiture-related taxes and transaction costs.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20" w:type="dxa"/>
            <w:vAlign w:val="bottom"/>
          </w:tcPr>
          <w:p>
            <w:pPr>
              <w:spacing w:after="0"/>
              <w:rPr>
                <w:sz w:val="21"/>
                <w:szCs w:val="21"/>
                <w:color w:val="auto"/>
              </w:rPr>
            </w:pPr>
          </w:p>
        </w:tc>
        <w:tc>
          <w:tcPr>
            <w:tcW w:w="4900" w:type="dxa"/>
            <w:vAlign w:val="bottom"/>
            <w:gridSpan w:val="2"/>
          </w:tcPr>
          <w:p>
            <w:pPr>
              <w:ind w:left="600"/>
              <w:spacing w:after="0"/>
              <w:rPr>
                <w:sz w:val="20"/>
                <w:szCs w:val="20"/>
                <w:color w:val="auto"/>
              </w:rPr>
            </w:pPr>
            <w:r>
              <w:rPr>
                <w:rFonts w:ascii="Arial" w:cs="Arial" w:eastAsia="Arial" w:hAnsi="Arial"/>
                <w:sz w:val="18"/>
                <w:szCs w:val="18"/>
                <w:b w:val="1"/>
                <w:bCs w:val="1"/>
                <w:color w:val="auto"/>
              </w:rPr>
              <w:t>Gross Leverage Ratio</w:t>
            </w:r>
          </w:p>
        </w:tc>
        <w:tc>
          <w:tcPr>
            <w:tcW w:w="1820" w:type="dxa"/>
            <w:vAlign w:val="bottom"/>
          </w:tcPr>
          <w:p>
            <w:pPr>
              <w:spacing w:after="0"/>
              <w:rPr>
                <w:sz w:val="21"/>
                <w:szCs w:val="21"/>
                <w:color w:val="auto"/>
              </w:rPr>
            </w:pPr>
          </w:p>
        </w:tc>
      </w:tr>
      <w:tr>
        <w:trPr>
          <w:trHeight w:val="649"/>
        </w:trPr>
        <w:tc>
          <w:tcPr>
            <w:tcW w:w="4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Twelve Months Ended December</w:t>
            </w:r>
          </w:p>
        </w:tc>
      </w:tr>
      <w:tr>
        <w:trPr>
          <w:trHeight w:val="189"/>
        </w:trPr>
        <w:tc>
          <w:tcPr>
            <w:tcW w:w="4420" w:type="dxa"/>
            <w:vAlign w:val="bottom"/>
            <w:tcBorders>
              <w:bottom w:val="single" w:sz="8" w:color="CCEEFF"/>
            </w:tcBorders>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b w:val="1"/>
                <w:bCs w:val="1"/>
                <w:color w:val="auto"/>
              </w:rPr>
              <w:t>31, 2024</w:t>
            </w: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Viatris adjusted EBITDA</w:t>
            </w:r>
          </w:p>
        </w:tc>
        <w:tc>
          <w:tcPr>
            <w:tcW w:w="442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4,669.4</w:t>
            </w:r>
          </w:p>
        </w:tc>
      </w:tr>
      <w:tr>
        <w:trPr>
          <w:trHeight w:val="270"/>
        </w:trPr>
        <w:tc>
          <w:tcPr>
            <w:tcW w:w="44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debt balances:</w:t>
            </w:r>
          </w:p>
        </w:tc>
        <w:tc>
          <w:tcPr>
            <w:tcW w:w="4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5"/>
        </w:trPr>
        <w:tc>
          <w:tcPr>
            <w:tcW w:w="4420" w:type="dxa"/>
            <w:vAlign w:val="bottom"/>
          </w:tcPr>
          <w:p>
            <w:pPr>
              <w:ind w:left="140"/>
              <w:spacing w:after="0"/>
              <w:rPr>
                <w:sz w:val="20"/>
                <w:szCs w:val="20"/>
                <w:color w:val="auto"/>
              </w:rPr>
            </w:pPr>
            <w:r>
              <w:rPr>
                <w:rFonts w:ascii="Arial" w:cs="Arial" w:eastAsia="Arial" w:hAnsi="Arial"/>
                <w:sz w:val="16"/>
                <w:szCs w:val="16"/>
                <w:color w:val="auto"/>
              </w:rPr>
              <w:t>Long-term debt, including current portion</w:t>
            </w:r>
          </w:p>
        </w:tc>
        <w:tc>
          <w:tcPr>
            <w:tcW w:w="4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14,039.5</w:t>
            </w:r>
          </w:p>
        </w:tc>
      </w:tr>
      <w:tr>
        <w:trPr>
          <w:trHeight w:val="217"/>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borrowings and other current obligations</w:t>
            </w:r>
          </w:p>
        </w:tc>
        <w:tc>
          <w:tcPr>
            <w:tcW w:w="44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Total</w:t>
            </w:r>
          </w:p>
        </w:tc>
        <w:tc>
          <w:tcPr>
            <w:tcW w:w="4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jc w:val="right"/>
              <w:ind w:right="80"/>
              <w:spacing w:after="0"/>
              <w:rPr>
                <w:sz w:val="20"/>
                <w:szCs w:val="20"/>
                <w:color w:val="auto"/>
              </w:rPr>
            </w:pPr>
            <w:r>
              <w:rPr>
                <w:rFonts w:ascii="Arial" w:cs="Arial" w:eastAsia="Arial" w:hAnsi="Arial"/>
                <w:sz w:val="16"/>
                <w:szCs w:val="16"/>
                <w:color w:val="auto"/>
              </w:rPr>
              <w:t>14,039.5</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w:t>
            </w:r>
          </w:p>
        </w:tc>
        <w:tc>
          <w:tcPr>
            <w:tcW w:w="4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5"/>
        </w:trPr>
        <w:tc>
          <w:tcPr>
            <w:tcW w:w="4420" w:type="dxa"/>
            <w:vAlign w:val="bottom"/>
          </w:tcPr>
          <w:p>
            <w:pPr>
              <w:ind w:left="140"/>
              <w:spacing w:after="0"/>
              <w:rPr>
                <w:sz w:val="20"/>
                <w:szCs w:val="20"/>
                <w:color w:val="auto"/>
              </w:rPr>
            </w:pPr>
            <w:r>
              <w:rPr>
                <w:rFonts w:ascii="Arial" w:cs="Arial" w:eastAsia="Arial" w:hAnsi="Arial"/>
                <w:sz w:val="16"/>
                <w:szCs w:val="16"/>
                <w:color w:val="auto"/>
              </w:rPr>
              <w:t>Net premiums on various debt issuances</w:t>
            </w:r>
          </w:p>
        </w:tc>
        <w:tc>
          <w:tcPr>
            <w:tcW w:w="4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jc w:val="right"/>
              <w:ind w:right="40"/>
              <w:spacing w:after="0"/>
              <w:rPr>
                <w:sz w:val="20"/>
                <w:szCs w:val="20"/>
                <w:color w:val="auto"/>
              </w:rPr>
            </w:pPr>
            <w:r>
              <w:rPr>
                <w:rFonts w:ascii="Arial" w:cs="Arial" w:eastAsia="Arial" w:hAnsi="Arial"/>
                <w:sz w:val="16"/>
                <w:szCs w:val="16"/>
                <w:color w:val="auto"/>
              </w:rPr>
              <w:t>(480.9)</w:t>
            </w:r>
          </w:p>
        </w:tc>
      </w:tr>
      <w:tr>
        <w:trPr>
          <w:trHeight w:val="217"/>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financing fees</w:t>
            </w:r>
          </w:p>
        </w:tc>
        <w:tc>
          <w:tcPr>
            <w:tcW w:w="44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24.3</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Total debt at notional amounts</w:t>
            </w:r>
          </w:p>
        </w:tc>
        <w:tc>
          <w:tcPr>
            <w:tcW w:w="4420" w:type="dxa"/>
            <w:vAlign w:val="bottom"/>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13,582.9</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Gross debt to adjusted EBITDA</w:t>
            </w:r>
          </w:p>
        </w:tc>
        <w:tc>
          <w:tcPr>
            <w:tcW w:w="4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2.9 x</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Gross Leverage Target</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stated forward-looking non-GAAP financial measure of long-term gross leverage target of ~3.0x, with a range of 2.8x – 3.2x, is based on the ratio of (i) targeted notional gross debt and (ii) targeted Adjusted EBITDA. However, the Company has not quantified future amounts to develop this target but has stated its goal to manage notional gross debt and adjusted EBITDA over time in order to generally maintain or reach the target. This target does not reflect Company guidance.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sectPr>
      <w:pgSz w:w="11900" w:h="16838" w:orient="portrait"/>
      <w:cols w:equalWidth="0" w:num="1">
        <w:col w:w="11220"/>
      </w:cols>
      <w:pgMar w:left="320" w:top="110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0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2025-02-27T06:55:24Z</dcterms:created>
  <dcterms:modified xsi:type="dcterms:W3CDTF">2025-02-27T06:55:24Z</dcterms:modified>
</cp:coreProperties>
</file>