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Goettler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Upjohn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235 East 42nd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Upjohn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25,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333-234337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Goettler: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Transactions,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add a question and answer to explain the significance of the parties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structuring the transaction as a reverse merger with NewCo domiciled in Delaware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opposed to the Netherlands where Mylan has been domiciled since 2015. In particular,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the role that corporate governance and taxation played in this decision.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Mylan's July 29, 2019 investor call and Mr. Coury's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highlighting the role that "governance" and building the company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"without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019" w:firstLine="115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interference" played in the decision to leave the United States in 2015 and his current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readiness to "turn this company back over to shareholders."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Accordingly,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should explain the governance concerns that led Mylan to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 the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Goettler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Goettler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Upjohn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21, 2019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NameUpjohn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2019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2015 inversion and the reasons why Mylan is now ready to change its approach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governance and seeking shareholder approval to come back to the United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combined company's historical financial statements will be those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Mylan N.V. Accordingly, please revise to discuss the tax implications of domiciling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combined company in the United States as opposed to the Netherlands and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whether taxation factored into this decision.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 please revise other sections of the document including, without limitation, the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"Background of the Combination" section and "Mylan Board's Reasons for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Combination," to discuss the negotiations and decision to domicile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in the United States.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Q. What will happen in the Distribution?, page 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explain briefly the reason(s) why Pfizer may opt to effect the Distribution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way of a split-off. Indicate whether there is a material impact to the post-combination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or to Mylan shareholders if Pfizer opts for the split-off. If there are no impact,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1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clarify this point. Q. What will happen in the Combination?, page 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second paragraph to clarify, if true, that you are describing the "Alternative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Transaction" structure. Explain, if true, that Mylan holders could receive fewer shares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Combination if this structure were adopted. With reference to the 15% rate referenced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138, revise to quantify the potential impact to the 43% Mylan shareholder stake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referenced throughout the joint proxy statement/prospectus. Also, explain whether there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be a material impact to the post-combination business if the Alternative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structure were utilized. Exclusive Forum, page 76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forum selection provision identifies the Court of Chancery of the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Delaware as the sole and exclusive forum for certain litigation, including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"derivative action." Please disclose whether this provision applies to actions arising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 or Exchange Act. In that regard, we note that Section 27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creates exclusive federal jurisdiction over all suits brought to enforce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duty or liability created by the Exchange Act or the rules and regulations thereunder,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22 of the Securities Act creates concurrent jurisdiction for federal and state courts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 all suits brought to enforce any duty or liability created by the Securities Act 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rules and regulations thereunder. If the provision applies to Securities Act claims,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revise your prospectus to state that there is uncertainty as to whether a court would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enforce such provision and that investors cannot waive compliance with the federal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317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laws and the rules and regulations thereunder. Michael Goettler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3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Upjohn Inc. November 21, 2019 Page 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Combination, page 90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Background section to provide disclosure concerning material issues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discussed and key terms negotiated during the May 2 to June 13 timeframe. In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regard, we note that the disclosures concerning the first six weeks of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discussions/negotiations do not address any material transaction terms beyond that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 were considering a Reverse Morris Trust transaction.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to the comment above, please revise the disclosure concerning the initial May 2,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meeting between Messrs. Boula and Coury regarding a potential combination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transaction. In this regard, we note that the disclosure is limited to a single sentence.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Similarly, please revise to explain the contents of the "informational materials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Upjohn Business and a potential combination of Mylan and the Upjohn Business"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Pfizer provided to Mylan on May 7, 2019.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Background section so that it is clear where each party stood with respect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material transaction terms during the course of the three-month negotiations.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instance, when discussing meetings between the parties or their advisers, identify the party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proposed a material transaction term and indicate whether the other party agreed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proffered a counter proposal.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Background section discusses the meetings and deliberations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Mylan Board and Mylan's Strategic Review Committee from May 2 through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26;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the disclosure does not similarly discuss any meetings or deliberations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conducted by Pfizer's Board or its executives. Please revise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the mid-July 2019 entries, please discuss the magnitude of the pre-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 liabilities of the UpJohn Business at issue and the reason(s) why the parties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changed course on whether the combined company would assume these liabilities.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the July 12, 2019 entry, we note disclosure referencing the "treatment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potential Mylan liabilities." Please revise to clarify what liabilities were at issue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how the parties negotiated the treatment of these liabilities.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July 24-26 and July 26-28 entries to identify the unresolved transaction terms.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Mylan's July 29, 2019 investor call, please discuss the decision and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negotiations concerning establishment of NewCo's dividend policy. Your discussion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should also cover any negotiations concerning the initial size of the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dividend.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2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Opinions of Mylan's FinancialGoettler page 101 FirstName LastNameMichael Advisors,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NameUpjohn with all materials, including any board books provided by Centerview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2019 Page 3the Mylan board.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PJT Partners to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8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Goettler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Goettler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Upjohn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21, 2019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NameUpjohn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2019 Page 4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Agreement, page 142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here and elsewhere as applicable to discuss Section 8.26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agreement and clarify material risks to the NewCo entity, particularly in light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Proceedings disclosure from Mylan's Form 10-Q for the period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2019. In this regard, the Section 8.26 provision would appear to magnify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impact of any future legal Losses by requiring NewCo to pay an additional cash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to Pfizer equal to 57% of the Loss resulting from the third-party action. Also,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re-file Annex A to include Section 8.26 of Mylan's Disclosure Schedule or explain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9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why this information is not material to investors. Post-Combination Governance and Management, page 164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Mylan's June 21, 2019 Form 8-K filing concerning the Mylan Board's on-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going consideration of the views and perspectives expressed by shareholders to extend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scope of the company's clawback policy. Please revise the joint proxy/prospectus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whether Newco has a clawback policy and, if applicable, discuss the key features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policy and any differences with Mylan's existing policy. Given the determination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Mylan is the accounting acquirer and that the historical financial statements of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 will be those of Mylan, please revise here and elsewhere,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applicable, to discuss whether consummation of the Combination Transaction would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prevent the ability to clawback compensation from Mylan executives in the future.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Purchase Agreement, page 182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Meridian Medical Technologies, including its business focus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size, and also clarify the status of negotiations concerning the potential consideration to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paid. In this regard, please clarify your disclosure that "(t)he terms of the Specified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Agreement (if executed) would reflect substantially similar terms as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Agreement and the Separation and Distribution Agreement, but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taking into account differences between the Upjohn Business and the Meridian Medical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Technologies business."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256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the following regarding your presentation of the $12 billion distribution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to Pfizer and the reimbursement feature for certain Mylan liabilities as described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Section 8.26 of Business Combination Agreement: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narrative introduction section to the Pro Formas as well as the relevant Pro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footnotes to clearly disclose that you are excluding the $12 billion distribution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to Pfizer from your computation of the merger consideration, and explain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reader the reasons for such treatment here. Clearly identify for the reader how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160" w:right="1919" w:firstLine="21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$12 billion is being reflected in the Pro Forma adjustments. Revise the narrative introduction as well as the relevant Pro Forma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footnotes to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terms and impact of the reimbursement feature in Section 8.26 to confirm,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Goettler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Goettler Upjohn Inc.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21, 2019 November NameUpjohn Inc. Page 5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2019 Page 5 FirstName LastName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true, that this feature is not reflected in the historical financial statements or the Pro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adjustments. Identify the nature of the liabilities covered by this section.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you determined that such adjustments would be prohibited by Regulation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S-X, disclose that fact.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07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Similarly, revise your Calculation of the Combination Consideration on page 89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Accounting Treatment section on page 125 to disclose both the treatment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$12 billion cash distribution as well as the reimbursement provisions of Section 8.26.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identify how each of these provisions affects the purchase price and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ratio, and identify the nature of the liabilities covered by this section.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Newco Unaudited Pro Forma Condensed Combined Balance Sheet as of June 30, 2019, page 258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160" w:right="2019" w:hanging="1152"/>
        <w:spacing w:after="0" w:line="268" w:lineRule="auto"/>
        <w:tabs>
          <w:tab w:leader="none" w:pos="949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address the following regarding your pro forma presentation: Provide us a complete analysis of your accounting treatment of the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Reverse Morris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 transaction including the determination of the accounting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acquirer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exchanged. Refer us to the technical guidance upon which you relied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your consideration of ASC 805-10-55-11 through 55-15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805-40-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45.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115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Demonstrate your restatement of the equity structure of Mylan using the exchange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4" w:name="page5"/>
    <w:bookmarkEnd w:id="4"/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ratio established in the merger agreement.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your calculation of the weighted-average number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as multiplied by the exchange ratio in the merger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115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discussed on page 3, at Pfizer's option, shares of Newco stock will be distributed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its shareholders by way of either a spin-off or a split-off.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307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a spin-off structure is expected. Revise the introduction section on page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256 as well as your Accounting Treatment section on page 125 to explain the planned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treatment for a hypothetical split-off, and revise page 256 to disclose its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impact on your pro forma presentation.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Similarly, you disclose on page 3 that if the Mylan Merger is not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the identified parameters, the combination will occur through an alternative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structure. Revise the Accounting Treatment section and Pro Forma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introductory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narrative to explain how the accounting for that alternative structure would be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different from your current structure.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Condensed Combined Statements of Equity, page F-6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more clearly describe the business purpose of transactions included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caption, "net transfers to Pfizer", and provide a breakdown quantifying and describing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components of this caption for each period presented, including the impact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adoptions of new accounting guidance as referred to in Note (a).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reference to page 141, please file the bridge loan facility as an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8339" w:firstLine="105"/>
        <w:spacing w:after="0" w:line="237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Goettler Upjohn Inc. November 21, 2019 Page 6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 to your disclosure, you omitted schedules from exhibits 2.1 and 2.2. Please file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list briefly identifying the contents of all omitted schedules or similar supplements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Item 601(b)(2) of 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on pages 277-284 comparing of the existing rights of Mylan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against the prospective rights of NewCo stockholders. For each provision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highlighted in this section, please provide us an analysis explaining why Mylan is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presenting the applicable NewCo provision as a separate proposal to its shareholders.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and without limitation, we note that the reverse merger transaction would: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change voting thresholds necessary to amend governing documents; alter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board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structure; adopt a stockholder rights plan; indemnify directors and officers; and change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 where claims may be brought. For guidance, please refer to Rule 14a-4(a)(3)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and Disclosure Interpretations Regarding Unbundling under Rule 14a-4(a)(3)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M&amp;A Context (Updated October 27, 2015).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"Proposal 1: Approval of the Combination Proposal" contains five separate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resolutions. Please provide us an analysis explaining why Mylan does not present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fourth resolution concerning approval of the "Alternative Transaction Structure" as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separate voting matter. In this regard, the disclosure on page 138 and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suggests that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Mylan shareholders could receive materially less merger consideration in the form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NewCo stock in the event that the merger parties were to utilize this "Alternative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Structure" as opposed to the preferred "Mylan Newco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Liquidation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Distribution" structure.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Franklin Wyman at 202-551-3660 or Kevin W. Vaughn, Accounting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202-551-3494 if you have questions regarding comments on the financial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and related matters. Please contact Joseph McCann at 202-551-6262 or Celeste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Murphy, Legal Branch Chief, at 202-551-3257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LastNameMichael Goettler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NameUpjohn Inc.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November 21, 2019 Page 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14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16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18"/>
    </w:lvl>
  </w:abstractNum>
  <w:abstractNum w:abstractNumId="6">
    <w:nsid w:val="79E2A9E3"/>
    <w:multiLevelType w:val="hybridMultilevel"/>
    <w:lvl w:ilvl="0">
      <w:lvlJc w:val="left"/>
      <w:lvlText w:val="%1."/>
      <w:numFmt w:val="decimal"/>
      <w:start w:val="19"/>
    </w:lvl>
  </w:abstractNum>
  <w:abstractNum w:abstractNumId="7">
    <w:nsid w:val="7545E146"/>
    <w:multiLevelType w:val="hybridMultilevel"/>
    <w:lvl w:ilvl="0">
      <w:lvlJc w:val="left"/>
      <w:lvlText w:val="%1"/>
      <w:numFmt w:val="decimal"/>
      <w:start w:val="145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2021-08-12T23:07:29Z</dcterms:created>
  <dcterms:modified xsi:type="dcterms:W3CDTF">2021-08-12T23:07:29Z</dcterms:modified>
</cp:coreProperties>
</file>