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Mauro Anthony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1000 MYLAN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CANONSBURG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15317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Viatris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09/22/2021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85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921"/>
        <w:gridCol w:w="276"/>
        <w:gridCol w:w="906"/>
        <w:gridCol w:w="801"/>
        <w:gridCol w:w="891"/>
        <w:gridCol w:w="104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8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Dividend Equivalent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09/22/2021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724.9344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724.9344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1,372.3155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units ("DEUs") that accrued with respect to restricted stock units ("RSUs") previously granted on March 2, 2021 and vest on the same schedule as the underlying RSUs.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President, Developed Markets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Kevin Macikowski, by power of attorney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09/24/2021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34275" TargetMode="External"/><Relationship Id="rId4" Type="http://schemas.openxmlformats.org/officeDocument/2006/relationships/hyperlink" Target="http://www.sec.gov/cgi-bin/browse-edgar?action=getcompany&amp;CIK=000179204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558</Words>
  <CharactersWithSpaces>3553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