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Campbell Paul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 MYLAN BOULEVARD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CANONSBURG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15317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Viatris Inc</w:t>
              </w:r>
            </w:hyperlink>
            <w:r>
              <w:rPr/>
              <w:t xml:space="preserve"> [ </w:t>
            </w:r>
            <w:r>
              <w:rPr>
                <w:rFonts w:ascii="Times;serif" w:hAnsi="Times;serif"/>
                <w:color w:val="0000FF"/>
                <w:sz w:val="24"/>
                <w:shd w:fill="FFFFFF" w:val="clear"/>
              </w:rPr>
              <w:t>VTRS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06/25/2026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50,076</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16.1711</w:t>
            </w:r>
            <w:r>
              <w:rPr>
                <w:rFonts w:ascii="Times;serif" w:hAnsi="Times;serif"/>
                <w:color w:val="008000"/>
                <w:position w:val="7"/>
                <w:sz w:val="16"/>
                <w:sz w:val="20"/>
                <w:shd w:fill="FFFFFF" w:val="clear"/>
              </w:rPr>
              <w:t>(2)</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316,212</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 Plan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of common stock were sold pursuant to a written plan intended to satisfy the affirmative defense conditions of Rule 10b5-1(c) of the Securities Exchange Act of 1934, as amended, that was adopted by the reporting person on March 24,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price of the reporting person's disposition of 50,076 shares of common stock in transactions ranging from $15.979 to $16.31. The reporting person undertakes to provide to the issuer, any security holder of the issuer, or the staff of the Securities and Exchange Commission, upon request, full information regarding the number of shares of common stock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Interim Chief Financial Officer, Chief Accounting Officer and Corporate Controller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Macikowski,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57568" TargetMode="External"/><Relationship Id="rId5" Type="http://schemas.openxmlformats.org/officeDocument/2006/relationships/hyperlink" Target="http://www.sec.gov/cgi-bin/browse-edgar?action=getcompany&amp;CIK=000179204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693</Words>
  <Characters>3751</Characters>
  <CharactersWithSpaces>4378</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