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5939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5939155"/>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380"/>
          </w:cols>
          <w:pgMar w:left="460" w:top="213" w:right="359" w:bottom="413"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SIMMONS DAVID S</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08/27/2025</w:t>
      </w:r>
    </w:p>
    <w:p>
      <w:pPr>
        <w:spacing w:after="0" w:line="20" w:lineRule="exact"/>
        <w:rPr>
          <w:sz w:val="24"/>
          <w:szCs w:val="24"/>
          <w:color w:val="auto"/>
        </w:rPr>
      </w:pPr>
      <w:r>
        <w:rPr>
          <w:sz w:val="24"/>
          <w:szCs w:val="24"/>
          <w:color w:val="auto"/>
        </w:rPr>
        <w:br w:type="column"/>
      </w:r>
    </w:p>
    <w:p>
      <w:pPr>
        <w:ind w:left="-1" w:right="740" w:firstLine="1"/>
        <w:spacing w:after="0" w:line="281"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1"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3" w:lineRule="exact"/>
        <w:rPr>
          <w:sz w:val="24"/>
          <w:szCs w:val="24"/>
          <w:color w:val="auto"/>
        </w:rPr>
      </w:pPr>
    </w:p>
    <w:p>
      <w:pPr>
        <w:sectPr>
          <w:pgSz w:w="11900" w:h="16838" w:orient="portrait"/>
          <w:cols w:equalWidth="0" w:num="3">
            <w:col w:w="3180" w:space="720"/>
            <w:col w:w="3121" w:space="720"/>
            <w:col w:w="3339"/>
          </w:cols>
          <w:pgMar w:left="460" w:top="213" w:right="359" w:bottom="413"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7"/>
          </w:tcPr>
          <w:p>
            <w:pPr>
              <w:jc w:val="center"/>
              <w:ind w:right="96"/>
              <w:spacing w:after="0"/>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9"/>
          </w:tcPr>
          <w:p>
            <w:pPr>
              <w:ind w:left="4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20" w:type="dxa"/>
            <w:vAlign w:val="bottom"/>
            <w:gridSpan w:val="7"/>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5"/>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7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0" w:type="dxa"/>
            <w:vAlign w:val="bottom"/>
            <w:gridSpan w:val="3"/>
          </w:tcPr>
          <w:p>
            <w:pPr>
              <w:ind w:left="800"/>
              <w:spacing w:after="0" w:line="124"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10.423</w:t>
            </w:r>
            <w:r>
              <w:rPr>
                <w:rFonts w:ascii="Times New Roman" w:cs="Times New Roman" w:eastAsia="Times New Roman" w:hAnsi="Times New Roman"/>
                <w:sz w:val="20"/>
                <w:szCs w:val="20"/>
                <w:color w:val="008000"/>
                <w:w w:val="96"/>
                <w:vertAlign w:val="superscript"/>
              </w:rPr>
              <w:t>(2)</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17"/>
                <w:szCs w:val="17"/>
                <w:color w:val="auto"/>
              </w:rPr>
            </w:pPr>
          </w:p>
        </w:tc>
        <w:tc>
          <w:tcPr>
            <w:tcW w:w="1800" w:type="dxa"/>
            <w:vAlign w:val="bottom"/>
            <w:gridSpan w:val="3"/>
          </w:tcPr>
          <w:p>
            <w:pPr>
              <w:jc w:val="center"/>
              <w:ind w:left="672"/>
              <w:spacing w:after="0"/>
              <w:rPr>
                <w:sz w:val="20"/>
                <w:szCs w:val="20"/>
                <w:color w:val="auto"/>
              </w:rPr>
            </w:pPr>
            <w:r>
              <w:rPr>
                <w:rFonts w:ascii="Times New Roman" w:cs="Times New Roman" w:eastAsia="Times New Roman" w:hAnsi="Times New Roman"/>
                <w:sz w:val="16"/>
                <w:szCs w:val="16"/>
                <w:color w:val="0000FF"/>
              </w:rPr>
              <w:t>08/27/2025</w:t>
            </w: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ind w:left="60"/>
              <w:spacing w:after="0" w:line="198" w:lineRule="exact"/>
              <w:rPr>
                <w:sz w:val="20"/>
                <w:szCs w:val="20"/>
                <w:color w:val="auto"/>
              </w:rPr>
            </w:pPr>
            <w:r>
              <w:rPr>
                <w:rFonts w:ascii="Times New Roman" w:cs="Times New Roman" w:eastAsia="Times New Roman" w:hAnsi="Times New Roman"/>
                <w:sz w:val="22"/>
                <w:szCs w:val="22"/>
                <w:color w:val="0000FF"/>
                <w:vertAlign w:val="subscript"/>
              </w:rPr>
              <w:t>P</w:t>
            </w:r>
            <w:r>
              <w:rPr>
                <w:rFonts w:ascii="Times New Roman" w:cs="Times New Roman" w:eastAsia="Times New Roman" w:hAnsi="Times New Roman"/>
                <w:sz w:val="10"/>
                <w:szCs w:val="10"/>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286</w:t>
            </w:r>
          </w:p>
        </w:tc>
        <w:tc>
          <w:tcPr>
            <w:tcW w:w="56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970</w:t>
            </w:r>
          </w:p>
        </w:tc>
        <w:tc>
          <w:tcPr>
            <w:tcW w:w="28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Trusts</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10.4255</w:t>
            </w:r>
            <w:r>
              <w:rPr>
                <w:rFonts w:ascii="Times New Roman" w:cs="Times New Roman" w:eastAsia="Times New Roman" w:hAnsi="Times New Roman"/>
                <w:sz w:val="20"/>
                <w:szCs w:val="20"/>
                <w:color w:val="008000"/>
                <w:w w:val="96"/>
                <w:vertAlign w:val="superscript"/>
              </w:rPr>
              <w:t>(2)</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17"/>
                <w:szCs w:val="17"/>
                <w:color w:val="auto"/>
              </w:rPr>
            </w:pPr>
          </w:p>
        </w:tc>
        <w:tc>
          <w:tcPr>
            <w:tcW w:w="1800" w:type="dxa"/>
            <w:vAlign w:val="bottom"/>
            <w:gridSpan w:val="3"/>
          </w:tcPr>
          <w:p>
            <w:pPr>
              <w:jc w:val="center"/>
              <w:ind w:left="652"/>
              <w:spacing w:after="0"/>
              <w:rPr>
                <w:sz w:val="20"/>
                <w:szCs w:val="20"/>
                <w:color w:val="auto"/>
              </w:rPr>
            </w:pPr>
            <w:r>
              <w:rPr>
                <w:rFonts w:ascii="Times New Roman" w:cs="Times New Roman" w:eastAsia="Times New Roman" w:hAnsi="Times New Roman"/>
                <w:sz w:val="16"/>
                <w:szCs w:val="16"/>
                <w:color w:val="0000FF"/>
                <w:w w:val="98"/>
              </w:rPr>
              <w:t>11/03/2025</w:t>
            </w: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ind w:left="60"/>
              <w:spacing w:after="0" w:line="198" w:lineRule="exact"/>
              <w:rPr>
                <w:sz w:val="20"/>
                <w:szCs w:val="20"/>
                <w:color w:val="auto"/>
              </w:rPr>
            </w:pPr>
            <w:r>
              <w:rPr>
                <w:rFonts w:ascii="Times New Roman" w:cs="Times New Roman" w:eastAsia="Times New Roman" w:hAnsi="Times New Roman"/>
                <w:sz w:val="22"/>
                <w:szCs w:val="22"/>
                <w:color w:val="0000FF"/>
                <w:vertAlign w:val="subscript"/>
              </w:rPr>
              <w:t>P</w:t>
            </w:r>
            <w:r>
              <w:rPr>
                <w:rFonts w:ascii="Times New Roman" w:cs="Times New Roman" w:eastAsia="Times New Roman" w:hAnsi="Times New Roman"/>
                <w:sz w:val="10"/>
                <w:szCs w:val="10"/>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213</w:t>
            </w:r>
          </w:p>
        </w:tc>
        <w:tc>
          <w:tcPr>
            <w:tcW w:w="56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1,183</w:t>
            </w:r>
          </w:p>
        </w:tc>
        <w:tc>
          <w:tcPr>
            <w:tcW w:w="28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Trusts</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top w:val="single" w:sz="8" w:color="2C2C2C"/>
            </w:tcBorders>
          </w:tcPr>
          <w:p>
            <w:pPr>
              <w:spacing w:after="0"/>
              <w:rPr>
                <w:sz w:val="21"/>
                <w:szCs w:val="21"/>
                <w:color w:val="auto"/>
              </w:rPr>
            </w:pPr>
          </w:p>
        </w:tc>
        <w:tc>
          <w:tcPr>
            <w:tcW w:w="1800" w:type="dxa"/>
            <w:vAlign w:val="bottom"/>
            <w:tcBorders>
              <w:top w:val="single" w:sz="8" w:color="2C2C2C"/>
            </w:tcBorders>
            <w:gridSpan w:val="3"/>
          </w:tcPr>
          <w:p>
            <w:pPr>
              <w:jc w:val="center"/>
              <w:ind w:left="672"/>
              <w:spacing w:after="0"/>
              <w:rPr>
                <w:sz w:val="20"/>
                <w:szCs w:val="20"/>
                <w:color w:val="auto"/>
              </w:rPr>
            </w:pPr>
            <w:r>
              <w:rPr>
                <w:rFonts w:ascii="Times New Roman" w:cs="Times New Roman" w:eastAsia="Times New Roman" w:hAnsi="Times New Roman"/>
                <w:sz w:val="16"/>
                <w:szCs w:val="16"/>
                <w:color w:val="0000FF"/>
              </w:rPr>
              <w:t>03/06/2026</w:t>
            </w:r>
          </w:p>
        </w:tc>
        <w:tc>
          <w:tcPr>
            <w:tcW w:w="5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22,820</w:t>
            </w:r>
          </w:p>
        </w:tc>
        <w:tc>
          <w:tcPr>
            <w:tcW w:w="560" w:type="dxa"/>
            <w:vAlign w:val="bottom"/>
            <w:tcBorders>
              <w:top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22,820</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72"/>
              <w:spacing w:after="0"/>
              <w:rPr>
                <w:sz w:val="20"/>
                <w:szCs w:val="20"/>
                <w:color w:val="auto"/>
              </w:rPr>
            </w:pPr>
            <w:r>
              <w:rPr>
                <w:rFonts w:ascii="Times New Roman" w:cs="Times New Roman" w:eastAsia="Times New Roman" w:hAnsi="Times New Roman"/>
                <w:sz w:val="16"/>
                <w:szCs w:val="16"/>
                <w:color w:val="0000FF"/>
              </w:rPr>
              <w:t>03/06/2026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6"/>
                <w:szCs w:val="16"/>
                <w:color w:val="0000FF"/>
              </w:rPr>
              <w:t>524</w:t>
            </w:r>
            <w:r>
              <w:rPr>
                <w:rFonts w:ascii="Times New Roman" w:cs="Times New Roman" w:eastAsia="Times New Roman" w:hAnsi="Times New Roman"/>
                <w:sz w:val="20"/>
                <w:szCs w:val="20"/>
                <w:color w:val="008000"/>
                <w:vertAlign w:val="superscript"/>
              </w:rPr>
              <w:t>(4)</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23,344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2"/>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40" w:type="dxa"/>
            <w:vAlign w:val="bottom"/>
            <w:gridSpan w:val="11"/>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jc w:val="center"/>
              <w:ind w:right="39"/>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jc w:val="center"/>
              <w:ind w:right="39"/>
              <w:spacing w:after="0" w:line="124"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10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vMerge w:val="restart"/>
          </w:tcPr>
          <w:p>
            <w:pPr>
              <w:jc w:val="right"/>
              <w:ind w:right="217"/>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22,820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30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03/06/2026</w:t>
            </w:r>
          </w:p>
        </w:tc>
        <w:tc>
          <w:tcPr>
            <w:tcW w:w="1080" w:type="dxa"/>
            <w:vAlign w:val="bottom"/>
          </w:tcPr>
          <w:p>
            <w:pPr>
              <w:spacing w:after="0"/>
              <w:rPr>
                <w:sz w:val="5"/>
                <w:szCs w:val="5"/>
                <w:color w:val="auto"/>
              </w:rPr>
            </w:pPr>
          </w:p>
        </w:tc>
        <w:tc>
          <w:tcPr>
            <w:tcW w:w="720" w:type="dxa"/>
            <w:vAlign w:val="bottom"/>
            <w:gridSpan w:val="2"/>
            <w:vMerge w:val="restart"/>
          </w:tcPr>
          <w:p>
            <w:pPr>
              <w:jc w:val="center"/>
              <w:ind w:right="258"/>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500" w:type="dxa"/>
            <w:vAlign w:val="bottom"/>
            <w:vMerge w:val="restart"/>
          </w:tcPr>
          <w:p>
            <w:pPr>
              <w:jc w:val="right"/>
              <w:spacing w:after="0" w:line="136" w:lineRule="exact"/>
              <w:rPr>
                <w:sz w:val="20"/>
                <w:szCs w:val="20"/>
                <w:color w:val="auto"/>
              </w:rPr>
            </w:pPr>
            <w:r>
              <w:rPr>
                <w:rFonts w:ascii="Times New Roman" w:cs="Times New Roman" w:eastAsia="Times New Roman" w:hAnsi="Times New Roman"/>
                <w:sz w:val="12"/>
                <w:szCs w:val="12"/>
                <w:color w:val="0000FF"/>
              </w:rPr>
              <w:t>22,820</w:t>
            </w: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center"/>
              <w:ind w:right="19"/>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20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280" w:type="dxa"/>
            <w:vAlign w:val="bottom"/>
          </w:tcPr>
          <w:p>
            <w:pPr>
              <w:spacing w:after="0"/>
              <w:rPr>
                <w:sz w:val="5"/>
                <w:szCs w:val="5"/>
                <w:color w:val="auto"/>
              </w:rPr>
            </w:pPr>
          </w:p>
        </w:tc>
        <w:tc>
          <w:tcPr>
            <w:tcW w:w="64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right"/>
              <w:ind w:right="217"/>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523.0399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30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03/06/2026</w:t>
            </w:r>
          </w:p>
        </w:tc>
        <w:tc>
          <w:tcPr>
            <w:tcW w:w="1080" w:type="dxa"/>
            <w:vAlign w:val="bottom"/>
          </w:tcPr>
          <w:p>
            <w:pPr>
              <w:spacing w:after="0"/>
              <w:rPr>
                <w:sz w:val="10"/>
                <w:szCs w:val="10"/>
                <w:color w:val="auto"/>
              </w:rPr>
            </w:pPr>
          </w:p>
        </w:tc>
        <w:tc>
          <w:tcPr>
            <w:tcW w:w="720" w:type="dxa"/>
            <w:vAlign w:val="bottom"/>
            <w:gridSpan w:val="2"/>
          </w:tcPr>
          <w:p>
            <w:pPr>
              <w:jc w:val="center"/>
              <w:ind w:right="258"/>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10"/>
                <w:szCs w:val="10"/>
                <w:color w:val="auto"/>
              </w:rPr>
            </w:pPr>
          </w:p>
        </w:tc>
        <w:tc>
          <w:tcPr>
            <w:tcW w:w="56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523.0399</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19"/>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0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280" w:type="dxa"/>
            <w:vAlign w:val="bottom"/>
          </w:tcPr>
          <w:p>
            <w:pPr>
              <w:spacing w:after="0"/>
              <w:rPr>
                <w:sz w:val="10"/>
                <w:szCs w:val="10"/>
                <w:color w:val="auto"/>
              </w:rPr>
            </w:pPr>
          </w:p>
        </w:tc>
        <w:tc>
          <w:tcPr>
            <w:tcW w:w="64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vMerge w:val="restart"/>
          </w:tcPr>
          <w:p>
            <w:pPr>
              <w:jc w:val="right"/>
              <w:ind w:right="217"/>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15,890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30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03/06/2026</w:t>
            </w:r>
          </w:p>
        </w:tc>
        <w:tc>
          <w:tcPr>
            <w:tcW w:w="1080" w:type="dxa"/>
            <w:vAlign w:val="bottom"/>
          </w:tcPr>
          <w:p>
            <w:pPr>
              <w:spacing w:after="0"/>
              <w:rPr>
                <w:sz w:val="5"/>
                <w:szCs w:val="5"/>
                <w:color w:val="auto"/>
              </w:rPr>
            </w:pPr>
          </w:p>
        </w:tc>
        <w:tc>
          <w:tcPr>
            <w:tcW w:w="720" w:type="dxa"/>
            <w:vAlign w:val="bottom"/>
            <w:gridSpan w:val="2"/>
            <w:vMerge w:val="restart"/>
          </w:tcPr>
          <w:p>
            <w:pPr>
              <w:jc w:val="center"/>
              <w:ind w:right="258"/>
              <w:spacing w:after="0" w:line="136" w:lineRule="exact"/>
              <w:rPr>
                <w:sz w:val="20"/>
                <w:szCs w:val="20"/>
                <w:color w:val="auto"/>
              </w:rPr>
            </w:pPr>
            <w:r>
              <w:rPr>
                <w:rFonts w:ascii="Times New Roman" w:cs="Times New Roman" w:eastAsia="Times New Roman" w:hAnsi="Times New Roman"/>
                <w:sz w:val="12"/>
                <w:szCs w:val="12"/>
                <w:color w:val="0000FF"/>
                <w:w w:val="91"/>
              </w:rPr>
              <w:t>A</w:t>
            </w:r>
          </w:p>
        </w:tc>
        <w:tc>
          <w:tcPr>
            <w:tcW w:w="520" w:type="dxa"/>
            <w:vAlign w:val="bottom"/>
            <w:vMerge w:val="restart"/>
          </w:tcPr>
          <w:p>
            <w:pPr>
              <w:ind w:left="120"/>
              <w:spacing w:after="0" w:line="136" w:lineRule="exact"/>
              <w:rPr>
                <w:sz w:val="20"/>
                <w:szCs w:val="20"/>
                <w:color w:val="auto"/>
              </w:rPr>
            </w:pPr>
            <w:r>
              <w:rPr>
                <w:rFonts w:ascii="Times New Roman" w:cs="Times New Roman" w:eastAsia="Times New Roman" w:hAnsi="Times New Roman"/>
                <w:sz w:val="12"/>
                <w:szCs w:val="12"/>
                <w:color w:val="0000FF"/>
              </w:rPr>
              <w:t>15,890</w:t>
            </w: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center"/>
              <w:ind w:right="19"/>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15,890</w:t>
            </w:r>
          </w:p>
        </w:tc>
        <w:tc>
          <w:tcPr>
            <w:tcW w:w="64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0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were acquired by the reporting person's investment advisors in managed accounts as part of the investment advisors' implementation and continued execution of managed investment strategies to mirror certain index funds involving the securities of multiple issuers.</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Based on information provided by the investment advisor; additional information, including the price range, if any, is unavailable.</w:t>
      </w:r>
    </w:p>
    <w:p>
      <w:pPr>
        <w:spacing w:after="0" w:line="47" w:lineRule="exact"/>
        <w:rPr>
          <w:rFonts w:ascii="Times New Roman" w:cs="Times New Roman" w:eastAsia="Times New Roman" w:hAnsi="Times New Roman"/>
          <w:sz w:val="12"/>
          <w:szCs w:val="12"/>
          <w:color w:val="008000"/>
        </w:rPr>
      </w:pPr>
    </w:p>
    <w:p>
      <w:pPr>
        <w:ind w:left="40" w:right="300" w:hanging="4"/>
        <w:spacing w:after="0" w:line="25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in family trusts for which the reporting person or his spouse serve as trustee: (i) 13 shares in a trust for the benefit of the reporting person for which the reporting person serves as trustee; (ii) 63 shares in a trust for the benefit of the reporting person and his children for which the reporting person serves as trustee; (iii) 522 shares in a trust for the benefit of the reporting person's spouse for which the reporting person's spouse serves as trustee; and (iv) 585 shares in trusts for the benefit of the reporting person's children for which the reporting person's spouse serves as trustee.</w:t>
      </w:r>
    </w:p>
    <w:p>
      <w:pPr>
        <w:spacing w:after="0" w:line="17" w:lineRule="exact"/>
        <w:rPr>
          <w:rFonts w:ascii="Times New Roman" w:cs="Times New Roman" w:eastAsia="Times New Roman" w:hAnsi="Times New Roman"/>
          <w:sz w:val="12"/>
          <w:szCs w:val="12"/>
          <w:color w:val="008000"/>
        </w:rPr>
      </w:pPr>
    </w:p>
    <w:p>
      <w:pPr>
        <w:ind w:left="40" w:right="340" w:hanging="4"/>
        <w:spacing w:after="0" w:line="257"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March 6, 2026.</w:t>
      </w:r>
    </w:p>
    <w:p>
      <w:pPr>
        <w:spacing w:after="0" w:line="47" w:lineRule="exact"/>
        <w:rPr>
          <w:rFonts w:ascii="Times New Roman" w:cs="Times New Roman" w:eastAsia="Times New Roman" w:hAnsi="Times New Roman"/>
          <w:sz w:val="12"/>
          <w:szCs w:val="12"/>
          <w:color w:val="008000"/>
        </w:rPr>
      </w:pPr>
    </w:p>
    <w:p>
      <w:pPr>
        <w:ind w:left="40" w:right="44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August 11, 2025 and vested on the same schedule as the underlying RSUs. Amount represents DEUs that accrued with respect to such RSUs in transactions exempt from Section 16 under Rule 16a-11.</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will vest on March 6, 2027.</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4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8519"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2026-03-10T18:07:24Z</dcterms:created>
  <dcterms:modified xsi:type="dcterms:W3CDTF">2026-03-10T18:07:24Z</dcterms:modified>
</cp:coreProperties>
</file>