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3,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Goettler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Upjohn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235 East 42nd Street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NY 10017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Upjohn Inc.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 Registration Statement on Form S-4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January 21, 2020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333-234337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Goettler: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registration statement and have the following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9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circumstances or do not believe an amendment is appropriate, please tell us why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these comments, we may have additional comments. Unless we note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otherwise, our references to prior comments are to comments in our January 2, 2020 letter.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 Registration Statement on Form S-4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Background of the Combination, page 95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your revised disclosure on page 100 in response to prior comment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320" w:hanging="312"/>
        <w:spacing w:after="0" w:line="238" w:lineRule="auto"/>
        <w:tabs>
          <w:tab w:leader="none" w:pos="32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further revise the disclosure on page 100 to present a numerical value.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With reference to prior comment 5, please revise the disclosure on page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elsewhere in the Background section, as applicable, to clarify when the parties agreed that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Pfizer would retain the pre-Distribution taxes attributable to the Upjohn business. In this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regard, the disclosure on page 104 suggests that Newco would assume the $4.9 billion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tax payments attributable to Upjohn (as reflected in the pro forma presentation on page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270). To the extent that the parties agreed prior to July 26-28 that Pfizer would retain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these tax obligations, please revise the July 26-28 entry to quantify the magnitude of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339" w:firstLine="105"/>
        <w:spacing w:after="0" w:line="23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Goettler Upjohn Inc. February 3, 2020 Page 2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pre-Distribution liabilities related to the Upjohn Business that were at issue during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final three days of negotiation. Also, revise the disclosure on page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clarify whether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Mylan's financial advisors in rendering the joint opinion assumed that Pfizer would retain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pre-Distribution taxes attributable to the Upjohn business and Newco would assume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other pre-Distribution liabilities related to the Upjohn Business (exclusive of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contingent liabilities referenced on page 103). Golden Parachute Compensation, page 128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reference to your disclosures on pages 126 and 127, please provide us an analysis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explaining why the $10 million award is not presented as Golden Parachute Compensation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pursuant to Regulation S-K, Item 402(t). Also, revise the Background of the Combination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section to include the discussions/negotiations concerning Mr. Coury's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future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compensation with Newco.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Franklin Wyman at (202) 551-3660 or Kevin Vaughn,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3"/>
        </w:trPr>
        <w:tc>
          <w:tcPr>
            <w:tcW w:w="5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Accounting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2"/>
        </w:trPr>
        <w:tc>
          <w:tcPr>
            <w:tcW w:w="56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Branch Chief, at (202) 551-3494 if you have questions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regarding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comments on the</w:t>
            </w:r>
          </w:p>
        </w:tc>
      </w:tr>
      <w:tr>
        <w:trPr>
          <w:trHeight w:val="203"/>
        </w:trPr>
        <w:tc>
          <w:tcPr>
            <w:tcW w:w="56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financial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56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statements and related matters. Please contact Joseph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McCann at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(202) 551-6262</w:t>
            </w:r>
          </w:p>
        </w:tc>
      </w:tr>
      <w:tr>
        <w:trPr>
          <w:trHeight w:val="203"/>
        </w:trPr>
        <w:tc>
          <w:tcPr>
            <w:tcW w:w="56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or Celeste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56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Murphy, Legal Branch Chief, at at (202) 551-3257 with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any other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questions.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2240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LastNameMichael Goettler Comapany NameUpjohn Inc.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820" w:space="720"/>
            <w:col w:w="3599"/>
          </w:cols>
          <w:pgMar w:left="320" w:top="136" w:right="1440" w:bottom="1440" w:gutter="0" w:footer="0" w:header="0"/>
          <w:type w:val="continuous"/>
        </w:sect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February 3, 2020 Page 2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 Life</w:t>
      </w:r>
    </w:p>
    <w:sectPr>
      <w:pgSz w:w="11900" w:h="16838" w:orient="portrait"/>
      <w:cols w:equalWidth="0" w:num="2">
        <w:col w:w="5820" w:space="720"/>
        <w:col w:w="3599"/>
      </w:cols>
      <w:pgMar w:left="320" w:top="136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625558EC"/>
    <w:multiLevelType w:val="hybridMultilevel"/>
    <w:lvl w:ilvl="0">
      <w:lvlJc w:val="left"/>
      <w:lvlText w:val="%1"/>
      <w:numFmt w:val="decimal"/>
      <w:start w:val="104"/>
    </w:lvl>
  </w:abstractNum>
  <w:abstractNum w:abstractNumId="3">
    <w:nsid w:val="238E1F29"/>
    <w:multiLevelType w:val="hybridMultilevel"/>
    <w:lvl w:ilvl="0">
      <w:lvlJc w:val="left"/>
      <w:lvlText w:val="%1"/>
      <w:numFmt w:val="decimal"/>
      <w:start w:val="103"/>
    </w:lvl>
  </w:abstractNum>
  <w:abstractNum w:abstractNumId="4">
    <w:nsid w:val="46E87CCD"/>
    <w:multiLevelType w:val="hybridMultilevel"/>
    <w:lvl w:ilvl="0">
      <w:lvlJc w:val="left"/>
      <w:lvlText w:val="%1."/>
      <w:numFmt w:val="decimal"/>
      <w:start w:val="3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2021-08-15T20:14:35Z</dcterms:created>
  <dcterms:modified xsi:type="dcterms:W3CDTF">2021-08-15T20:14:35Z</dcterms:modified>
</cp:coreProperties>
</file>