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6"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_______________</w: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February 28, 2022</w:t>
      </w:r>
    </w:p>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VIATRIS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240"/>
          </w:cols>
          <w:pgMar w:left="320" w:top="989" w:right="339" w:bottom="1440" w:gutter="0" w:footer="0" w:header="0"/>
        </w:sectPr>
      </w:pPr>
    </w:p>
    <w:p>
      <w:pPr>
        <w:spacing w:after="0" w:line="232"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001-39695</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83-4364296</w:t>
      </w:r>
    </w:p>
    <w:p>
      <w:pPr>
        <w:spacing w:after="0" w:line="50" w:lineRule="exact"/>
        <w:rPr>
          <w:sz w:val="24"/>
          <w:szCs w:val="24"/>
          <w:color w:val="auto"/>
        </w:rPr>
      </w:pPr>
    </w:p>
    <w:p>
      <w:pPr>
        <w:sectPr>
          <w:pgSz w:w="11900" w:h="16838" w:orient="portrait"/>
          <w:cols w:equalWidth="0" w:num="3">
            <w:col w:w="4500" w:space="720"/>
            <w:col w:w="2980" w:space="720"/>
            <w:col w:w="2320"/>
          </w:cols>
          <w:pgMar w:left="320" w:top="989" w:right="33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00" w:space="720"/>
            <w:col w:w="2720" w:space="720"/>
            <w:col w:w="3180"/>
          </w:cols>
          <w:pgMar w:left="320" w:top="989" w:right="339" w:bottom="1440" w:gutter="0" w:footer="0" w:header="0"/>
          <w:type w:val="continuous"/>
        </w:sectPr>
      </w:pP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1000 Mylan Boulevard, Canonsburg, Pennsylvania, 15317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w:t>
      </w:r>
    </w:p>
    <w:p>
      <w:pPr>
        <w:spacing w:after="0" w:line="30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(724) 514-1800</w:t>
      </w:r>
    </w:p>
    <w:p>
      <w:pPr>
        <w:spacing w:after="0" w:line="319" w:lineRule="exact"/>
        <w:rPr>
          <w:sz w:val="24"/>
          <w:szCs w:val="24"/>
          <w:color w:val="auto"/>
        </w:rPr>
      </w:pPr>
    </w:p>
    <w:p>
      <w:pPr>
        <w:ind w:right="100" w:firstLine="324"/>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65" w:lineRule="exact"/>
        <w:rPr>
          <w:sz w:val="24"/>
          <w:szCs w:val="24"/>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05"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92" w:lineRule="exact"/>
        <w:rPr>
          <w:rFonts w:ascii="MS PGothic" w:cs="MS PGothic" w:eastAsia="MS PGothic" w:hAnsi="MS PGothic"/>
          <w:sz w:val="19"/>
          <w:szCs w:val="19"/>
          <w:color w:val="auto"/>
        </w:rPr>
      </w:pPr>
    </w:p>
    <w:p>
      <w:pPr>
        <w:ind w:left="700" w:hanging="368"/>
        <w:spacing w:after="0"/>
        <w:tabs>
          <w:tab w:leader="none" w:pos="70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 (b))</w:t>
      </w:r>
    </w:p>
    <w:p>
      <w:pPr>
        <w:spacing w:after="0" w:line="105" w:lineRule="exact"/>
        <w:rPr>
          <w:rFonts w:ascii="MS PGothic" w:cs="MS PGothic" w:eastAsia="MS PGothic" w:hAnsi="MS PGothic"/>
          <w:sz w:val="19"/>
          <w:szCs w:val="19"/>
          <w:color w:val="auto"/>
        </w:rPr>
      </w:pPr>
    </w:p>
    <w:p>
      <w:pPr>
        <w:ind w:right="2060" w:firstLine="332"/>
        <w:spacing w:after="0" w:line="355" w:lineRule="auto"/>
        <w:tabs>
          <w:tab w:leader="none" w:pos="68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4240" w:type="dxa"/>
            <w:vAlign w:val="bottom"/>
            <w:gridSpan w:val="2"/>
          </w:tcPr>
          <w:p>
            <w:pPr>
              <w:jc w:val="center"/>
              <w:ind w:right="80"/>
              <w:spacing w:after="0"/>
              <w:rPr>
                <w:sz w:val="20"/>
                <w:szCs w:val="20"/>
                <w:color w:val="auto"/>
              </w:rPr>
            </w:pPr>
            <w:r>
              <w:rPr>
                <w:rFonts w:ascii="Arial" w:cs="Arial" w:eastAsia="Arial" w:hAnsi="Arial"/>
                <w:sz w:val="20"/>
                <w:szCs w:val="20"/>
                <w:b w:val="1"/>
                <w:bCs w:val="1"/>
                <w:color w:val="auto"/>
                <w:w w:val="85"/>
              </w:rPr>
              <w:t>Title of each class</w:t>
            </w:r>
          </w:p>
        </w:tc>
        <w:tc>
          <w:tcPr>
            <w:tcW w:w="2860" w:type="dxa"/>
            <w:vAlign w:val="bottom"/>
            <w:gridSpan w:val="2"/>
          </w:tcPr>
          <w:p>
            <w:pPr>
              <w:jc w:val="center"/>
              <w:ind w:right="100"/>
              <w:spacing w:after="0"/>
              <w:rPr>
                <w:sz w:val="20"/>
                <w:szCs w:val="20"/>
                <w:color w:val="auto"/>
              </w:rPr>
            </w:pPr>
            <w:r>
              <w:rPr>
                <w:rFonts w:ascii="Arial" w:cs="Arial" w:eastAsia="Arial" w:hAnsi="Arial"/>
                <w:sz w:val="20"/>
                <w:szCs w:val="20"/>
                <w:b w:val="1"/>
                <w:bCs w:val="1"/>
                <w:color w:val="auto"/>
                <w:w w:val="88"/>
              </w:rPr>
              <w:t>Trading Symbol(s)</w:t>
            </w:r>
          </w:p>
        </w:tc>
        <w:tc>
          <w:tcPr>
            <w:tcW w:w="4140" w:type="dxa"/>
            <w:vAlign w:val="bottom"/>
          </w:tcPr>
          <w:p>
            <w:pPr>
              <w:jc w:val="center"/>
              <w:spacing w:after="0"/>
              <w:rPr>
                <w:sz w:val="20"/>
                <w:szCs w:val="20"/>
                <w:color w:val="auto"/>
              </w:rPr>
            </w:pPr>
            <w:r>
              <w:rPr>
                <w:rFonts w:ascii="Arial" w:cs="Arial" w:eastAsia="Arial" w:hAnsi="Arial"/>
                <w:sz w:val="20"/>
                <w:szCs w:val="20"/>
                <w:b w:val="1"/>
                <w:bCs w:val="1"/>
                <w:color w:val="auto"/>
                <w:w w:val="86"/>
              </w:rPr>
              <w:t>Name of each exchange on which registered</w:t>
            </w:r>
          </w:p>
        </w:tc>
      </w:tr>
      <w:tr>
        <w:trPr>
          <w:trHeight w:val="228"/>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00" w:type="dxa"/>
            <w:vAlign w:val="bottom"/>
          </w:tcPr>
          <w:p>
            <w:pPr>
              <w:spacing w:after="0"/>
              <w:rPr>
                <w:sz w:val="19"/>
                <w:szCs w:val="19"/>
                <w:color w:val="auto"/>
              </w:rPr>
            </w:pPr>
          </w:p>
        </w:tc>
        <w:tc>
          <w:tcPr>
            <w:tcW w:w="2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VTRS</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w:t>
            </w:r>
          </w:p>
        </w:tc>
      </w:tr>
    </w:tbl>
    <w:p>
      <w:pPr>
        <w:spacing w:after="0" w:line="175" w:lineRule="exact"/>
        <w:rPr>
          <w:sz w:val="24"/>
          <w:szCs w:val="24"/>
          <w:color w:val="auto"/>
        </w:rPr>
      </w:pPr>
    </w:p>
    <w:p>
      <w:pPr>
        <w:ind w:right="180" w:firstLine="324"/>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340"/>
        <w:spacing w:after="0" w:line="219" w:lineRule="exact"/>
        <w:tabs>
          <w:tab w:leader="none" w:pos="2560" w:val="left"/>
        </w:tabs>
        <w:rPr>
          <w:sz w:val="20"/>
          <w:szCs w:val="20"/>
          <w:color w:val="auto"/>
        </w:rPr>
      </w:pPr>
      <w:r>
        <w:rPr>
          <w:rFonts w:ascii="Arial" w:cs="Arial" w:eastAsia="Arial" w:hAnsi="Arial"/>
          <w:sz w:val="19"/>
          <w:szCs w:val="19"/>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14" w:lineRule="exact"/>
        <w:rPr>
          <w:sz w:val="24"/>
          <w:szCs w:val="24"/>
          <w:color w:val="auto"/>
        </w:rPr>
      </w:pPr>
    </w:p>
    <w:p>
      <w:pPr>
        <w:ind w:left="340" w:right="340"/>
        <w:spacing w:after="0" w:line="24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February 28, 2022, Viatris Inc. (“Viatris” or the “Company”) issued a press release reporting the Company's financial results for the period ended December 31, 2021 and announcing 2022 guidance and certain strategic initiatives. A copy of the press release is attached hereto as Exhibit 99.1 and is incorporated herein by reference.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As previously announced, Viatris will host a virtual investor event today beginning at 8:30 a.m. ET to share the Company's financial results for the fourth quarter and full year 2021 and provide additional detail on the Company's strategic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180" w:type="dxa"/>
            <w:vAlign w:val="bottom"/>
            <w:gridSpan w:val="2"/>
          </w:tcPr>
          <w:p>
            <w:pPr>
              <w:spacing w:after="0"/>
              <w:rPr>
                <w:sz w:val="20"/>
                <w:szCs w:val="20"/>
                <w:color w:val="auto"/>
              </w:rPr>
            </w:pPr>
            <w:r>
              <w:rPr>
                <w:rFonts w:ascii="Arial" w:cs="Arial" w:eastAsia="Arial" w:hAnsi="Arial"/>
                <w:sz w:val="18"/>
                <w:szCs w:val="18"/>
                <w:color w:val="auto"/>
              </w:rPr>
              <w:t>(d)</w:t>
            </w:r>
          </w:p>
        </w:tc>
        <w:tc>
          <w:tcPr>
            <w:tcW w:w="9020" w:type="dxa"/>
            <w:vAlign w:val="bottom"/>
          </w:tcPr>
          <w:p>
            <w:pPr>
              <w:ind w:left="300"/>
              <w:spacing w:after="0"/>
              <w:rPr>
                <w:sz w:val="20"/>
                <w:szCs w:val="20"/>
                <w:color w:val="auto"/>
              </w:rPr>
            </w:pPr>
            <w:r>
              <w:rPr>
                <w:rFonts w:ascii="Arial" w:cs="Arial" w:eastAsia="Arial" w:hAnsi="Arial"/>
                <w:sz w:val="18"/>
                <w:szCs w:val="18"/>
                <w:color w:val="auto"/>
              </w:rPr>
              <w:t>Exhibits.</w:t>
            </w:r>
          </w:p>
        </w:tc>
      </w:tr>
      <w:tr>
        <w:trPr>
          <w:trHeight w:val="499"/>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020" w:type="dxa"/>
            <w:vAlign w:val="bottom"/>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1180" w:type="dxa"/>
            <w:vAlign w:val="bottom"/>
            <w:gridSpan w:val="2"/>
          </w:tcPr>
          <w:p>
            <w:pPr>
              <w:spacing w:after="0" w:line="190" w:lineRule="exact"/>
              <w:rPr>
                <w:rFonts w:ascii="Arial" w:cs="Arial" w:eastAsia="Arial" w:hAnsi="Arial"/>
                <w:sz w:val="18"/>
                <w:szCs w:val="18"/>
                <w:color w:val="0000FF"/>
              </w:rPr>
            </w:pPr>
            <w:hyperlink w:anchor="page5">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020" w:type="dxa"/>
            <w:vAlign w:val="bottom"/>
          </w:tcPr>
          <w:p>
            <w:pPr>
              <w:ind w:left="300"/>
              <w:spacing w:after="0" w:line="190" w:lineRule="exact"/>
              <w:rPr>
                <w:sz w:val="20"/>
                <w:szCs w:val="20"/>
                <w:color w:val="auto"/>
              </w:rPr>
            </w:pPr>
            <w:r>
              <w:rPr>
                <w:rFonts w:ascii="Arial" w:cs="Arial" w:eastAsia="Arial" w:hAnsi="Arial"/>
                <w:sz w:val="18"/>
                <w:szCs w:val="18"/>
                <w:color w:val="auto"/>
                <w:w w:val="89"/>
              </w:rPr>
              <w:t>Press release announcing the Company’s financial results for the fourth quarter and year ended December 31, 2021, 2022</w:t>
            </w:r>
          </w:p>
        </w:tc>
      </w:tr>
      <w:tr>
        <w:trPr>
          <w:trHeight w:val="210"/>
        </w:trPr>
        <w:tc>
          <w:tcPr>
            <w:tcW w:w="320" w:type="dxa"/>
            <w:vAlign w:val="bottom"/>
            <w:tcBorders>
              <w:top w:val="single" w:sz="8" w:color="0000FF"/>
            </w:tcBorders>
          </w:tcPr>
          <w:p>
            <w:pPr>
              <w:spacing w:after="0"/>
              <w:rPr>
                <w:sz w:val="18"/>
                <w:szCs w:val="18"/>
                <w:color w:val="auto"/>
              </w:rPr>
            </w:pPr>
          </w:p>
        </w:tc>
        <w:tc>
          <w:tcPr>
            <w:tcW w:w="860" w:type="dxa"/>
            <w:vAlign w:val="bottom"/>
          </w:tcPr>
          <w:p>
            <w:pPr>
              <w:spacing w:after="0"/>
              <w:rPr>
                <w:sz w:val="18"/>
                <w:szCs w:val="18"/>
                <w:color w:val="auto"/>
              </w:rPr>
            </w:pPr>
          </w:p>
        </w:tc>
        <w:tc>
          <w:tcPr>
            <w:tcW w:w="9020" w:type="dxa"/>
            <w:vAlign w:val="bottom"/>
          </w:tcPr>
          <w:p>
            <w:pPr>
              <w:ind w:left="300"/>
              <w:spacing w:after="0"/>
              <w:rPr>
                <w:sz w:val="20"/>
                <w:szCs w:val="20"/>
                <w:color w:val="auto"/>
              </w:rPr>
            </w:pPr>
            <w:r>
              <w:rPr>
                <w:rFonts w:ascii="Arial" w:cs="Arial" w:eastAsia="Arial" w:hAnsi="Arial"/>
                <w:sz w:val="18"/>
                <w:szCs w:val="18"/>
                <w:color w:val="auto"/>
              </w:rPr>
              <w:t>guidance and certain strategic initiatives, dated February 28, 2022.</w:t>
            </w:r>
          </w:p>
        </w:tc>
      </w:tr>
    </w:tbl>
    <w:p>
      <w:pPr>
        <w:ind w:left="1500" w:hanging="1474"/>
        <w:spacing w:after="0"/>
        <w:tabs>
          <w:tab w:leader="none" w:pos="1500" w:val="left"/>
        </w:tabs>
        <w:numPr>
          <w:ilvl w:val="0"/>
          <w:numId w:val="2"/>
        </w:numPr>
        <w:rPr>
          <w:rFonts w:ascii="Arial" w:cs="Arial" w:eastAsia="Arial" w:hAnsi="Arial"/>
          <w:sz w:val="17"/>
          <w:szCs w:val="17"/>
          <w:color w:val="auto"/>
        </w:rPr>
      </w:pPr>
      <w:r>
        <w:rPr>
          <w:rFonts w:ascii="Arial" w:cs="Arial" w:eastAsia="Arial" w:hAnsi="Arial"/>
          <w:sz w:val="17"/>
          <w:szCs w:val="17"/>
          <w:color w:val="212529"/>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134" w:right="1359" w:bottom="1440" w:gutter="0" w:footer="0" w:header="0"/>
        </w:sectPr>
      </w:pPr>
    </w:p>
    <w:bookmarkStart w:id="3" w:name="page4"/>
    <w:bookmarkEnd w:id="3"/>
    <w:p>
      <w:pPr>
        <w:jc w:val="center"/>
        <w:ind w:right="-5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VIATRIS INC.</w:t>
      </w:r>
    </w:p>
    <w:p>
      <w:pPr>
        <w:spacing w:after="0" w:line="239" w:lineRule="exact"/>
        <w:rPr>
          <w:sz w:val="20"/>
          <w:szCs w:val="20"/>
          <w:color w:val="auto"/>
        </w:rPr>
      </w:pPr>
    </w:p>
    <w:p>
      <w:pPr>
        <w:ind w:left="60"/>
        <w:spacing w:after="0"/>
        <w:tabs>
          <w:tab w:leader="none" w:pos="620" w:val="left"/>
          <w:tab w:leader="none" w:pos="6600" w:val="left"/>
          <w:tab w:leader="none" w:pos="7260" w:val="left"/>
        </w:tabs>
        <w:rPr>
          <w:sz w:val="20"/>
          <w:szCs w:val="20"/>
          <w:color w:val="auto"/>
        </w:rPr>
      </w:pPr>
      <w:r>
        <w:rPr>
          <w:rFonts w:ascii="Arial" w:cs="Arial" w:eastAsia="Arial" w:hAnsi="Arial"/>
          <w:sz w:val="18"/>
          <w:szCs w:val="18"/>
          <w:color w:val="auto"/>
        </w:rPr>
        <w:t>Date:</w:t>
        <w:tab/>
        <w:t>February 28,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11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Sanjeev Narula</w:t>
      </w:r>
    </w:p>
    <w:p>
      <w:pPr>
        <w:ind w:left="7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320" w:top="1215" w:right="8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637030" cy="642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3703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340" w:right="380"/>
        <w:spacing w:after="0" w:line="489" w:lineRule="auto"/>
        <w:rPr>
          <w:sz w:val="20"/>
          <w:szCs w:val="20"/>
          <w:color w:val="auto"/>
        </w:rPr>
      </w:pPr>
      <w:r>
        <w:rPr>
          <w:rFonts w:ascii="Arial" w:cs="Arial" w:eastAsia="Arial" w:hAnsi="Arial"/>
          <w:sz w:val="19"/>
          <w:szCs w:val="19"/>
          <w:b w:val="1"/>
          <w:bCs w:val="1"/>
          <w:color w:val="auto"/>
        </w:rPr>
        <w:t>Viatris Reports Strong Fourth Quarter and Full-Year 2021 Financial Results and Issues 2022 Financial Guidance Completes Comprehensive Strategic Review and Unveils Plan to Reshape the Company for the Future</w:t>
      </w:r>
    </w:p>
    <w:p>
      <w:pPr>
        <w:spacing w:after="0" w:line="1" w:lineRule="exact"/>
        <w:rPr>
          <w:sz w:val="20"/>
          <w:szCs w:val="20"/>
          <w:color w:val="auto"/>
        </w:rPr>
      </w:pPr>
    </w:p>
    <w:p>
      <w:pPr>
        <w:jc w:val="center"/>
        <w:ind w:left="340" w:right="420"/>
        <w:spacing w:after="0" w:line="312" w:lineRule="auto"/>
        <w:rPr>
          <w:sz w:val="20"/>
          <w:szCs w:val="20"/>
          <w:color w:val="auto"/>
        </w:rPr>
      </w:pPr>
      <w:r>
        <w:rPr>
          <w:rFonts w:ascii="Arial" w:cs="Arial" w:eastAsia="Arial" w:hAnsi="Arial"/>
          <w:sz w:val="19"/>
          <w:szCs w:val="19"/>
          <w:b w:val="1"/>
          <w:bCs w:val="1"/>
          <w:color w:val="auto"/>
        </w:rPr>
        <w:t>Announces Combination of its Biosimilars Portfolio with Biocon Biologics in Exchange for up to $3.335 Billion Representing an Attractive Multiple to Viatris of 16.5x the Company’s Biosimilars 2022E Adjusted EBITDA</w:t>
      </w:r>
      <w:r>
        <w:rPr>
          <w:rFonts w:ascii="Arial" w:cs="Arial" w:eastAsia="Arial" w:hAnsi="Arial"/>
          <w:sz w:val="24"/>
          <w:szCs w:val="24"/>
          <w:b w:val="1"/>
          <w:bCs w:val="1"/>
          <w:color w:val="auto"/>
          <w:vertAlign w:val="superscript"/>
        </w:rPr>
        <w:t>1</w:t>
      </w:r>
    </w:p>
    <w:p>
      <w:pPr>
        <w:spacing w:after="0" w:line="32" w:lineRule="exact"/>
        <w:rPr>
          <w:sz w:val="20"/>
          <w:szCs w:val="20"/>
          <w:color w:val="auto"/>
        </w:rPr>
      </w:pPr>
    </w:p>
    <w:p>
      <w:pPr>
        <w:jc w:val="center"/>
        <w:ind w:left="340" w:right="100"/>
        <w:spacing w:after="0" w:line="271" w:lineRule="auto"/>
        <w:rPr>
          <w:sz w:val="20"/>
          <w:szCs w:val="20"/>
          <w:color w:val="auto"/>
        </w:rPr>
      </w:pPr>
      <w:r>
        <w:rPr>
          <w:rFonts w:ascii="Arial" w:cs="Arial" w:eastAsia="Arial" w:hAnsi="Arial"/>
          <w:sz w:val="20"/>
          <w:szCs w:val="20"/>
          <w:b w:val="1"/>
          <w:bCs w:val="1"/>
          <w:color w:val="auto"/>
        </w:rPr>
        <w:t>First in a Series of Expected Initiatives Anticipated to Unlock up to an Additional $6 Billion in Pre-tax Proceeds by the End of 2023</w:t>
      </w:r>
    </w:p>
    <w:p>
      <w:pPr>
        <w:spacing w:after="0" w:line="156" w:lineRule="exact"/>
        <w:rPr>
          <w:sz w:val="20"/>
          <w:szCs w:val="20"/>
          <w:color w:val="auto"/>
        </w:rPr>
      </w:pPr>
    </w:p>
    <w:p>
      <w:pPr>
        <w:jc w:val="center"/>
        <w:ind w:left="340" w:right="100"/>
        <w:spacing w:after="0" w:line="271" w:lineRule="auto"/>
        <w:rPr>
          <w:sz w:val="20"/>
          <w:szCs w:val="20"/>
          <w:color w:val="auto"/>
        </w:rPr>
      </w:pPr>
      <w:r>
        <w:rPr>
          <w:rFonts w:ascii="Arial" w:cs="Arial" w:eastAsia="Arial" w:hAnsi="Arial"/>
          <w:sz w:val="20"/>
          <w:szCs w:val="20"/>
          <w:b w:val="1"/>
          <w:bCs w:val="1"/>
          <w:color w:val="auto"/>
        </w:rPr>
        <w:t>Board of Directors Authorizes a Share Repurchase Program of up to $1 Billion, Maintaining Company Commitment to Return Capital to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PITTSBURGH – February 28, 2022 </w:t>
      </w:r>
      <w:r>
        <w:rPr>
          <w:rFonts w:ascii="Arial" w:cs="Arial" w:eastAsia="Arial" w:hAnsi="Arial"/>
          <w:sz w:val="19"/>
          <w:szCs w:val="19"/>
          <w:color w:val="auto"/>
        </w:rPr>
        <w:t>–</w:t>
      </w:r>
    </w:p>
    <w:p>
      <w:pPr>
        <w:spacing w:after="0" w:line="194" w:lineRule="exact"/>
        <w:rPr>
          <w:sz w:val="20"/>
          <w:szCs w:val="20"/>
          <w:color w:val="auto"/>
        </w:rPr>
      </w:pPr>
    </w:p>
    <w:p>
      <w:pPr>
        <w:ind w:left="660" w:right="220" w:hanging="328"/>
        <w:spacing w:after="0" w:line="248" w:lineRule="auto"/>
        <w:tabs>
          <w:tab w:leader="none" w:pos="648"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Biocon Biologics Transaction Consists of Pre-tax Consideration of up to $3.335 billion, Including $2 billion in Upfront Cash, $1 billion of Convertible Preferred Equity Representing a Stake of at Least 12.9% in Biocon Biologics (on a Fully Diluted Basis), and up to $335 million of Additional Payments. Rajiv Malik, Viatris President, to Represent Viatris on Biocon Biologics Board. Transaction is Expected to Close in Second Half of 2022</w:t>
      </w:r>
    </w:p>
    <w:p>
      <w:pPr>
        <w:spacing w:after="0" w:line="183" w:lineRule="exact"/>
        <w:rPr>
          <w:rFonts w:ascii="Arial" w:cs="Arial" w:eastAsia="Arial" w:hAnsi="Arial"/>
          <w:sz w:val="20"/>
          <w:szCs w:val="20"/>
          <w:i w:val="1"/>
          <w:iCs w:val="1"/>
          <w:color w:val="auto"/>
        </w:rPr>
      </w:pPr>
    </w:p>
    <w:p>
      <w:pPr>
        <w:ind w:left="640" w:hanging="308"/>
        <w:spacing w:after="0"/>
        <w:tabs>
          <w:tab w:leader="none" w:pos="640" w:val="left"/>
        </w:tabs>
        <w:numPr>
          <w:ilvl w:val="0"/>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Material Benefits of the Transaction Upon Closing Include:</w:t>
      </w:r>
    </w:p>
    <w:p>
      <w:pPr>
        <w:spacing w:after="0" w:line="215" w:lineRule="exact"/>
        <w:rPr>
          <w:rFonts w:ascii="Arial" w:cs="Arial" w:eastAsia="Arial" w:hAnsi="Arial"/>
          <w:sz w:val="20"/>
          <w:szCs w:val="20"/>
          <w:i w:val="1"/>
          <w:iCs w:val="1"/>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Crystalizes Value Accretion at Approximately Triple Current Standalone Multiple</w:t>
      </w:r>
    </w:p>
    <w:p>
      <w:pPr>
        <w:spacing w:after="0" w:line="19" w:lineRule="exact"/>
        <w:rPr>
          <w:rFonts w:ascii="Arial" w:cs="Arial" w:eastAsia="Arial" w:hAnsi="Arial"/>
          <w:sz w:val="20"/>
          <w:szCs w:val="20"/>
          <w:color w:val="auto"/>
        </w:rPr>
      </w:pP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Nearly 2/3 in Immediate Cash Proceeds</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Additional Potential Upside Participation Through Equity Stake with Governance Participation</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Frees up R&amp;D and Capital Spend to Redeploy in a More Concentrated Way</w:t>
      </w:r>
    </w:p>
    <w:p>
      <w:pPr>
        <w:ind w:left="1300" w:right="760" w:hanging="320"/>
        <w:spacing w:after="0" w:line="239" w:lineRule="auto"/>
        <w:tabs>
          <w:tab w:leader="none" w:pos="1289"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Enhances Immediate Additional Availability of Capital to Accelerate Reinvestment into Business or Share Repurchases</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Accelerates Phase I Financial Commitments</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Reduces Complexity and Execution Risk</w:t>
      </w:r>
    </w:p>
    <w:p>
      <w:pPr>
        <w:ind w:left="1300" w:hanging="320"/>
        <w:spacing w:after="0"/>
        <w:tabs>
          <w:tab w:leader="none" w:pos="1300" w:val="left"/>
        </w:tabs>
        <w:numPr>
          <w:ilvl w:val="1"/>
          <w:numId w:val="3"/>
        </w:numPr>
        <w:rPr>
          <w:rFonts w:ascii="Arial" w:cs="Arial" w:eastAsia="Arial" w:hAnsi="Arial"/>
          <w:sz w:val="20"/>
          <w:szCs w:val="20"/>
          <w:color w:val="auto"/>
        </w:rPr>
      </w:pPr>
      <w:r>
        <w:rPr>
          <w:rFonts w:ascii="Arial" w:cs="Arial" w:eastAsia="Arial" w:hAnsi="Arial"/>
          <w:sz w:val="20"/>
          <w:szCs w:val="20"/>
          <w:i w:val="1"/>
          <w:iCs w:val="1"/>
          <w:color w:val="auto"/>
        </w:rPr>
        <w:t>Enhances Viatris’ Margin Profile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11" w:lineRule="exact"/>
        <w:rPr>
          <w:sz w:val="20"/>
          <w:szCs w:val="20"/>
          <w:color w:val="auto"/>
        </w:rPr>
      </w:pPr>
    </w:p>
    <w:p>
      <w:pPr>
        <w:ind w:firstLine="8"/>
        <w:spacing w:after="0" w:line="210" w:lineRule="auto"/>
        <w:tabs>
          <w:tab w:leader="none" w:pos="115"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Refers to 2022 estimated adjusted EBITDA of Viatris’ biosimilars portfolio of approximately $200 million. Viatris is not providing forward-looking estimates for any related U.S. GAAP measure, or a quantitative reconciliation of 2022 estimated biosimilars adjusted EBITDA. Please see "Non-GAAP Financial Measures" for additional information.</w:t>
      </w:r>
    </w:p>
    <w:p>
      <w:pPr>
        <w:sectPr>
          <w:pgSz w:w="11900" w:h="16838" w:orient="portrait"/>
          <w:cols w:equalWidth="0" w:num="1">
            <w:col w:w="11240"/>
          </w:cols>
          <w:pgMar w:left="320" w:top="1440" w:right="339" w:bottom="1440" w:gutter="0" w:footer="0" w:header="0"/>
        </w:sectPr>
      </w:pPr>
    </w:p>
    <w:bookmarkStart w:id="5" w:name="page6"/>
    <w:bookmarkEnd w:id="5"/>
    <w:p>
      <w:pPr>
        <w:ind w:left="660" w:right="280" w:hanging="328"/>
        <w:spacing w:after="0" w:line="267" w:lineRule="auto"/>
        <w:tabs>
          <w:tab w:leader="none" w:pos="648"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Reshaping Plan Also Identified Other Select Assets Which the Company Expects Will Unlock Additional Value of up to Approximately $6 billion in Pre-tax Proceeds by the End of 2023</w:t>
      </w:r>
    </w:p>
    <w:p>
      <w:pPr>
        <w:spacing w:after="0" w:line="163" w:lineRule="exact"/>
        <w:rPr>
          <w:rFonts w:ascii="Arial" w:cs="Arial" w:eastAsia="Arial" w:hAnsi="Arial"/>
          <w:sz w:val="20"/>
          <w:szCs w:val="20"/>
          <w:i w:val="1"/>
          <w:iCs w:val="1"/>
          <w:color w:val="auto"/>
        </w:rPr>
      </w:pPr>
    </w:p>
    <w:p>
      <w:pPr>
        <w:ind w:left="640" w:hanging="308"/>
        <w:spacing w:after="0"/>
        <w:tabs>
          <w:tab w:leader="none" w:pos="640"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Company Announces First Global Healthcare Gateway® Transaction Focused on Ophthalmology</w:t>
      </w:r>
    </w:p>
    <w:p>
      <w:pPr>
        <w:spacing w:after="0" w:line="215" w:lineRule="exact"/>
        <w:rPr>
          <w:rFonts w:ascii="Arial" w:cs="Arial" w:eastAsia="Arial" w:hAnsi="Arial"/>
          <w:sz w:val="20"/>
          <w:szCs w:val="20"/>
          <w:i w:val="1"/>
          <w:iCs w:val="1"/>
          <w:color w:val="auto"/>
        </w:rPr>
      </w:pPr>
    </w:p>
    <w:p>
      <w:pPr>
        <w:ind w:left="640" w:hanging="308"/>
        <w:spacing w:after="0"/>
        <w:tabs>
          <w:tab w:leader="none" w:pos="640"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Company Provides 2022 Financial Guidance</w:t>
      </w:r>
    </w:p>
    <w:p>
      <w:pPr>
        <w:spacing w:after="0" w:line="215" w:lineRule="exact"/>
        <w:rPr>
          <w:rFonts w:ascii="Arial" w:cs="Arial" w:eastAsia="Arial" w:hAnsi="Arial"/>
          <w:sz w:val="20"/>
          <w:szCs w:val="20"/>
          <w:i w:val="1"/>
          <w:iCs w:val="1"/>
          <w:color w:val="auto"/>
        </w:rPr>
      </w:pPr>
    </w:p>
    <w:p>
      <w:pPr>
        <w:ind w:left="640" w:hanging="308"/>
        <w:spacing w:after="0"/>
        <w:tabs>
          <w:tab w:leader="none" w:pos="640" w:val="left"/>
        </w:tabs>
        <w:numPr>
          <w:ilvl w:val="0"/>
          <w:numId w:val="5"/>
        </w:numPr>
        <w:rPr>
          <w:rFonts w:ascii="Arial" w:cs="Arial" w:eastAsia="Arial" w:hAnsi="Arial"/>
          <w:sz w:val="20"/>
          <w:szCs w:val="20"/>
          <w:i w:val="1"/>
          <w:iCs w:val="1"/>
          <w:color w:val="auto"/>
        </w:rPr>
      </w:pPr>
      <w:r>
        <w:rPr>
          <w:rFonts w:ascii="Arial" w:cs="Arial" w:eastAsia="Arial" w:hAnsi="Arial"/>
          <w:sz w:val="20"/>
          <w:szCs w:val="20"/>
          <w:i w:val="1"/>
          <w:iCs w:val="1"/>
          <w:color w:val="auto"/>
        </w:rPr>
        <w:t>Company Hosts Virtual Investor Event to Detail the Company’s Long-Term Strategic Direction</w:t>
      </w:r>
    </w:p>
    <w:p>
      <w:pPr>
        <w:spacing w:after="0" w:line="23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Viatris Inc. (NASDAQ: VTRS), a new kind of global healthcare company, today announced its fourth quarter and full year 2021 financial results, delivering strong performance on key measures. The Company met its financial commitments of paying down debt, initiating and raising a quarterly dividend and capturing approximately $500 million in synergies in 2021. Viatris delivered four quarters of strong financial performance in 2021, meeting or exceeding its financial guidance measures, delivering key pipeline milestones, including approximately $700 million in new product revenue, and generating strong cash flows.</w:t>
      </w:r>
    </w:p>
    <w:p>
      <w:pPr>
        <w:spacing w:after="0" w:line="232"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Company also announced today that following the completion of a comprehensive strategic review, it has taken the first bold step in its long-term strategy to unlock value and reshape the Company by reaching a definitive agreement with Biocon Biologics Limited (“Biocon Biologics”) to contribute its biosimilars portfolio to Biocon Biologics, which will become a uniquely positioned, vertically integrated company that we expect to be a global biosimilars leader. Upon closing, the transaction is expected to provide Viatris with immediate, enhanced financial flexibility, and accelerate its Phase I financial commitments. Viatris intends to continue to invest in expanding its commercial and scientific capabilities in key focus areas for the future, while continuing to participate in the global biosimilars market through its ownership position in Biocon Biologics.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agreement, Viatris will contribute to Biocon Biologics its biosimilars portfolio and related commercial and operational</w:t>
      </w:r>
    </w:p>
    <w:p>
      <w:pPr>
        <w:spacing w:after="0" w:line="204" w:lineRule="auto"/>
        <w:rPr>
          <w:sz w:val="20"/>
          <w:szCs w:val="20"/>
          <w:color w:val="auto"/>
        </w:rPr>
      </w:pPr>
      <w:r>
        <w:rPr>
          <w:rFonts w:ascii="Arial" w:cs="Arial" w:eastAsia="Arial" w:hAnsi="Arial"/>
          <w:sz w:val="18"/>
          <w:szCs w:val="18"/>
          <w:color w:val="auto"/>
        </w:rPr>
        <w:t>capabilities, amounting to 2022 estimated revenue of approximately $875 million</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2022 estimated adjusted EBITDA of approximately</w:t>
      </w:r>
    </w:p>
    <w:p>
      <w:pPr>
        <w:spacing w:after="0" w:line="205" w:lineRule="auto"/>
        <w:rPr>
          <w:sz w:val="20"/>
          <w:szCs w:val="20"/>
          <w:color w:val="auto"/>
        </w:rPr>
      </w:pPr>
      <w:r>
        <w:rPr>
          <w:rFonts w:ascii="Arial" w:cs="Arial" w:eastAsia="Arial" w:hAnsi="Arial"/>
          <w:sz w:val="17"/>
          <w:szCs w:val="17"/>
          <w:color w:val="auto"/>
        </w:rPr>
        <w:t>$200 million</w:t>
      </w:r>
      <w:r>
        <w:rPr>
          <w:rFonts w:ascii="Arial" w:cs="Arial" w:eastAsia="Arial" w:hAnsi="Arial"/>
          <w:sz w:val="22"/>
          <w:szCs w:val="22"/>
          <w:color w:val="auto"/>
          <w:vertAlign w:val="superscript"/>
        </w:rPr>
        <w:t>2</w:t>
      </w:r>
      <w:r>
        <w:rPr>
          <w:rFonts w:ascii="Arial" w:cs="Arial" w:eastAsia="Arial" w:hAnsi="Arial"/>
          <w:sz w:val="17"/>
          <w:szCs w:val="17"/>
          <w:color w:val="auto"/>
        </w:rPr>
        <w:t>, in exchange for pre-tax consideration of up to $3.335 billion, which represents a transaction multiple of 16.5x of estimated 2022</w:t>
      </w:r>
    </w:p>
    <w:p>
      <w:pPr>
        <w:spacing w:after="0"/>
        <w:rPr>
          <w:sz w:val="20"/>
          <w:szCs w:val="20"/>
          <w:color w:val="auto"/>
        </w:rPr>
      </w:pPr>
      <w:r>
        <w:rPr>
          <w:rFonts w:ascii="Arial" w:cs="Arial" w:eastAsia="Arial" w:hAnsi="Arial"/>
          <w:sz w:val="18"/>
          <w:szCs w:val="18"/>
          <w:color w:val="auto"/>
        </w:rPr>
        <w:t>biosimilars adjusted EBITDA.</w:t>
      </w:r>
    </w:p>
    <w:p>
      <w:pPr>
        <w:spacing w:after="0" w:line="25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At the time of close, which is currently expected to occur in the second half of 2022 subject to satisfaction of closing conditions, including certain regulatory approvals, Viatris will receive $3 billion in consideration in the form of a $2 billion cash payment and $ 1 billion of convertible preferred equity. The Company will also receive up to $335 million as additional cash payments that are expected to be paid in 2024. Viatris will own a stake of at least 12.9% of Biocon Biologics, on a fully diluted basis. Viatris will also have certain priority rights with respect to certain liquidity events.</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transaction documents, Biocon Biologics will target an initial public offering (IPO) in India as early as late 2023. Viatris also has the right to designate one member of the Biocon Biologics Board and intends to appoint its President, Rajiv Malik, to this seat. The companies will also enter into a Transition Services Agreement (“TSA”), pursuant to which Viatris will provide certain transition services for an expected two-year period, including commercialization services.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252" w:lineRule="exact"/>
        <w:rPr>
          <w:sz w:val="20"/>
          <w:szCs w:val="20"/>
          <w:color w:val="auto"/>
        </w:rPr>
      </w:pPr>
    </w:p>
    <w:p>
      <w:pPr>
        <w:ind w:right="400" w:firstLine="8"/>
        <w:spacing w:after="0" w:line="220" w:lineRule="auto"/>
        <w:tabs>
          <w:tab w:leader="none" w:pos="115"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Viatris is not providing forward-looking estimates for any related U.S. GAAP measure, or a quantitative reconciliation of 2022 estimated biosimilar adjusted EBITDA. Please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6" w:name="page7"/>
    <w:bookmarkEnd w:id="6"/>
    <w:p>
      <w:pPr>
        <w:spacing w:after="0" w:line="23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Viatris CEO Michael Goettler, Viatris President Rajiv Malik and Viatris CFO Sanjeev Narula will highlight the Biocon Biologics transaction as part of their vision for the overall future of Viatris and share the company's financial results for the fourth quarter and full year 2021 during a virtual Investor Event the morning of Monday, Feb. 28, 2022, beginning at 8:30 a.m. 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Executive Comments</w:t>
      </w:r>
    </w:p>
    <w:p>
      <w:pPr>
        <w:spacing w:after="0" w:line="8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Viatris Executive Chairman Robert J. Coury said: “The Board of Directors has worked closely and strategically with the management team to develop a future direction for Viatris that will not only unlock immediate value but will also create a simpler, stronger and more focused company. The Board is extremely pleased with the initiatives being announced today, which are consistent with our strategy of returning value to shareholders.”</w:t>
      </w:r>
    </w:p>
    <w:p>
      <w:pPr>
        <w:spacing w:after="0" w:line="23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Viatris CEO Michael Goettler said: “As promised, while delivering strong financial performance in our first year, we spent 2021 conducting a comprehensive strategic review of our entire business. Through that process, we have identified opportunities that we believe will generate up to approximately $9 billion in pre-tax proceeds, through the Biocon Biologics transaction and the divestment of assets that are non-core to our future. We believe that unlocking this value will give us significant financial flexibility to further reshape the Company, simplifying and optimizing our business, building a more durable higher-margin portfolio focused on three key therapeutic areas—ophthalmology, gastrointestinal, dermatology—and maximizing total shareholder return.”</w:t>
      </w:r>
    </w:p>
    <w:p>
      <w:pPr>
        <w:spacing w:after="0" w:line="23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Viatris President Rajiv Malik said: “Our successful collaboration with Biocon Limited, the majority shareholder of Biocon Biologics, began more than a decade ago and has a shared history of many accomplishments. This transaction is the right natural next step for our partnership. Creating what we expect to be a unique vertically integrated global biosimilars leader is a continuation of our biosimilars journey and enables us to participate in this space in a more optimized way while unlocking substantial trapped value. We believe we are well positioned to leverage the proceeds generated by the transaction with Biocon Biologics to increase our future R&amp;D investments. We are excited to continue our journey of moving up the value chain and leveraging our capabilities to focus on more complex and novel products. We believe that our robust R&amp;D engine and scientific capabilities combined with our proven results in delivering on our pipeline strongly positions us to bring medicines that target gaps in healthcare to patients around the world.”</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Viatris CFO Sanjeev Narula said: “Delivering on our financial commitments, further strengthening our balance sheet, and continuing to focus on cash flow generation will serve to enhance our financial flexibility as we reshape our company for the future. Our strong 2021 financial and operational performance provides a firm foundation from which to build upon and sets us up for a solid start in 2022. We believe that executing on our recently announced initiatives will not only unlock value and provide additional access to capital but will also accelerate our Phase I financial commitments, increase our investments into the business, while returning additional capital to our shareholders, including our announced Board authorization of a share repurchase program.”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Highlights of the Investor Event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Strategic Priorities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Unlock Trapped Value and Simplify the Business</w:t>
      </w:r>
    </w:p>
    <w:p>
      <w:pPr>
        <w:spacing w:after="0" w:line="18"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Through its comprehensive strategic review, conducted throughout 2021, the Company has identified opportunities that we believe will generate up to approximately $9 billion in pre-tax proceeds, through the Biocon Biologics transaction and the divestment of assets that are non-core to the future of Viatris. The Biocon Biologics transaction will enable the Company to immediately unlock value while also creating what we expect to be a unique vertically integrated global biosimilars leader that is well-positioned to compete in today’s environment. The Company expects to enter additional transactions that will similarly maximize and crystalize the value of other assets by the end of 2023. Viatris expects to continue to</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7" w:name="page8"/>
    <w:bookmarkEnd w:id="7"/>
    <w:p>
      <w:pPr>
        <w:ind w:right="200"/>
        <w:spacing w:after="0" w:line="261" w:lineRule="auto"/>
        <w:rPr>
          <w:sz w:val="20"/>
          <w:szCs w:val="20"/>
          <w:color w:val="auto"/>
        </w:rPr>
      </w:pPr>
      <w:r>
        <w:rPr>
          <w:rFonts w:ascii="Arial" w:cs="Arial" w:eastAsia="Arial" w:hAnsi="Arial"/>
          <w:sz w:val="18"/>
          <w:szCs w:val="18"/>
          <w:color w:val="auto"/>
        </w:rPr>
        <w:t>evolve its operating model, removing inefficiency and complexity within its portfolio and simplifying the organization and reducing execution risk.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a More Durable, Higher-Margin Portfolio</w:t>
      </w:r>
    </w:p>
    <w:p>
      <w:pPr>
        <w:spacing w:after="0" w:line="31"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Viatris believes that the financial flexibility achieved from unlocking value through the divestment of other select assets will enable the Company to build a more durable higher-margin portfolio characterized by additional investments in 505(b)(2)s and NCEs, globally defined key therapeutic areas, ophthalmology, gastrointestinal, and dermatology, and enhanced commercial and scientific capabilities. Viatris is committed to increasing investment in R&amp;D development to up to approximately 9% of total revenues by 2026 and will focus on business development through its Global Healthcare Gateway® to additionally drive our efforts.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 Financial Flexibility</w:t>
      </w:r>
    </w:p>
    <w:p>
      <w:pPr>
        <w:spacing w:after="0" w:line="31" w:lineRule="exact"/>
        <w:rPr>
          <w:sz w:val="20"/>
          <w:szCs w:val="20"/>
          <w:color w:val="auto"/>
        </w:rPr>
      </w:pPr>
    </w:p>
    <w:p>
      <w:pPr>
        <w:ind w:right="520"/>
        <w:spacing w:after="0" w:line="254" w:lineRule="auto"/>
        <w:rPr>
          <w:sz w:val="20"/>
          <w:szCs w:val="20"/>
          <w:color w:val="auto"/>
        </w:rPr>
      </w:pPr>
      <w:r>
        <w:rPr>
          <w:rFonts w:ascii="Arial" w:cs="Arial" w:eastAsia="Arial" w:hAnsi="Arial"/>
          <w:sz w:val="18"/>
          <w:szCs w:val="18"/>
          <w:color w:val="auto"/>
        </w:rPr>
        <w:t>Viatris believes its unlocking of value will accelerate the Company’s path to financial flexibility by enabling the Company to accelerate deleveraging, to return capital to shareholders through the potential for share repurchases and further dividend growth and to invest for growth by increasing investment in R&amp;D and engaging in targeted business development activities. As responsible stewards of capital allocation, the Company strives to ensure it is maximizing value for shareholders with every decision.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Share Repurchase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Viatris announced that its Board of Directors has authorized a share repurchase program of up to $1 billion.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2022 Financial Guidance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financial guidance measures for fiscal year 2022.</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is not providing forward-looking guidance for U.S. GAAP net earnings (loss) or a quantitative reconciliation of its 2022 adjusted EBITDA guidance to the most directly comparable U.S. GAAP measure, U.S. GAAP net earnings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 unreasonable effort. These items are uncertain, depend on various factors, and could have a material impact on U.S. GAAP reported results for the guidance period. U.S. GAAP net cash provided by operating activities for 2022 is estimated to be between $3.2 billion and $3.4 billion, with a midpoint of approximately $3.3 billion.</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2100" w:type="dxa"/>
            <w:vAlign w:val="bottom"/>
            <w:gridSpan w:val="3"/>
          </w:tcPr>
          <w:p>
            <w:pPr>
              <w:ind w:left="240"/>
              <w:spacing w:after="0"/>
              <w:rPr>
                <w:sz w:val="20"/>
                <w:szCs w:val="20"/>
                <w:color w:val="auto"/>
              </w:rPr>
            </w:pPr>
            <w:r>
              <w:rPr>
                <w:rFonts w:ascii="Arial" w:cs="Arial" w:eastAsia="Arial" w:hAnsi="Arial"/>
                <w:sz w:val="14"/>
                <w:szCs w:val="14"/>
                <w:b w:val="1"/>
                <w:bCs w:val="1"/>
                <w:color w:val="auto"/>
              </w:rPr>
              <w:t>2022 Guidance Range</w:t>
            </w:r>
          </w:p>
        </w:tc>
        <w:tc>
          <w:tcPr>
            <w:tcW w:w="1980" w:type="dxa"/>
            <w:vAlign w:val="bottom"/>
          </w:tcPr>
          <w:p>
            <w:pPr>
              <w:ind w:left="500"/>
              <w:spacing w:after="0"/>
              <w:rPr>
                <w:sz w:val="20"/>
                <w:szCs w:val="20"/>
                <w:color w:val="auto"/>
              </w:rPr>
            </w:pPr>
            <w:r>
              <w:rPr>
                <w:rFonts w:ascii="Arial" w:cs="Arial" w:eastAsia="Arial" w:hAnsi="Arial"/>
                <w:sz w:val="14"/>
                <w:szCs w:val="14"/>
                <w:b w:val="1"/>
                <w:bCs w:val="1"/>
                <w:color w:val="auto"/>
              </w:rPr>
              <w:t>2022 Midpoint</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$17.5</w:t>
            </w: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$17.25</w:t>
            </w:r>
          </w:p>
        </w:tc>
      </w:tr>
      <w:tr>
        <w:trPr>
          <w:trHeight w:val="216"/>
        </w:trPr>
        <w:tc>
          <w:tcPr>
            <w:tcW w:w="7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40" w:type="dxa"/>
            <w:vAlign w:val="bottom"/>
          </w:tcPr>
          <w:p>
            <w:pPr>
              <w:ind w:left="20"/>
              <w:spacing w:after="0"/>
              <w:rPr>
                <w:sz w:val="20"/>
                <w:szCs w:val="20"/>
                <w:color w:val="auto"/>
              </w:rPr>
            </w:pPr>
            <w:r>
              <w:rPr>
                <w:rFonts w:ascii="Arial" w:cs="Arial" w:eastAsia="Arial" w:hAnsi="Arial"/>
                <w:sz w:val="16"/>
                <w:szCs w:val="16"/>
                <w:color w:val="auto"/>
              </w:rPr>
              <w:t>- $6.2</w:t>
            </w: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6"/>
                <w:szCs w:val="16"/>
                <w:color w:val="auto"/>
                <w:w w:val="96"/>
              </w:rPr>
              <w:t>$6.0</w:t>
            </w:r>
          </w:p>
        </w:tc>
      </w:tr>
      <w:tr>
        <w:trPr>
          <w:trHeight w:val="216"/>
        </w:trPr>
        <w:tc>
          <w:tcPr>
            <w:tcW w:w="7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Free Cash Flow </w:t>
            </w:r>
            <w:r>
              <w:rPr>
                <w:rFonts w:ascii="Arial" w:cs="Arial" w:eastAsia="Arial" w:hAnsi="Arial"/>
                <w:sz w:val="21"/>
                <w:szCs w:val="21"/>
                <w:color w:val="auto"/>
                <w:vertAlign w:val="superscript"/>
              </w:rPr>
              <w:t>(1) (2)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w:t>
            </w:r>
          </w:p>
        </w:tc>
        <w:tc>
          <w:tcPr>
            <w:tcW w:w="120" w:type="dxa"/>
            <w:vAlign w:val="bottom"/>
            <w:shd w:val="clear" w:color="auto" w:fill="CCEEFF"/>
          </w:tcPr>
          <w:p>
            <w:pPr>
              <w:spacing w:after="0"/>
              <w:rPr>
                <w:sz w:val="18"/>
                <w:szCs w:val="18"/>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$2.7</w:t>
            </w:r>
          </w:p>
        </w:tc>
      </w:tr>
    </w:tbl>
    <w:p>
      <w:pPr>
        <w:spacing w:after="0" w:line="134" w:lineRule="exact"/>
        <w:rPr>
          <w:sz w:val="20"/>
          <w:szCs w:val="20"/>
          <w:color w:val="auto"/>
        </w:rPr>
      </w:pPr>
    </w:p>
    <w:p>
      <w:pPr>
        <w:ind w:left="540" w:hanging="208"/>
        <w:spacing w:after="0"/>
        <w:tabs>
          <w:tab w:leader="none" w:pos="5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59" w:lineRule="exact"/>
        <w:rPr>
          <w:rFonts w:ascii="Arial" w:cs="Arial" w:eastAsia="Arial" w:hAnsi="Arial"/>
          <w:sz w:val="19"/>
          <w:szCs w:val="19"/>
          <w:color w:val="auto"/>
          <w:vertAlign w:val="superscript"/>
        </w:rPr>
      </w:pPr>
    </w:p>
    <w:p>
      <w:pPr>
        <w:ind w:left="540" w:hanging="208"/>
        <w:spacing w:after="0" w:line="216" w:lineRule="auto"/>
        <w:tabs>
          <w:tab w:leader="none" w:pos="54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impact of EpiPen litigation settlement of $264 million.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First Global Healthcare Gateway® Transaction Focused on Ophthalmology</w:t>
      </w:r>
    </w:p>
    <w:p>
      <w:pPr>
        <w:spacing w:after="0" w:line="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Viatris has acquired rights to an exclusive license for Pimecrolimus ophthalmic ointment for the treatment of Blepharitis, a common type of eye irritation. Blepharitis is one of the most common ocular disorders in the world and affects approximately 6.5 million patients in the United States alone. Currently in the United States, there is no product specifically indicated for chronic Blepharitis. The Company believes that this agreement aligns with Viatris’ future strategic focus.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35" w:right="339" w:bottom="1440" w:gutter="0" w:footer="0" w:header="0"/>
        </w:sectPr>
      </w:pPr>
    </w:p>
    <w:bookmarkStart w:id="8" w:name="page9"/>
    <w:bookmarkEnd w:id="8"/>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EpiPen Settlement Information</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has agreed, subject to approval by the Court, to a $264 million settlement, while denying any allegation of wrongdoing, to resolve the EpiPen® Auto-Injector indirect purchaser class action cases pending in the U.S. District Court for the District of Kansas. The Company maintains that it acted lawfully and pro-competitively and the settlement contains no admission of liability. The Company recorded an accrual of approximately $264.0 million related to this litigation in 2021.</w:t>
      </w:r>
    </w:p>
    <w:p>
      <w:pPr>
        <w:spacing w:after="0" w:line="23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Board of Directors believes that this settlement is in the best interests of the Company and its stakeholders. The resolution of these indirect purchaser cases will allow the Company to move forward and continue focusing on its strategic priorities and its mission of empowering people worldwide to live healthier at every stage of life.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Webcast Information</w:t>
      </w:r>
    </w:p>
    <w:p>
      <w:pPr>
        <w:spacing w:after="0" w:line="8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Interested parties can access a live webcast of the Virtual Investor Event at investor.viatris.com. An archived version also will be available following the live event and can be accessed at the same location for a limited time.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Advisors</w:t>
      </w:r>
    </w:p>
    <w:p>
      <w:pPr>
        <w:spacing w:after="0" w:line="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PJT Partners provided strategic advice and acted as financial advisor to the Board of Directors and Company in relation to the Biocon Biologics transaction. AlixPartners acted as strategic advisor to the management team on Viatris’ comprehensive strategic review. Outside legal counsel was provided by Cravath, Swaine &amp; Moore LLP and Saraf &amp; Partners.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440"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4C16AE"/>
        </w:rPr>
        <w:t>Financial Summary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left="748"/>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51"/>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Reported</w:t>
            </w:r>
          </w:p>
        </w:tc>
        <w:tc>
          <w:tcPr>
            <w:tcW w:w="980" w:type="dxa"/>
            <w:vAlign w:val="bottom"/>
          </w:tcPr>
          <w:p>
            <w:pPr>
              <w:jc w:val="center"/>
              <w:ind w:right="51"/>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60" w:type="dxa"/>
            <w:vAlign w:val="bottom"/>
          </w:tcPr>
          <w:p>
            <w:pPr>
              <w:spacing w:after="0"/>
              <w:rPr>
                <w:sz w:val="11"/>
                <w:szCs w:val="11"/>
                <w:color w:val="auto"/>
              </w:rPr>
            </w:pPr>
          </w:p>
        </w:tc>
        <w:tc>
          <w:tcPr>
            <w:tcW w:w="8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980" w:type="dxa"/>
            <w:vAlign w:val="bottom"/>
          </w:tcPr>
          <w:p>
            <w:pPr>
              <w:jc w:val="center"/>
              <w:ind w:right="71"/>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5"/>
        </w:trPr>
        <w:tc>
          <w:tcPr>
            <w:tcW w:w="514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1"/>
              <w:spacing w:after="0" w:line="176" w:lineRule="exact"/>
              <w:rPr>
                <w:sz w:val="20"/>
                <w:szCs w:val="20"/>
                <w:color w:val="auto"/>
              </w:rPr>
            </w:pPr>
            <w:r>
              <w:rPr>
                <w:rFonts w:ascii="Arial" w:cs="Arial" w:eastAsia="Arial" w:hAnsi="Arial"/>
                <w:sz w:val="20"/>
                <w:szCs w:val="20"/>
                <w:b w:val="1"/>
                <w:bCs w:val="1"/>
                <w:color w:val="auto"/>
                <w:vertAlign w:val="subscript"/>
              </w:rPr>
              <w:t>Change</w:t>
            </w:r>
            <w:r>
              <w:rPr>
                <w:rFonts w:ascii="Arial" w:cs="Arial" w:eastAsia="Arial" w:hAnsi="Arial"/>
                <w:sz w:val="8"/>
                <w:szCs w:val="8"/>
                <w:b w:val="1"/>
                <w:bCs w:val="1"/>
                <w:color w:val="auto"/>
              </w:rPr>
              <w:t>(2)(3)</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20"/>
                <w:szCs w:val="20"/>
                <w:b w:val="1"/>
                <w:bCs w:val="1"/>
                <w:color w:val="auto"/>
                <w:vertAlign w:val="subscript"/>
              </w:rPr>
              <w:t>Change</w:t>
            </w:r>
            <w:r>
              <w:rPr>
                <w:rFonts w:ascii="Arial" w:cs="Arial" w:eastAsia="Arial" w:hAnsi="Arial"/>
                <w:sz w:val="8"/>
                <w:szCs w:val="8"/>
                <w:b w:val="1"/>
                <w:bCs w:val="1"/>
                <w:color w:val="auto"/>
              </w:rPr>
              <w:t>(2)(3)</w:t>
            </w:r>
          </w:p>
        </w:tc>
        <w:tc>
          <w:tcPr>
            <w:tcW w:w="0" w:type="dxa"/>
            <w:vAlign w:val="bottom"/>
          </w:tcPr>
          <w:p>
            <w:pPr>
              <w:spacing w:after="0"/>
              <w:rPr>
                <w:sz w:val="1"/>
                <w:szCs w:val="1"/>
                <w:color w:val="auto"/>
              </w:rPr>
            </w:pPr>
          </w:p>
        </w:tc>
      </w:tr>
      <w:tr>
        <w:trPr>
          <w:trHeight w:val="183"/>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4,331.3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3,587.7</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89"/>
        </w:trPr>
        <w:tc>
          <w:tcPr>
            <w:tcW w:w="514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2,560.8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2,378.6</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727.5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629.0</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51"/>
              <w:spacing w:after="0"/>
              <w:rPr>
                <w:sz w:val="20"/>
                <w:szCs w:val="20"/>
                <w:color w:val="auto"/>
              </w:rPr>
            </w:pPr>
            <w:r>
              <w:rPr>
                <w:rFonts w:ascii="Arial" w:cs="Arial" w:eastAsia="Arial" w:hAnsi="Arial"/>
                <w:sz w:val="14"/>
                <w:szCs w:val="14"/>
                <w:color w:val="auto"/>
              </w:rPr>
              <w:t>(8)%</w:t>
            </w:r>
          </w:p>
        </w:tc>
        <w:tc>
          <w:tcPr>
            <w:tcW w:w="13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5140" w:type="dxa"/>
            <w:vAlign w:val="bottom"/>
          </w:tcPr>
          <w:p>
            <w:pPr>
              <w:ind w:left="220"/>
              <w:spacing w:after="0"/>
              <w:rPr>
                <w:sz w:val="20"/>
                <w:szCs w:val="20"/>
                <w:color w:val="auto"/>
              </w:rPr>
            </w:pPr>
            <w:r>
              <w:rPr>
                <w:rFonts w:ascii="Arial" w:cs="Arial" w:eastAsia="Arial" w:hAnsi="Arial"/>
                <w:sz w:val="14"/>
                <w:szCs w:val="14"/>
                <w:color w:val="auto"/>
              </w:rPr>
              <w:t>JANZ</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539.2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389.5</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1"/>
              <w:spacing w:after="0"/>
              <w:rPr>
                <w:sz w:val="20"/>
                <w:szCs w:val="20"/>
                <w:color w:val="auto"/>
              </w:rPr>
            </w:pPr>
            <w:r>
              <w:rPr>
                <w:rFonts w:ascii="Arial" w:cs="Arial" w:eastAsia="Arial" w:hAnsi="Arial"/>
                <w:sz w:val="14"/>
                <w:szCs w:val="14"/>
                <w:color w:val="auto"/>
              </w:rPr>
              <w:t>(6)%</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190.6</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8"/>
              </w:rPr>
              <w:t>1%</w:t>
            </w:r>
          </w:p>
        </w:tc>
        <w:tc>
          <w:tcPr>
            <w:tcW w:w="13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20"/>
              <w:spacing w:after="0"/>
              <w:rPr>
                <w:sz w:val="20"/>
                <w:szCs w:val="20"/>
                <w:color w:val="auto"/>
              </w:rPr>
            </w:pPr>
            <w:r>
              <w:rPr>
                <w:rFonts w:ascii="Arial" w:cs="Arial" w:eastAsia="Arial" w:hAnsi="Arial"/>
                <w:sz w:val="14"/>
                <w:szCs w:val="14"/>
                <w:color w:val="auto"/>
              </w:rPr>
              <w:t>Brands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2,611.9</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1,859.0</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1"/>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348.4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338.8</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8"/>
              </w:rPr>
              <w:t>6%</w:t>
            </w:r>
          </w:p>
        </w:tc>
        <w:tc>
          <w:tcPr>
            <w:tcW w:w="13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6%</w:t>
            </w:r>
          </w:p>
        </w:tc>
        <w:tc>
          <w:tcPr>
            <w:tcW w:w="0" w:type="dxa"/>
            <w:vAlign w:val="bottom"/>
          </w:tcPr>
          <w:p>
            <w:pPr>
              <w:spacing w:after="0"/>
              <w:rPr>
                <w:sz w:val="1"/>
                <w:szCs w:val="1"/>
                <w:color w:val="auto"/>
              </w:rPr>
            </w:pPr>
          </w:p>
        </w:tc>
      </w:tr>
      <w:tr>
        <w:trPr>
          <w:trHeight w:val="189"/>
        </w:trPr>
        <w:tc>
          <w:tcPr>
            <w:tcW w:w="5140" w:type="dxa"/>
            <w:vAlign w:val="bottom"/>
          </w:tcPr>
          <w:p>
            <w:pPr>
              <w:ind w:left="220"/>
              <w:spacing w:after="0"/>
              <w:rPr>
                <w:sz w:val="20"/>
                <w:szCs w:val="20"/>
                <w:color w:val="auto"/>
              </w:rPr>
            </w:pPr>
            <w:r>
              <w:rPr>
                <w:rFonts w:ascii="Arial" w:cs="Arial" w:eastAsia="Arial" w:hAnsi="Arial"/>
                <w:sz w:val="14"/>
                <w:szCs w:val="14"/>
                <w:color w:val="auto"/>
              </w:rPr>
              <w:t>Generics</w:t>
            </w:r>
          </w:p>
        </w:tc>
        <w:tc>
          <w:tcPr>
            <w:tcW w:w="260" w:type="dxa"/>
            <w:vAlign w:val="bottom"/>
          </w:tcPr>
          <w:p>
            <w:pPr>
              <w:spacing w:after="0"/>
              <w:rPr>
                <w:sz w:val="16"/>
                <w:szCs w:val="16"/>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1,371.0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1,389.9</w:t>
            </w:r>
          </w:p>
        </w:tc>
        <w:tc>
          <w:tcPr>
            <w:tcW w:w="1140" w:type="dxa"/>
            <w:vAlign w:val="bottom"/>
            <w:gridSpan w:val="2"/>
          </w:tcPr>
          <w:p>
            <w:pPr>
              <w:jc w:val="center"/>
              <w:ind w:lef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1"/>
              <w:spacing w:after="0"/>
              <w:rPr>
                <w:sz w:val="20"/>
                <w:szCs w:val="20"/>
                <w:color w:val="auto"/>
              </w:rPr>
            </w:pPr>
            <w:r>
              <w:rPr>
                <w:rFonts w:ascii="Arial" w:cs="Arial" w:eastAsia="Arial" w:hAnsi="Arial"/>
                <w:sz w:val="14"/>
                <w:szCs w:val="14"/>
                <w:color w:val="auto"/>
              </w:rPr>
              <w:t>(3)%</w:t>
            </w:r>
          </w:p>
        </w:tc>
        <w:tc>
          <w:tcPr>
            <w:tcW w:w="1340" w:type="dxa"/>
            <w:vAlign w:val="bottom"/>
            <w:gridSpan w:val="2"/>
          </w:tcPr>
          <w:p>
            <w:pPr>
              <w:jc w:val="center"/>
              <w:ind w:lef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1,546.4</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706.4</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19.5 %</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2,458.7</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1,902.2</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29%</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56.6 %</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(263.8)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(915.8)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971.7</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650.6</w:t>
            </w:r>
          </w:p>
        </w:tc>
        <w:tc>
          <w:tcPr>
            <w:tcW w:w="1140" w:type="dxa"/>
            <w:vAlign w:val="bottom"/>
            <w:gridSpan w:val="2"/>
          </w:tcPr>
          <w:p>
            <w:pPr>
              <w:jc w:val="center"/>
              <w:ind w:left="28"/>
              <w:spacing w:after="0"/>
              <w:rPr>
                <w:sz w:val="20"/>
                <w:szCs w:val="20"/>
                <w:color w:val="auto"/>
              </w:rPr>
            </w:pPr>
            <w:r>
              <w:rPr>
                <w:rFonts w:ascii="Arial" w:cs="Arial" w:eastAsia="Arial" w:hAnsi="Arial"/>
                <w:sz w:val="14"/>
                <w:szCs w:val="14"/>
                <w:color w:val="auto"/>
                <w:w w:val="99"/>
              </w:rPr>
              <w:t>49%</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703.8</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1,415.8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1,015.1</w:t>
            </w:r>
          </w:p>
        </w:tc>
        <w:tc>
          <w:tcPr>
            <w:tcW w:w="11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9"/>
              </w:rPr>
              <w:t>39%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ind w:right="71"/>
              <w:spacing w:after="0"/>
              <w:rPr>
                <w:sz w:val="20"/>
                <w:szCs w:val="20"/>
                <w:color w:val="auto"/>
              </w:rPr>
            </w:pPr>
            <w:r>
              <w:rPr>
                <w:rFonts w:ascii="Arial" w:cs="Arial" w:eastAsia="Arial" w:hAnsi="Arial"/>
                <w:sz w:val="14"/>
                <w:szCs w:val="14"/>
                <w:color w:val="auto"/>
                <w:w w:val="98"/>
              </w:rPr>
              <w:t>6%</w:t>
            </w:r>
          </w:p>
        </w:tc>
        <w:tc>
          <w:tcPr>
            <w:tcW w:w="13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7%</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523.1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197.4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116.9</w:t>
            </w:r>
          </w:p>
        </w:tc>
        <w:tc>
          <w:tcPr>
            <w:tcW w:w="1140" w:type="dxa"/>
            <w:vAlign w:val="bottom"/>
            <w:tcBorders>
              <w:bottom w:val="single" w:sz="8" w:color="CCEEFF"/>
            </w:tcBorders>
            <w:gridSpan w:val="2"/>
          </w:tcPr>
          <w:p>
            <w:pPr>
              <w:jc w:val="center"/>
              <w:ind w:left="28"/>
              <w:spacing w:after="0"/>
              <w:rPr>
                <w:sz w:val="20"/>
                <w:szCs w:val="20"/>
                <w:color w:val="auto"/>
              </w:rPr>
            </w:pPr>
            <w:r>
              <w:rPr>
                <w:rFonts w:ascii="Arial" w:cs="Arial" w:eastAsia="Arial" w:hAnsi="Arial"/>
                <w:sz w:val="14"/>
                <w:szCs w:val="14"/>
                <w:color w:val="auto"/>
                <w:w w:val="99"/>
              </w:rPr>
              <w:t>69%</w:t>
            </w:r>
          </w:p>
        </w:tc>
        <w:tc>
          <w:tcPr>
            <w:tcW w:w="100" w:type="dxa"/>
            <w:vAlign w:val="bottom"/>
            <w:tcBorders>
              <w:bottom w:val="single" w:sz="8" w:color="DBDBDB"/>
            </w:tcBorders>
            <w:shd w:val="clear" w:color="auto" w:fill="DBDBDB"/>
          </w:tcPr>
          <w:p>
            <w:pPr>
              <w:spacing w:after="0"/>
              <w:rPr>
                <w:sz w:val="16"/>
                <w:szCs w:val="16"/>
                <w:color w:val="auto"/>
              </w:rPr>
            </w:pPr>
          </w:p>
        </w:tc>
        <w:tc>
          <w:tcPr>
            <w:tcW w:w="140" w:type="dxa"/>
            <w:vAlign w:val="bottom"/>
            <w:tcBorders>
              <w:bottom w:val="single" w:sz="8" w:color="DBDBDB"/>
            </w:tcBorders>
            <w:shd w:val="clear" w:color="auto" w:fill="DBDBDB"/>
          </w:tcPr>
          <w:p>
            <w:pPr>
              <w:spacing w:after="0"/>
              <w:rPr>
                <w:sz w:val="16"/>
                <w:szCs w:val="16"/>
                <w:color w:val="auto"/>
              </w:rPr>
            </w:pPr>
          </w:p>
        </w:tc>
        <w:tc>
          <w:tcPr>
            <w:tcW w:w="9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4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325.7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(80.7)</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0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w:t>
            </w:r>
          </w:p>
        </w:tc>
        <w:tc>
          <w:tcPr>
            <w:tcW w:w="120" w:type="dxa"/>
            <w:vAlign w:val="bottom"/>
          </w:tcPr>
          <w:p>
            <w:pPr>
              <w:spacing w:after="0"/>
              <w:rPr>
                <w:sz w:val="12"/>
                <w:szCs w:val="12"/>
                <w:color w:val="auto"/>
              </w:rPr>
            </w:pPr>
          </w:p>
        </w:tc>
        <w:tc>
          <w:tcPr>
            <w:tcW w:w="12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Combined LOE</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%s)</w:t>
            </w:r>
          </w:p>
        </w:tc>
        <w:tc>
          <w:tcPr>
            <w:tcW w:w="24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12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76"/>
        </w:trPr>
        <w:tc>
          <w:tcPr>
            <w:tcW w:w="5080" w:type="dxa"/>
            <w:vAlign w:val="bottom"/>
            <w:tcBorders>
              <w:bottom w:val="single" w:sz="8" w:color="CCEEFF"/>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6"/>
              </w:rPr>
              <w:t>Change</w:t>
            </w:r>
            <w:r>
              <w:rPr>
                <w:rFonts w:ascii="Arial" w:cs="Arial" w:eastAsia="Arial" w:hAnsi="Arial"/>
                <w:sz w:val="18"/>
                <w:szCs w:val="18"/>
                <w:b w:val="1"/>
                <w:bCs w:val="1"/>
                <w:color w:val="auto"/>
                <w:w w:val="96"/>
                <w:vertAlign w:val="superscript"/>
              </w:rPr>
              <w:t>(1)</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1"/>
              </w:rPr>
              <w:t>Change</w:t>
            </w:r>
            <w:r>
              <w:rPr>
                <w:rFonts w:ascii="Arial" w:cs="Arial" w:eastAsia="Arial" w:hAnsi="Arial"/>
                <w:sz w:val="18"/>
                <w:szCs w:val="18"/>
                <w:b w:val="1"/>
                <w:bCs w:val="1"/>
                <w:color w:val="auto"/>
                <w:w w:val="91"/>
                <w:vertAlign w:val="superscript"/>
              </w:rPr>
              <w:t>(2)(3)</w:t>
            </w:r>
          </w:p>
        </w:tc>
        <w:tc>
          <w:tcPr>
            <w:tcW w:w="1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4"/>
              </w:rPr>
              <w:t>Change</w:t>
            </w:r>
            <w:r>
              <w:rPr>
                <w:rFonts w:ascii="Arial" w:cs="Arial" w:eastAsia="Arial" w:hAnsi="Arial"/>
                <w:sz w:val="18"/>
                <w:szCs w:val="18"/>
                <w:b w:val="1"/>
                <w:bCs w:val="1"/>
                <w:color w:val="auto"/>
                <w:w w:val="94"/>
                <w:vertAlign w:val="superscript"/>
              </w:rPr>
              <w:t>(2)(3)</w:t>
            </w: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Sales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17,813.6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11,819.9</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51%</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189"/>
        </w:trPr>
        <w:tc>
          <w:tcPr>
            <w:tcW w:w="5080" w:type="dxa"/>
            <w:vAlign w:val="bottom"/>
          </w:tcPr>
          <w:p>
            <w:pPr>
              <w:ind w:left="220"/>
              <w:spacing w:after="0"/>
              <w:rPr>
                <w:sz w:val="20"/>
                <w:szCs w:val="20"/>
                <w:color w:val="auto"/>
              </w:rPr>
            </w:pPr>
            <w:r>
              <w:rPr>
                <w:rFonts w:ascii="Arial" w:cs="Arial" w:eastAsia="Arial" w:hAnsi="Arial"/>
                <w:sz w:val="14"/>
                <w:szCs w:val="14"/>
                <w:color w:val="auto"/>
              </w:rPr>
              <w:t>Developed Markets</w:t>
            </w:r>
          </w:p>
        </w:tc>
        <w:tc>
          <w:tcPr>
            <w:tcW w:w="2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10,428.7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8,510.9</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23%</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w:t>
            </w:r>
          </w:p>
        </w:tc>
        <w:tc>
          <w:tcPr>
            <w:tcW w:w="1340" w:type="dxa"/>
            <w:vAlign w:val="bottom"/>
            <w:gridSpan w:val="2"/>
          </w:tcPr>
          <w:p>
            <w:pPr>
              <w:jc w:val="center"/>
              <w:ind w:lef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Emerging Markets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3,144.7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1,853.8</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70%</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13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80" w:type="dxa"/>
            <w:vAlign w:val="bottom"/>
          </w:tcPr>
          <w:p>
            <w:pPr>
              <w:ind w:left="220"/>
              <w:spacing w:after="0"/>
              <w:rPr>
                <w:sz w:val="20"/>
                <w:szCs w:val="20"/>
                <w:color w:val="auto"/>
              </w:rPr>
            </w:pPr>
            <w:r>
              <w:rPr>
                <w:rFonts w:ascii="Arial" w:cs="Arial" w:eastAsia="Arial" w:hAnsi="Arial"/>
                <w:sz w:val="14"/>
                <w:szCs w:val="14"/>
                <w:color w:val="auto"/>
              </w:rPr>
              <w:t>JANZ</w:t>
            </w:r>
          </w:p>
        </w:tc>
        <w:tc>
          <w:tcPr>
            <w:tcW w:w="2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2,027.4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1,195.3</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70%</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(18)%</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9%</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Greater China</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2,212.8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nm</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3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 by Product Category</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20"/>
              <w:spacing w:after="0"/>
              <w:rPr>
                <w:sz w:val="20"/>
                <w:szCs w:val="20"/>
                <w:color w:val="auto"/>
              </w:rPr>
            </w:pPr>
            <w:r>
              <w:rPr>
                <w:rFonts w:ascii="Arial" w:cs="Arial" w:eastAsia="Arial" w:hAnsi="Arial"/>
                <w:sz w:val="14"/>
                <w:szCs w:val="14"/>
                <w:color w:val="auto"/>
              </w:rPr>
              <w:t>Brands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10,841.3</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5,234.9</w:t>
            </w:r>
          </w:p>
        </w:tc>
        <w:tc>
          <w:tcPr>
            <w:tcW w:w="100" w:type="dxa"/>
            <w:vAlign w:val="bottom"/>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1180" w:type="dxa"/>
            <w:vAlign w:val="bottom"/>
          </w:tcPr>
          <w:p>
            <w:pPr>
              <w:jc w:val="center"/>
              <w:spacing w:after="0"/>
              <w:rPr>
                <w:sz w:val="20"/>
                <w:szCs w:val="20"/>
                <w:color w:val="auto"/>
              </w:rPr>
            </w:pPr>
            <w:r>
              <w:rPr>
                <w:rFonts w:ascii="Arial" w:cs="Arial" w:eastAsia="Arial" w:hAnsi="Arial"/>
                <w:sz w:val="14"/>
                <w:szCs w:val="14"/>
                <w:color w:val="auto"/>
              </w:rPr>
              <w:t>(5)%</w:t>
            </w:r>
          </w:p>
        </w:tc>
        <w:tc>
          <w:tcPr>
            <w:tcW w:w="1340" w:type="dxa"/>
            <w:vAlign w:val="bottom"/>
            <w:gridSpan w:val="2"/>
          </w:tcPr>
          <w:p>
            <w:pPr>
              <w:jc w:val="center"/>
              <w:ind w:left="28"/>
              <w:spacing w:after="0"/>
              <w:rPr>
                <w:sz w:val="20"/>
                <w:szCs w:val="20"/>
                <w:color w:val="auto"/>
              </w:rPr>
            </w:pPr>
            <w:r>
              <w:rPr>
                <w:rFonts w:ascii="Arial" w:cs="Arial" w:eastAsia="Arial" w:hAnsi="Arial"/>
                <w:sz w:val="14"/>
                <w:szCs w:val="14"/>
                <w:color w:val="auto"/>
                <w:w w:val="98"/>
              </w:rPr>
              <w:t>1%</w:t>
            </w: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Complex Gx and Biosimilars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1,342.1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1,295.5</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8"/>
              </w:rPr>
              <w:t>4%</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3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8"/>
              </w:rPr>
              <w:t>3%</w:t>
            </w:r>
          </w:p>
        </w:tc>
        <w:tc>
          <w:tcPr>
            <w:tcW w:w="0" w:type="dxa"/>
            <w:vAlign w:val="bottom"/>
          </w:tcPr>
          <w:p>
            <w:pPr>
              <w:spacing w:after="0"/>
              <w:rPr>
                <w:sz w:val="1"/>
                <w:szCs w:val="1"/>
                <w:color w:val="auto"/>
              </w:rPr>
            </w:pPr>
          </w:p>
        </w:tc>
      </w:tr>
      <w:tr>
        <w:trPr>
          <w:trHeight w:val="189"/>
        </w:trPr>
        <w:tc>
          <w:tcPr>
            <w:tcW w:w="5080" w:type="dxa"/>
            <w:vAlign w:val="bottom"/>
          </w:tcPr>
          <w:p>
            <w:pPr>
              <w:ind w:left="220"/>
              <w:spacing w:after="0"/>
              <w:rPr>
                <w:sz w:val="20"/>
                <w:szCs w:val="20"/>
                <w:color w:val="auto"/>
              </w:rPr>
            </w:pPr>
            <w:r>
              <w:rPr>
                <w:rFonts w:ascii="Arial" w:cs="Arial" w:eastAsia="Arial" w:hAnsi="Arial"/>
                <w:sz w:val="14"/>
                <w:szCs w:val="14"/>
                <w:color w:val="auto"/>
              </w:rPr>
              <w:t>Generics</w:t>
            </w:r>
          </w:p>
        </w:tc>
        <w:tc>
          <w:tcPr>
            <w:tcW w:w="24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5,630.2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5,289.5</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8"/>
              </w:rPr>
              <w:t>6%</w:t>
            </w:r>
          </w:p>
        </w:tc>
        <w:tc>
          <w:tcPr>
            <w:tcW w:w="1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(2)%</w:t>
            </w:r>
          </w:p>
        </w:tc>
        <w:tc>
          <w:tcPr>
            <w:tcW w:w="1340" w:type="dxa"/>
            <w:vAlign w:val="bottom"/>
            <w:gridSpan w:val="2"/>
          </w:tcPr>
          <w:p>
            <w:pPr>
              <w:jc w:val="center"/>
              <w:ind w:lef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rPr>
                <w:sz w:val="20"/>
                <w:szCs w:val="20"/>
                <w:color w:val="auto"/>
              </w:rPr>
            </w:pPr>
            <w:r>
              <w:rPr>
                <w:rFonts w:ascii="Arial" w:cs="Arial" w:eastAsia="Arial" w:hAnsi="Arial"/>
                <w:sz w:val="14"/>
                <w:szCs w:val="14"/>
                <w:color w:val="auto"/>
              </w:rPr>
              <w:t>U.S. GAAP Gross Profit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5,575.5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3,796.7</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47%</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Gross Margin</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31.8 %</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10,499.1</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6,394.5</w:t>
            </w:r>
          </w:p>
        </w:tc>
        <w:tc>
          <w:tcPr>
            <w:tcW w:w="1120" w:type="dxa"/>
            <w:vAlign w:val="bottom"/>
            <w:gridSpan w:val="2"/>
          </w:tcPr>
          <w:p>
            <w:pPr>
              <w:jc w:val="center"/>
              <w:ind w:left="48"/>
              <w:spacing w:after="0"/>
              <w:rPr>
                <w:sz w:val="20"/>
                <w:szCs w:val="20"/>
                <w:color w:val="auto"/>
              </w:rPr>
            </w:pPr>
            <w:r>
              <w:rPr>
                <w:rFonts w:ascii="Arial" w:cs="Arial" w:eastAsia="Arial" w:hAnsi="Arial"/>
                <w:sz w:val="14"/>
                <w:szCs w:val="14"/>
                <w:color w:val="auto"/>
                <w:w w:val="99"/>
              </w:rPr>
              <w:t>64%</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(4)</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58.7 %</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53.5 %</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Loss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(1,269.1)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(669.9)</w:t>
            </w:r>
          </w:p>
        </w:tc>
        <w:tc>
          <w:tcPr>
            <w:tcW w:w="11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Net Earnings </w:t>
            </w:r>
            <w:r>
              <w:rPr>
                <w:rFonts w:ascii="Arial" w:cs="Arial" w:eastAsia="Arial" w:hAnsi="Arial"/>
                <w:sz w:val="18"/>
                <w:szCs w:val="18"/>
                <w:color w:val="auto"/>
                <w:vertAlign w:val="superscript"/>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4,467.8</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2,371.8</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18"/>
                <w:szCs w:val="18"/>
                <w:color w:val="auto"/>
                <w:vertAlign w:val="superscript"/>
              </w:rPr>
              <w:t>(4)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4,540.2</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2,041.1</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 xml:space="preserve">Adjusted EBITDA </w:t>
            </w:r>
            <w:r>
              <w:rPr>
                <w:rFonts w:ascii="Arial" w:cs="Arial" w:eastAsia="Arial" w:hAnsi="Arial"/>
                <w:sz w:val="18"/>
                <w:szCs w:val="18"/>
                <w:color w:val="auto"/>
                <w:vertAlign w:val="superscript"/>
              </w:rPr>
              <w:t>(4)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6,426.1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3,654.1</w:t>
            </w:r>
          </w:p>
        </w:tc>
        <w:tc>
          <w:tcPr>
            <w:tcW w:w="11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9"/>
              </w:rPr>
              <w:t>76%</w:t>
            </w: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34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GAAP net cash provided by operating activities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3,016.9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1,231.8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6"/>
                <w:szCs w:val="16"/>
                <w:color w:val="auto"/>
              </w:rPr>
            </w:pPr>
          </w:p>
        </w:tc>
        <w:tc>
          <w:tcPr>
            <w:tcW w:w="11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Capital expenditures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457.2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243.0</w:t>
            </w:r>
          </w:p>
        </w:tc>
        <w:tc>
          <w:tcPr>
            <w:tcW w:w="112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9"/>
              </w:rPr>
              <w:t>88%</w:t>
            </w:r>
          </w:p>
        </w:tc>
        <w:tc>
          <w:tcPr>
            <w:tcW w:w="120" w:type="dxa"/>
            <w:vAlign w:val="bottom"/>
            <w:tcBorders>
              <w:bottom w:val="single" w:sz="8" w:color="DBDBDB"/>
            </w:tcBorders>
            <w:shd w:val="clear" w:color="auto" w:fill="DBDBDB"/>
          </w:tcPr>
          <w:p>
            <w:pPr>
              <w:spacing w:after="0"/>
              <w:rPr>
                <w:sz w:val="16"/>
                <w:szCs w:val="16"/>
                <w:color w:val="auto"/>
              </w:rPr>
            </w:pPr>
          </w:p>
        </w:tc>
        <w:tc>
          <w:tcPr>
            <w:tcW w:w="1180" w:type="dxa"/>
            <w:vAlign w:val="bottom"/>
            <w:tcBorders>
              <w:bottom w:val="single" w:sz="8" w:color="DBDBDB"/>
            </w:tcBorders>
            <w:shd w:val="clear" w:color="auto" w:fill="DBDBDB"/>
          </w:tcPr>
          <w:p>
            <w:pPr>
              <w:spacing w:after="0"/>
              <w:rPr>
                <w:sz w:val="16"/>
                <w:szCs w:val="16"/>
                <w:color w:val="auto"/>
              </w:rPr>
            </w:pPr>
          </w:p>
        </w:tc>
        <w:tc>
          <w:tcPr>
            <w:tcW w:w="120" w:type="dxa"/>
            <w:vAlign w:val="bottom"/>
            <w:tcBorders>
              <w:bottom w:val="single" w:sz="8" w:color="DBDBDB"/>
            </w:tcBorders>
            <w:shd w:val="clear" w:color="auto" w:fill="DBDBDB"/>
          </w:tcPr>
          <w:p>
            <w:pPr>
              <w:spacing w:after="0"/>
              <w:rPr>
                <w:sz w:val="16"/>
                <w:szCs w:val="16"/>
                <w:color w:val="auto"/>
              </w:rPr>
            </w:pPr>
          </w:p>
        </w:tc>
        <w:tc>
          <w:tcPr>
            <w:tcW w:w="1220" w:type="dxa"/>
            <w:vAlign w:val="bottom"/>
            <w:tcBorders>
              <w:bottom w:val="single" w:sz="8" w:color="DBDBDB"/>
            </w:tcBorders>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080" w:type="dxa"/>
            <w:vAlign w:val="bottom"/>
            <w:shd w:val="clear" w:color="auto" w:fill="CCEEFF"/>
          </w:tcPr>
          <w:p>
            <w:pPr>
              <w:ind w:left="20"/>
              <w:spacing w:after="0" w:line="182" w:lineRule="exact"/>
              <w:rPr>
                <w:sz w:val="20"/>
                <w:szCs w:val="20"/>
                <w:color w:val="auto"/>
              </w:rPr>
            </w:pPr>
            <w:r>
              <w:rPr>
                <w:rFonts w:ascii="Arial" w:cs="Arial" w:eastAsia="Arial" w:hAnsi="Arial"/>
                <w:sz w:val="14"/>
                <w:szCs w:val="14"/>
                <w:color w:val="auto"/>
              </w:rPr>
              <w:t xml:space="preserve">Free cash flow </w:t>
            </w:r>
            <w:r>
              <w:rPr>
                <w:rFonts w:ascii="Arial" w:cs="Arial" w:eastAsia="Arial" w:hAnsi="Arial"/>
                <w:sz w:val="18"/>
                <w:szCs w:val="18"/>
                <w:color w:val="auto"/>
                <w:vertAlign w:val="superscript"/>
              </w:rPr>
              <w:t>(4)</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2,559.7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988.8</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1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36" w:lineRule="exact"/>
        <w:rPr>
          <w:sz w:val="20"/>
          <w:szCs w:val="20"/>
          <w:color w:val="auto"/>
        </w:rPr>
      </w:pPr>
    </w:p>
    <w:p>
      <w:pPr>
        <w:ind w:left="660" w:hanging="328"/>
        <w:spacing w:after="0" w:line="258" w:lineRule="auto"/>
        <w:tabs>
          <w:tab w:leader="none" w:pos="653" w:val="left"/>
        </w:tabs>
        <w:numPr>
          <w:ilvl w:val="0"/>
          <w:numId w:val="8"/>
        </w:numPr>
        <w:rPr>
          <w:rFonts w:ascii="Arial" w:cs="Arial" w:eastAsia="Arial" w:hAnsi="Arial"/>
          <w:sz w:val="9"/>
          <w:szCs w:val="9"/>
          <w:color w:val="auto"/>
        </w:rPr>
      </w:pPr>
      <w:r>
        <w:rPr>
          <w:rFonts w:ascii="Arial" w:cs="Arial" w:eastAsia="Arial" w:hAnsi="Arial"/>
          <w:sz w:val="14"/>
          <w:szCs w:val="14"/>
          <w:color w:val="auto"/>
        </w:rPr>
        <w:t>Mylan is the accounting acquiror in the combination of Mylan N.V. with Pfizer Inc.'s Upjohn business, which was completed on November 16, 2020, and therefore the historical financial statements of Mylan for periods prior to the combination are considered to be the historical financial statements of Viatris.</w:t>
      </w:r>
    </w:p>
    <w:p>
      <w:pPr>
        <w:spacing w:after="0" w:line="31" w:lineRule="exact"/>
        <w:rPr>
          <w:rFonts w:ascii="Arial" w:cs="Arial" w:eastAsia="Arial" w:hAnsi="Arial"/>
          <w:sz w:val="9"/>
          <w:szCs w:val="9"/>
          <w:color w:val="auto"/>
        </w:rPr>
      </w:pPr>
    </w:p>
    <w:p>
      <w:pPr>
        <w:ind w:left="640" w:hanging="308"/>
        <w:spacing w:after="0"/>
        <w:tabs>
          <w:tab w:leader="none" w:pos="640"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operational change for net sales. See “Certain Key Terms” in this release for more information.</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8"/>
        </w:numPr>
        <w:rPr>
          <w:rFonts w:ascii="Arial" w:cs="Arial" w:eastAsia="Arial" w:hAnsi="Arial"/>
          <w:sz w:val="9"/>
          <w:szCs w:val="9"/>
          <w:color w:val="auto"/>
        </w:rPr>
      </w:pPr>
      <w:r>
        <w:rPr>
          <w:rFonts w:ascii="Arial" w:cs="Arial" w:eastAsia="Arial" w:hAnsi="Arial"/>
          <w:sz w:val="14"/>
          <w:szCs w:val="14"/>
          <w:color w:val="auto"/>
        </w:rPr>
        <w:t>See “Certain Key Terms” for more information about Combined Adjusted Q4 and FY 2020 results and Combined LOE Adjusted Q4 and FY 2020 results.</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8"/>
        </w:numPr>
        <w:rPr>
          <w:rFonts w:ascii="Arial" w:cs="Arial" w:eastAsia="Arial" w:hAnsi="Arial"/>
          <w:sz w:val="9"/>
          <w:szCs w:val="9"/>
          <w:color w:val="auto"/>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3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4C16AE"/>
        </w:rPr>
        <w:t>Fourth Quarter Highlights</w:t>
      </w:r>
    </w:p>
    <w:p>
      <w:pPr>
        <w:spacing w:after="0" w:line="153" w:lineRule="exact"/>
        <w:rPr>
          <w:sz w:val="20"/>
          <w:szCs w:val="20"/>
          <w:color w:val="auto"/>
        </w:rPr>
      </w:pPr>
    </w:p>
    <w:p>
      <w:pPr>
        <w:ind w:left="340" w:right="20" w:hanging="332"/>
        <w:spacing w:after="0" w:line="256"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Fourth quarter 2021 net sales totaled $4.33 billion, down 2% on an operational basis compared to combined adjusted Q4 2020 results, but flat on an operational basis compared to combined LOE adjusted Q4 2020 results, and performed better than expectations, driven by solid performance across all four of our segments—Developed Markets, Emerging Markets, JANZ, and Greater China.</w:t>
      </w:r>
    </w:p>
    <w:p>
      <w:pPr>
        <w:spacing w:after="0" w:line="201"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Brands performed on track with expectations, driven by products such as Lipitor®, Lyrica® and the Thrombosis portfolio.</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Complex generics and biosimilars delivered strong growth while managing competition on Wixela Inhub® and Xulane®.</w:t>
      </w:r>
    </w:p>
    <w:p>
      <w:pPr>
        <w:spacing w:after="0" w:line="225" w:lineRule="exact"/>
        <w:rPr>
          <w:rFonts w:ascii="Arial" w:cs="Arial" w:eastAsia="Arial" w:hAnsi="Arial"/>
          <w:sz w:val="18"/>
          <w:szCs w:val="18"/>
          <w:color w:val="auto"/>
        </w:rPr>
      </w:pPr>
    </w:p>
    <w:p>
      <w:pPr>
        <w:ind w:left="34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Generics, which include diversified product forms such as extended-release oral solids, injectables, transdermals and topicals, performed better than expected, driven primarily by favorability in the JANZ and Emerging Markets segments.</w:t>
      </w:r>
    </w:p>
    <w:p>
      <w:pPr>
        <w:spacing w:after="0" w:line="197"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generated $117 million in new product revenues (as defined in "Certain Key Terms" below) in the fourth quarter.</w:t>
      </w:r>
    </w:p>
    <w:p>
      <w:pPr>
        <w:spacing w:after="0" w:line="225" w:lineRule="exact"/>
        <w:rPr>
          <w:rFonts w:ascii="Arial" w:cs="Arial" w:eastAsia="Arial" w:hAnsi="Arial"/>
          <w:sz w:val="18"/>
          <w:szCs w:val="18"/>
          <w:color w:val="auto"/>
        </w:rPr>
      </w:pPr>
    </w:p>
    <w:p>
      <w:pPr>
        <w:ind w:left="340" w:right="280" w:hanging="332"/>
        <w:spacing w:after="0" w:line="261"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generated $326 million of free cash flow in the fourth quarter, primarily driven by solid U.S. GAAP net cash provided by operating activities of $523 million in the quarter.</w:t>
      </w:r>
    </w:p>
    <w:p>
      <w:pPr>
        <w:spacing w:after="0" w:line="184" w:lineRule="exact"/>
        <w:rPr>
          <w:rFonts w:ascii="Arial" w:cs="Arial" w:eastAsia="Arial" w:hAnsi="Arial"/>
          <w:sz w:val="18"/>
          <w:szCs w:val="18"/>
          <w:color w:val="auto"/>
        </w:rPr>
      </w:pPr>
    </w:p>
    <w:p>
      <w:pPr>
        <w:ind w:left="340" w:right="280" w:hanging="332"/>
        <w:spacing w:after="0" w:line="235" w:lineRule="auto"/>
        <w:tabs>
          <w:tab w:leader="none" w:pos="335"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Continued solid progress in advancing key pipeline programs for biosimilars, complex products and complex injectables, including the launch of Semglee® as the first interchangeable biosimilar in the U.S.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Full-Year 2021 Highlights</w:t>
      </w:r>
    </w:p>
    <w:p>
      <w:pPr>
        <w:spacing w:after="0" w:line="166" w:lineRule="exact"/>
        <w:rPr>
          <w:sz w:val="20"/>
          <w:szCs w:val="20"/>
          <w:color w:val="auto"/>
        </w:rPr>
      </w:pPr>
    </w:p>
    <w:p>
      <w:pPr>
        <w:ind w:left="340" w:right="140" w:hanging="332"/>
        <w:spacing w:after="0" w:line="278" w:lineRule="auto"/>
        <w:tabs>
          <w:tab w:leader="none" w:pos="3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Full-year 2021 net sales totaled $17.81 billion, down 3% on an operational basis compared to combined adjusted full-year 2020 results, but flat on an operational basis compared to combined LOE adjusted full-year 2020 results, and performed better than expectations, driven by solid performance across all four of our segments—Developed Markets, Emerging Markets, JANZ, and Greater China.</w:t>
      </w:r>
    </w:p>
    <w:p>
      <w:pPr>
        <w:spacing w:after="0" w:line="184"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Brands performed on track with expectations, driven by products such as Viagra®, Lipitor®, Lyrica® and the Thrombosis portfolio.</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generics and biosimilars delivered strong growth while managing competition on Wixela Inhub® and Xulane®.</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Generics performed better than expected, driven primarily by favorability in the JANZ and Emerging Markets segments.</w:t>
      </w:r>
    </w:p>
    <w:p>
      <w:pPr>
        <w:spacing w:after="0" w:line="225" w:lineRule="exact"/>
        <w:rPr>
          <w:rFonts w:ascii="Arial" w:cs="Arial" w:eastAsia="Arial" w:hAnsi="Arial"/>
          <w:sz w:val="18"/>
          <w:szCs w:val="18"/>
          <w:color w:val="auto"/>
        </w:rPr>
      </w:pPr>
    </w:p>
    <w:p>
      <w:pPr>
        <w:ind w:left="340" w:right="32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generated approximately $700 million in new product revenues (as defined in "Certain Key Terms" below) for the fiscal year.</w:t>
      </w:r>
    </w:p>
    <w:p>
      <w:pPr>
        <w:spacing w:after="0" w:line="197" w:lineRule="exact"/>
        <w:rPr>
          <w:rFonts w:ascii="Arial" w:cs="Arial" w:eastAsia="Arial" w:hAnsi="Arial"/>
          <w:sz w:val="18"/>
          <w:szCs w:val="18"/>
          <w:color w:val="auto"/>
        </w:rPr>
      </w:pPr>
    </w:p>
    <w:p>
      <w:pPr>
        <w:ind w:left="340" w:right="160" w:hanging="332"/>
        <w:spacing w:after="0" w:line="261"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generated $2.56 billion of free cash flow, primarily driven by solid U.S. GAAP net cash provided by operating activities of $3.02 billion.</w:t>
      </w:r>
    </w:p>
    <w:p>
      <w:pPr>
        <w:spacing w:after="0" w:line="197" w:lineRule="exact"/>
        <w:rPr>
          <w:rFonts w:ascii="Arial" w:cs="Arial" w:eastAsia="Arial" w:hAnsi="Arial"/>
          <w:sz w:val="18"/>
          <w:szCs w:val="18"/>
          <w:color w:val="auto"/>
        </w:rPr>
      </w:pPr>
    </w:p>
    <w:p>
      <w:pPr>
        <w:ind w:left="340" w:right="160" w:hanging="332"/>
        <w:spacing w:after="0" w:line="254" w:lineRule="auto"/>
        <w:tabs>
          <w:tab w:leader="none" w:pos="3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Viatris paid quarterly cash dividends of approximately $400 million during 2021. On January 4, 2022, the Company’s Board of Directors declared a quarterly cash dividend of twelve cents ($0.12) per share on the Company’s issued and outstanding common stock, an increase of approximately 9% compared with previous quarters per share dividend, which will be payable on March 16, 2022, to shareholders of record as of the close of business on February 24, 2022.</w:t>
      </w:r>
    </w:p>
    <w:p>
      <w:pPr>
        <w:spacing w:after="0" w:line="203" w:lineRule="exact"/>
        <w:rPr>
          <w:rFonts w:ascii="Arial" w:cs="Arial" w:eastAsia="Arial" w:hAnsi="Arial"/>
          <w:sz w:val="18"/>
          <w:szCs w:val="18"/>
          <w:color w:val="auto"/>
        </w:rPr>
      </w:pPr>
    </w:p>
    <w:p>
      <w:pPr>
        <w:ind w:left="320" w:hanging="312"/>
        <w:spacing w:after="0"/>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has repaid approximately $2.1 billion of debt.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10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4C16AE"/>
        </w:rPr>
        <w:t>Non-GAAP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Terms</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combined measures described herein are calculated as indicated, are reflected as approximations and/or with rounding, and do not reflect pro forma results in accordance with ASC 805 or Article 11 of Regulation S-X. Such measures also do not reflect the effect of any purchase accounting adjustments, including but not limited to the elimination of intercompany sales and the fair value of assets and liabilities. Viatris believes these combined 2020 measures provide useful information to understanding and assessing our 2021 performance because they include both Mylan and Upjohn business results, adjusted as set forth below, whereas historical financial information of Viatris prior to November 16, 2020, only represents Mylan’s historical results as Mylan is considered the accounting acquiror of the Upjohn business.</w:t>
      </w:r>
    </w:p>
    <w:p>
      <w:pPr>
        <w:spacing w:after="0" w:line="208"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u w:val="single" w:color="auto"/>
          <w:color w:val="auto"/>
        </w:rPr>
        <w:t>Combined Adjusted Q4 and FY 2020 results</w:t>
      </w:r>
      <w:r>
        <w:rPr>
          <w:rFonts w:ascii="Arial" w:cs="Arial" w:eastAsia="Arial" w:hAnsi="Arial"/>
          <w:sz w:val="18"/>
          <w:szCs w:val="18"/>
          <w:color w:val="auto"/>
        </w:rPr>
        <w:t xml:space="preserve"> refer to the sum of (i) Mylan’s standalone results, (ii) the standalone carve-out results from the Upjohn Business for the nine months ended September 30, 2020, and estimated results from the Upjohn Business for the period from October 1, 2020 through the closing of the Combination, and (iii) Viatris' results for the period from November 16, 2020 through December 31, 2020, adjusted for product divestitures in connection with the Combination and sales to Pfizer for pharmaceutical products provided under its U.S. healthcare plan.</w:t>
      </w:r>
    </w:p>
    <w:p>
      <w:pPr>
        <w:spacing w:after="0" w:line="20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u w:val="single" w:color="auto"/>
          <w:color w:val="auto"/>
        </w:rPr>
        <w:t>Combined LOE Adjusted Q4, and FY 2020 results</w:t>
      </w:r>
      <w:r>
        <w:rPr>
          <w:rFonts w:ascii="Arial" w:cs="Arial" w:eastAsia="Arial" w:hAnsi="Arial"/>
          <w:sz w:val="18"/>
          <w:szCs w:val="18"/>
          <w:color w:val="auto"/>
        </w:rPr>
        <w:t xml:space="preserve"> refer to Combined Adjusted Q4 and FY 2020 results, adjusted for the impact of loss of exclusivity (“LOE”) of Lyrica and Celebrex in Japan which occurred during Q4 2020.</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u w:val="single" w:color="auto"/>
          <w:color w:val="auto"/>
        </w:rPr>
        <w:t>New product sales, new product launches or new product revenues</w:t>
      </w:r>
      <w:r>
        <w:rPr>
          <w:rFonts w:ascii="Arial" w:cs="Arial" w:eastAsia="Arial" w:hAnsi="Arial"/>
          <w:sz w:val="18"/>
          <w:szCs w:val="18"/>
          <w:color w:val="auto"/>
        </w:rPr>
        <w:t xml:space="preserve"> refer to revenue from new products launched in 2021 and the carryover impact of new products, including business development, launched within the last twelve months (e.g., acquisition of Aspen's thrombosis business in November 2020).</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u w:val="single" w:color="auto"/>
          <w:color w:val="auto"/>
        </w:rPr>
        <w:t>Operational change</w:t>
      </w:r>
      <w:r>
        <w:rPr>
          <w:rFonts w:ascii="Arial" w:cs="Arial" w:eastAsia="Arial" w:hAnsi="Arial"/>
          <w:sz w:val="18"/>
          <w:szCs w:val="18"/>
          <w:color w:val="auto"/>
        </w:rPr>
        <w:t xml:space="preserve"> refers to constant currency percentage change and is derived by translating net sales or revenues for the current periods presented at prior year comparative period exchange rates, and in doing so shows the percentage change from 2021 constant currency net sales or revenues to the corresponding amount in the prior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ind w:right="60"/>
        <w:spacing w:after="0" w:line="219" w:lineRule="auto"/>
        <w:rPr>
          <w:sz w:val="20"/>
          <w:szCs w:val="20"/>
          <w:color w:val="auto"/>
        </w:rPr>
      </w:pPr>
      <w:r>
        <w:rPr>
          <w:rFonts w:ascii="Arial" w:cs="Arial" w:eastAsia="Arial" w:hAnsi="Arial"/>
          <w:sz w:val="18"/>
          <w:szCs w:val="18"/>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w:t>
      </w:r>
    </w:p>
    <w:p>
      <w:pPr>
        <w:ind w:right="20" w:firstLine="8"/>
        <w:spacing w:after="0" w:line="220" w:lineRule="auto"/>
        <w:tabs>
          <w:tab w:leader="none" w:pos="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 total revenues, adjusted SG&amp;A and as a % of total revenues, adjusted earnings from operations, adjusted interest expense, adjusted other income, net, adjusted effective tax rate, biosimilars 2022E adjusted EBITDA, gross leverage ratio, long-term gross leverage target, constant currency total revenues and constant currency net sales are presented in order to supplement investors' and other readers' understanding and assessment of the financial performance of Viatris Inc. ("Viatris" or the "Company"). Free cash flow refers to U.S. GAAP net cash provided by operating activities, less capital expenditures.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and net sales. These measures provide information on the change in total revenues and net sales assuming that foreign currency exchange rates had not changed between the prior and current period. The comparisons presented at constant currency rates reflect comparative local currency sales at the prior year's foreign exchange rates. We routinely evaluate our net sales and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089" w:right="359" w:bottom="1440" w:gutter="0" w:footer="0" w:header="0"/>
        </w:sectPr>
      </w:pPr>
    </w:p>
    <w:bookmarkStart w:id="13" w:name="page14"/>
    <w:bookmarkEnd w:id="13"/>
    <w:p>
      <w:pPr>
        <w:ind w:right="20"/>
        <w:spacing w:after="0" w:line="222" w:lineRule="auto"/>
        <w:rPr>
          <w:sz w:val="20"/>
          <w:szCs w:val="20"/>
          <w:color w:val="auto"/>
        </w:rPr>
      </w:pPr>
      <w:r>
        <w:rPr>
          <w:rFonts w:ascii="Arial" w:cs="Arial" w:eastAsia="Arial" w:hAnsi="Arial"/>
          <w:sz w:val="18"/>
          <w:szCs w:val="18"/>
          <w:color w:val="auto"/>
        </w:rPr>
        <w:t>total revenues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three and twelve months ended December 31, 2021, and 2020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 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Annual Report on Form 10-K for the year ended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Viatris</w:t>
      </w:r>
    </w:p>
    <w:p>
      <w:pPr>
        <w:spacing w:after="0" w:line="8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 xml:space="preserve">Viatris Inc. (NASDAQ: VTRS) is a new kind of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 global workforce of approximately 37,000, Viatris is headquartered in the U.S., with global centers in Pittsburgh, Shanghai and Hyderabad, India. Learn more at </w:t>
      </w:r>
      <w:r>
        <w:rPr>
          <w:rFonts w:ascii="Arial" w:cs="Arial" w:eastAsia="Arial" w:hAnsi="Arial"/>
          <w:sz w:val="18"/>
          <w:szCs w:val="18"/>
          <w:b w:val="1"/>
          <w:bCs w:val="1"/>
          <w:u w:val="single" w:color="auto"/>
          <w:color w:val="auto"/>
        </w:rPr>
        <w:t>viatris.com</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investor.viatris.com</w:t>
      </w:r>
      <w:r>
        <w:rPr>
          <w:rFonts w:ascii="Arial" w:cs="Arial" w:eastAsia="Arial" w:hAnsi="Arial"/>
          <w:sz w:val="18"/>
          <w:szCs w:val="18"/>
          <w:color w:val="auto"/>
        </w:rPr>
        <w:t xml:space="preserve">, and connect with us on Twitter at </w:t>
      </w:r>
      <w:r>
        <w:rPr>
          <w:rFonts w:ascii="Arial" w:cs="Arial" w:eastAsia="Arial" w:hAnsi="Arial"/>
          <w:sz w:val="18"/>
          <w:szCs w:val="18"/>
          <w:b w:val="1"/>
          <w:bCs w:val="1"/>
          <w:u w:val="single" w:color="auto"/>
          <w:color w:val="auto"/>
        </w:rPr>
        <w:t>@ViatrisInc</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b w:val="1"/>
          <w:bCs w:val="1"/>
          <w:u w:val="single" w:color="auto"/>
          <w:color w:val="auto"/>
        </w:rPr>
        <w:t>YouTube</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72"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This release contains “forward-looking statements”. These statements are made pursuant to the safe harbor provisions of the Private Securities Litigation Reform Act of 1995. Such forward-looking statements may include, without limitation, 2022 guidance; Company completes comprehensive strategic review and unveils plan to reshape the Company for the future; announces combination of its Biosimilars portfolio with Biocon Biologics in exchange for up to $3.335 billion representing an attractive 16.5x multiple to Viatris of the Company’s Biosimilars 2022E Adjusted EBITDA, the first in a series of expected initiatives anticipated to unlock up to an additional $6 billion in pre-tax proceeds by the end of 2023; Board of Directors authorizes a Share Repurchase Program of up to $1 billion, maintaining Company commitment to return capital to shareholders; Biocon Biologics Transaction consists of pre-tax consideration of up to $3.335 billion, including $2 billion in upfront cash, $1 billion of convertible preferred equity representing a stake of at least 12.9% in Biocon Biologics (on a fully diluted basis), and up to $335 million of additional payments that are expected to be paid in 2024; transaction is expected to close in second half of 2022; material benefits of the transaction upon closing, including: crystalizes value accretion at approximately triple current standalone multiple, nearly 2/3 in immediate cash proceeds, additional potential upside participation through equity stake with governance participation; frees up R&amp;D and capital spend to redeploy in a more concentrated way, enhances immediate additional availability of capital to accelerate reinvestment into business or share repurchases, accelerates Phase I financial commitments, reduces complexity and execution risk, enhances Viatris’ margin profile; reshaping plan also identified other select assets which the Company expects will unlock additional value; first Global Healthcare Gateway® transaction focused on Ophthalmology; as part of the Biocon Biologics transaction the Company will contribute its biosimilars portfolio to Biocon Biologics, which will become a uniquely positioned, vertically integrated company that we expect to be a global biosimilars leader; upon closing, the transaction is expected to provide Viatris with immediate, enhanced financial flexibility, and accelerate its Phase I financial commitments; Viatris intends to continue to invest in expanding its commercial and scientific capabilities in key focus areas for the future, while continuing to participate in the global biosimilars market through its ownership position in Biocon Biologics; under the terms of the agreement, Viatris will contribute to Biocon Biologics its biosimilars portfolio and related commercial and operational capabilities, amounting to 2022 estimated revenue of approximately $875 million and 2022 estimated adjusted EBITDA of approximately $200 million; Viatris will also have certain priority rights with respect to certain liquidity events; pursuant to the transaction documents, Biocon Biologics will target an IPO in India as early as late 2023; Viatris also has the right to designate one member of the Biocon Biologics Board and intends to appoint its President, Rajiv Malik, to this seat; the companies will also enter into a TSA, pursuant to which Viatris will provide certain transition services for an expected two-year period, including commercialization services; the Board of Directors has worked closely and strategically with the management team to develop a future direction for Viatris that will not only unlock immediate value but will also</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895" w:right="339" w:bottom="1440" w:gutter="0" w:footer="0" w:header="0"/>
        </w:sectPr>
      </w:pPr>
    </w:p>
    <w:bookmarkStart w:id="14" w:name="page15"/>
    <w:bookmarkEnd w:id="14"/>
    <w:p>
      <w:pPr>
        <w:spacing w:after="0" w:line="219" w:lineRule="auto"/>
        <w:rPr>
          <w:sz w:val="20"/>
          <w:szCs w:val="20"/>
          <w:color w:val="auto"/>
        </w:rPr>
      </w:pPr>
      <w:r>
        <w:rPr>
          <w:rFonts w:ascii="Arial" w:cs="Arial" w:eastAsia="Arial" w:hAnsi="Arial"/>
          <w:sz w:val="18"/>
          <w:szCs w:val="18"/>
          <w:color w:val="auto"/>
        </w:rPr>
        <w:t>create a simpler, stronger and more focused company; we have identified opportunities that we believe will generate up to approximately $9 billion in pre-tax proceeds, through the Biocon Biologics transaction and the divestment of assets that are non-core to our future; we believe that unlocking this value will give us significant financial flexibility to further reshape the Company, simplifying and optimizing our business, building a more durable higher-margin portfolio focused on three key therapeutic areas—ophthalmology, gastrointestinal, dermatology—and maximizing total shareholder return; we believe the transaction enables us to participate in this space in a more optimized way while unlocking substantial trapped value; we believe we are well positioned to leverage the proceeds generated by the transaction with Biocon Biologics to increase our future R&amp;D investments; we are excited to continue our journey of moving up the value chain and leveraging our capabilities to focus on more complex and novel products; we believe that our robust R&amp;D engine and scientific capabilities combined with our proven results in delivering on our pipeline strongly positions us to bring medicines that target gaps in healthcare to patients around the world; our strong 2021 financial and operational performance provides a firm foundation from which to build upon and sets us up for a solid start in 2022; we believe that executing on our recently announced initiatives will not only unlock value and provide additional access to capital but will also accelerate our Phase I financial commitments, increase our investments into the business, while returning additional capital to our shareholders, including our announced Board authorization of a share repurchase program; Viatris is committed to increasing investment in R&amp;D development to up to approximately 9% of total revenues by 2026 and will focus on business development through its Global Healthcare Gateway® to additionally drive our efforts; the Company has agreed, subject to approval by the Court, to a $264 million settlement, while denying any allegation of wrongdoing, to resolve the EpiPen® Auto-Injector indirect purchaser class action cases pending in the U.S. District Court for the District of Kansas; the resolution of these indirect purchaser cases will allow the Company to move forward and continue focusing on its strategic priorities and its mission of empowering people worldwide to live healthier at every stage of life; quarterly dividend of twelve cents ($0.12) for each issued and outstanding share of the company’s common stock payable on March 16, 2022 to shareholders of record at the close of business on February 24, 2022; statements about the pending transaction between Viatris and Biocon Biologics Limited (“Biocon Biologics”) pursuant to which Viatris will contribute its biosimilar products and programs (the “biosimilars portfolio”) to Biocon Biologics in exchange for cash consideration and a convertible preferred equity interest in Biocon Biologics (the “Biocon Biologics Transaction”); and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future opportunities for the Company and its products and any other statements regarding the Company’s future operations, financial or operating results, capital allocation, dividend policy and payments,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integration of Mylan and the Upjohn Business or the implementation of the Company’s global restructuring program being more difficult, time consuming or costly than expected; the pending Biocon Biologics transaction may not achieve its intended benefits; the possibility that the Company may be unable to achieve expected benefits, synergies and operating efficiencies in connection with the Combination or its global restructuring program within the expected timeframe or at all; the possibility that the Company may be unable to successfully integrate Mylan and the Upjohn Business or implement its global restructuring program; operational or financial difficulties or losses associated with the Company’s reliance on agreements with Pfizer in connection with the Combination, including with respect to transition services; the possibility that the Company may be unable to achieve all intended benefits of its strategic initiatives;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895" w:right="339" w:bottom="1440" w:gutter="0" w:footer="0" w:header="0"/>
        </w:sectPr>
      </w:pPr>
    </w:p>
    <w:bookmarkStart w:id="15" w:name="page16"/>
    <w:bookmarkEnd w:id="15"/>
    <w:p>
      <w:pPr>
        <w:spacing w:after="0" w:line="221" w:lineRule="auto"/>
        <w:rPr>
          <w:sz w:val="20"/>
          <w:szCs w:val="20"/>
          <w:color w:val="auto"/>
        </w:rPr>
      </w:pPr>
      <w:r>
        <w:rPr>
          <w:rFonts w:ascii="Arial" w:cs="Arial" w:eastAsia="Arial" w:hAnsi="Arial"/>
          <w:sz w:val="18"/>
          <w:szCs w:val="18"/>
          <w:color w:val="auto"/>
        </w:rPr>
        <w:t>rights; 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of the Company's Annual Report on Form 10-K for the year ended December 31, 2020, as amended, the Company's Annual Report on Form 10-K for the year ended December 31, 2021, which is expected to be filed with the SEC on February 28, 2022,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 revisions or changes after the date of this release other than as required by law.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4C16AE"/>
        </w:rPr>
        <w:t>Contacts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Jennifer Mauer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+1.724.514.1968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Communications@viatris.com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Jennifer.Mauer@viatris.com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Bill Szablewski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+1.724.514.1813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InvestorRelations@viatris.com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William.Szablewski@viatris.com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5" w:right="3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 in millions,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Net sales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4,331.3</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3,587.7</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17,813.6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11,819.9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0" w:type="dxa"/>
            <w:vAlign w:val="bottom"/>
          </w:tcPr>
          <w:p>
            <w:pPr>
              <w:spacing w:after="0"/>
              <w:rPr>
                <w:sz w:val="1"/>
                <w:szCs w:val="1"/>
                <w:color w:val="auto"/>
              </w:rPr>
            </w:pP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Total revenues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3,623.5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17,886.3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11,946.0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2,795.2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2,917.1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12,310.8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8,149.3</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706.4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5,575.5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3,796.7</w:t>
            </w:r>
          </w:p>
        </w:tc>
        <w:tc>
          <w:tcPr>
            <w:tcW w:w="0" w:type="dxa"/>
            <w:vAlign w:val="bottom"/>
          </w:tcPr>
          <w:p>
            <w:pPr>
              <w:spacing w:after="0"/>
              <w:rPr>
                <w:sz w:val="1"/>
                <w:szCs w:val="1"/>
                <w:color w:val="auto"/>
              </w:rPr>
            </w:pPr>
          </w:p>
        </w:tc>
      </w:tr>
      <w:tr>
        <w:trPr>
          <w:trHeight w:val="19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267.2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555.1</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3,344.6</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1,587.5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5,609.5</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4,007.5</w:t>
            </w:r>
          </w:p>
        </w:tc>
        <w:tc>
          <w:tcPr>
            <w:tcW w:w="0" w:type="dxa"/>
            <w:vAlign w:val="bottom"/>
          </w:tcPr>
          <w:p>
            <w:pPr>
              <w:spacing w:after="0"/>
              <w:rPr>
                <w:sz w:val="1"/>
                <w:szCs w:val="1"/>
                <w:color w:val="auto"/>
              </w:rPr>
            </w:pP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(1,013.5)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(664.4)</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(721.2)</w:t>
            </w:r>
          </w:p>
        </w:tc>
        <w:tc>
          <w:tcPr>
            <w:tcW w:w="0" w:type="dxa"/>
            <w:vAlign w:val="bottom"/>
          </w:tcPr>
          <w:p>
            <w:pPr>
              <w:spacing w:after="0"/>
              <w:rPr>
                <w:sz w:val="1"/>
                <w:szCs w:val="1"/>
                <w:color w:val="auto"/>
              </w:rPr>
            </w:pPr>
          </w:p>
        </w:tc>
      </w:tr>
      <w:tr>
        <w:trPr>
          <w:trHeight w:val="213"/>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604.7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(1,269.1)</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9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98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1,208.8</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601.2</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80"/>
          </w:cols>
          <w:pgMar w:left="360" w:top="886"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0" w:type="dxa"/>
            <w:vAlign w:val="bottom"/>
          </w:tcPr>
          <w:p>
            <w:pPr>
              <w:jc w:val="right"/>
              <w:ind w:right="14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r>
      <w:tr>
        <w:trPr>
          <w:trHeight w:val="202"/>
        </w:trPr>
        <w:tc>
          <w:tcPr>
            <w:tcW w:w="8340" w:type="dxa"/>
            <w:vAlign w:val="bottom"/>
            <w:shd w:val="clear" w:color="auto" w:fill="CCEEFF"/>
          </w:tcPr>
          <w:p>
            <w:pPr>
              <w:ind w:left="528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340" w:type="dxa"/>
            <w:vAlign w:val="bottom"/>
          </w:tcPr>
          <w:p>
            <w:pPr>
              <w:ind w:left="46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701.2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844.4</w:t>
            </w:r>
          </w:p>
        </w:tc>
      </w:tr>
      <w:tr>
        <w:trPr>
          <w:trHeight w:val="219"/>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4,843.8</w:t>
            </w:r>
          </w:p>
        </w:tc>
      </w:tr>
      <w:tr>
        <w:trPr>
          <w:trHeight w:val="213"/>
        </w:trPr>
        <w:tc>
          <w:tcPr>
            <w:tcW w:w="8340" w:type="dxa"/>
            <w:vAlign w:val="bottom"/>
          </w:tcPr>
          <w:p>
            <w:pPr>
              <w:ind w:left="46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3,977.7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5,471.9</w:t>
            </w:r>
          </w:p>
        </w:tc>
      </w:tr>
      <w:tr>
        <w:trPr>
          <w:trHeight w:val="216"/>
        </w:trPr>
        <w:tc>
          <w:tcPr>
            <w:tcW w:w="83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1,707.4</w:t>
            </w:r>
          </w:p>
        </w:tc>
      </w:tr>
      <w:tr>
        <w:trPr>
          <w:trHeight w:val="209"/>
        </w:trPr>
        <w:tc>
          <w:tcPr>
            <w:tcW w:w="834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10,902.9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12,867.5</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29,683.2</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12,347.0</w:t>
            </w:r>
          </w:p>
        </w:tc>
      </w:tr>
      <w:tr>
        <w:trPr>
          <w:trHeight w:val="216"/>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6,655.3</w:t>
            </w:r>
          </w:p>
        </w:tc>
      </w:tr>
      <w:tr>
        <w:trPr>
          <w:trHeight w:val="212"/>
        </w:trPr>
        <w:tc>
          <w:tcPr>
            <w:tcW w:w="83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54,842.8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61,553.0</w:t>
            </w: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340" w:type="dxa"/>
            <w:vAlign w:val="bottom"/>
            <w:shd w:val="clear" w:color="auto" w:fill="CCEEFF"/>
          </w:tcPr>
          <w:p>
            <w:pPr>
              <w:ind w:left="46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3"/>
        </w:trPr>
        <w:tc>
          <w:tcPr>
            <w:tcW w:w="83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long-term debt and other long-term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2,308.5</w:t>
            </w:r>
          </w:p>
        </w:tc>
      </w:tr>
      <w:tr>
        <w:trPr>
          <w:trHeight w:val="213"/>
        </w:trPr>
        <w:tc>
          <w:tcPr>
            <w:tcW w:w="8340" w:type="dxa"/>
            <w:vAlign w:val="bottom"/>
          </w:tcPr>
          <w:p>
            <w:pPr>
              <w:ind w:left="220"/>
              <w:spacing w:after="0"/>
              <w:rPr>
                <w:sz w:val="20"/>
                <w:szCs w:val="20"/>
                <w:color w:val="auto"/>
              </w:rPr>
            </w:pPr>
            <w:r>
              <w:rPr>
                <w:rFonts w:ascii="Arial" w:cs="Arial" w:eastAsia="Arial" w:hAnsi="Arial"/>
                <w:sz w:val="16"/>
                <w:szCs w:val="16"/>
                <w:color w:val="auto"/>
              </w:rPr>
              <w:t>Current liabilities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8,006.9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8,254.4</w:t>
            </w:r>
          </w:p>
        </w:tc>
      </w:tr>
      <w:tr>
        <w:trPr>
          <w:trHeight w:val="219"/>
        </w:trPr>
        <w:tc>
          <w:tcPr>
            <w:tcW w:w="8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22,429.2</w:t>
            </w:r>
          </w:p>
        </w:tc>
      </w:tr>
      <w:tr>
        <w:trPr>
          <w:trHeight w:val="213"/>
        </w:trPr>
        <w:tc>
          <w:tcPr>
            <w:tcW w:w="8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5,606.8</w:t>
            </w:r>
          </w:p>
        </w:tc>
      </w:tr>
      <w:tr>
        <w:trPr>
          <w:trHeight w:val="212"/>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38,598.9</w:t>
            </w:r>
          </w:p>
        </w:tc>
      </w:tr>
      <w:tr>
        <w:trPr>
          <w:trHeight w:val="213"/>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Shareholders' equity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22,954.1</w:t>
            </w:r>
          </w:p>
        </w:tc>
      </w:tr>
      <w:tr>
        <w:trPr>
          <w:trHeight w:val="23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54,842.8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61,553.0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40" w:top="886"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 Key Product Net Sales, on a Consolidated Basis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Three and Twelve Months Ended December 31,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0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0" w:type="dxa"/>
            <w:vAlign w:val="bottom"/>
          </w:tcPr>
          <w:p>
            <w:pPr>
              <w:jc w:val="right"/>
              <w:ind w:right="1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72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Pr>
          <w:p>
            <w:pPr>
              <w:spacing w:after="0"/>
              <w:rPr>
                <w:sz w:val="15"/>
                <w:szCs w:val="15"/>
                <w:color w:val="auto"/>
              </w:rPr>
            </w:pPr>
          </w:p>
        </w:tc>
        <w:tc>
          <w:tcPr>
            <w:tcW w:w="180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5"/>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Select Key Global Products</w:t>
            </w:r>
          </w:p>
        </w:tc>
        <w:tc>
          <w:tcPr>
            <w:tcW w:w="20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Lipitor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1,663.2</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Norvasc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824.7</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Lyrica ®</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728.5</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Viagra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Celebrex ®</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Creon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309.8</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Effexor ®</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Zoloft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EpiPen® Auto-Injectors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391.7</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Xalabrands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226.0</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20"/>
              <w:spacing w:after="0"/>
              <w:rPr>
                <w:sz w:val="20"/>
                <w:szCs w:val="20"/>
                <w:color w:val="auto"/>
              </w:rPr>
            </w:pPr>
            <w:r>
              <w:rPr>
                <w:rFonts w:ascii="Arial" w:cs="Arial" w:eastAsia="Arial" w:hAnsi="Arial"/>
                <w:sz w:val="16"/>
                <w:szCs w:val="16"/>
                <w:b w:val="1"/>
                <w:bCs w:val="1"/>
                <w:color w:val="auto"/>
              </w:rPr>
              <w:t>Select Key Segment Products</w:t>
            </w: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Influvac ®</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299.3</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Amitiza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54.0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Xanax ®</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w:t>
            </w:r>
          </w:p>
        </w:tc>
        <w:tc>
          <w:tcPr>
            <w:tcW w:w="0" w:type="dxa"/>
            <w:vAlign w:val="bottom"/>
          </w:tcPr>
          <w:p>
            <w:pPr>
              <w:spacing w:after="0"/>
              <w:rPr>
                <w:sz w:val="1"/>
                <w:szCs w:val="1"/>
                <w:color w:val="auto"/>
              </w:rPr>
            </w:pPr>
          </w:p>
        </w:tc>
      </w:tr>
      <w:tr>
        <w:trPr>
          <w:trHeight w:val="213"/>
        </w:trPr>
        <w:tc>
          <w:tcPr>
            <w:tcW w:w="7200" w:type="dxa"/>
            <w:vAlign w:val="bottom"/>
          </w:tcPr>
          <w:p>
            <w:pPr>
              <w:ind w:left="140"/>
              <w:spacing w:after="0"/>
              <w:rPr>
                <w:sz w:val="20"/>
                <w:szCs w:val="20"/>
                <w:color w:val="auto"/>
              </w:rPr>
            </w:pPr>
            <w:r>
              <w:rPr>
                <w:rFonts w:ascii="Arial" w:cs="Arial" w:eastAsia="Arial" w:hAnsi="Arial"/>
                <w:sz w:val="16"/>
                <w:szCs w:val="16"/>
                <w:color w:val="auto"/>
              </w:rPr>
              <w:t>Yupelri ®</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219"/>
        </w:trPr>
        <w:tc>
          <w:tcPr>
            <w:tcW w:w="7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Dymista ®</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ind w:left="640" w:hanging="308"/>
        <w:spacing w:after="0" w:line="220"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The Company does not disclose net sales for any products considered competitively sensitive.</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Viatris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U.S. GAAP Net Loss to Adjusted Net Earnings</w:t>
      </w:r>
    </w:p>
    <w:p>
      <w:pPr>
        <w:spacing w:after="0" w:line="13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Below is a reconciliation of U.S. GAAP net loss to adjusted net earnings for the three months and year ended December 31, 2021, compared to the prior year period: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60" w:type="dxa"/>
            <w:vAlign w:val="bottom"/>
          </w:tcPr>
          <w:p>
            <w:pPr>
              <w:spacing w:after="0"/>
              <w:rPr>
                <w:sz w:val="16"/>
                <w:szCs w:val="16"/>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December 31,</w:t>
            </w: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r>
      <w:tr>
        <w:trPr>
          <w:trHeight w:val="18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Purchase accounting related amortization (primarily included in cost of sales) </w:t>
            </w:r>
            <w:r>
              <w:rPr>
                <w:rFonts w:ascii="Arial" w:cs="Arial" w:eastAsia="Arial" w:hAnsi="Arial"/>
                <w:sz w:val="21"/>
                <w:szCs w:val="21"/>
                <w:color w:val="auto"/>
                <w:vertAlign w:val="superscript"/>
              </w:rPr>
              <w:t>(a)</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4,039.7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1,933.6</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Litigation settlements and other contingencies, net</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w:t>
            </w:r>
          </w:p>
        </w:tc>
      </w:tr>
      <w:tr>
        <w:trPr>
          <w:trHeight w:val="177"/>
        </w:trPr>
        <w:tc>
          <w:tcPr>
            <w:tcW w:w="6160" w:type="dxa"/>
            <w:vAlign w:val="bottom"/>
          </w:tcPr>
          <w:p>
            <w:pPr>
              <w:ind w:left="20"/>
              <w:spacing w:after="0" w:line="178" w:lineRule="exact"/>
              <w:rPr>
                <w:sz w:val="20"/>
                <w:szCs w:val="20"/>
                <w:color w:val="auto"/>
              </w:rPr>
            </w:pPr>
            <w:r>
              <w:rPr>
                <w:rFonts w:ascii="Arial" w:cs="Arial" w:eastAsia="Arial" w:hAnsi="Arial"/>
                <w:sz w:val="16"/>
                <w:szCs w:val="16"/>
                <w:color w:val="auto"/>
              </w:rPr>
              <w:t>Interest expense (primarily amortization of premiums and discounts on long term</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8"/>
        </w:trPr>
        <w:tc>
          <w:tcPr>
            <w:tcW w:w="6160" w:type="dxa"/>
            <w:vAlign w:val="bottom"/>
          </w:tcPr>
          <w:p>
            <w:pPr>
              <w:ind w:left="20"/>
              <w:spacing w:after="0"/>
              <w:rPr>
                <w:sz w:val="20"/>
                <w:szCs w:val="20"/>
                <w:color w:val="auto"/>
              </w:rPr>
            </w:pPr>
            <w:r>
              <w:rPr>
                <w:rFonts w:ascii="Arial" w:cs="Arial" w:eastAsia="Arial" w:hAnsi="Arial"/>
                <w:sz w:val="16"/>
                <w:szCs w:val="16"/>
                <w:color w:val="auto"/>
              </w:rPr>
              <w:t>debt)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Clean energy investments pre-tax loss</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6"/>
        </w:trPr>
        <w:tc>
          <w:tcPr>
            <w:tcW w:w="6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Acquisition related costs (primarily included in SG&amp;A) </w:t>
            </w:r>
            <w:r>
              <w:rPr>
                <w:rFonts w:ascii="Arial" w:cs="Arial" w:eastAsia="Arial" w:hAnsi="Arial"/>
                <w:sz w:val="21"/>
                <w:szCs w:val="21"/>
                <w:color w:val="auto"/>
                <w:vertAlign w:val="superscript"/>
              </w:rPr>
              <w:t>(b)</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613.6</w:t>
            </w:r>
          </w:p>
        </w:tc>
      </w:tr>
      <w:tr>
        <w:trPr>
          <w:trHeight w:val="216"/>
        </w:trPr>
        <w:tc>
          <w:tcPr>
            <w:tcW w:w="61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Restructuring related costs </w:t>
            </w:r>
            <w:r>
              <w:rPr>
                <w:rFonts w:ascii="Arial" w:cs="Arial" w:eastAsia="Arial" w:hAnsi="Arial"/>
                <w:sz w:val="21"/>
                <w:szCs w:val="21"/>
                <w:color w:val="auto"/>
                <w:vertAlign w:val="superscript"/>
              </w:rPr>
              <w:t>(c)</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w:t>
            </w:r>
          </w:p>
        </w:tc>
      </w:tr>
      <w:tr>
        <w:trPr>
          <w:trHeight w:val="213"/>
        </w:trPr>
        <w:tc>
          <w:tcPr>
            <w:tcW w:w="616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w:t>
            </w:r>
          </w:p>
        </w:tc>
      </w:tr>
      <w:tr>
        <w:trPr>
          <w:trHeight w:val="219"/>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special items included in:</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6"/>
        </w:trPr>
        <w:tc>
          <w:tcPr>
            <w:tcW w:w="6160" w:type="dxa"/>
            <w:vAlign w:val="bottom"/>
          </w:tcPr>
          <w:p>
            <w:pPr>
              <w:ind w:left="220"/>
              <w:spacing w:after="0" w:line="216" w:lineRule="exact"/>
              <w:rPr>
                <w:sz w:val="20"/>
                <w:szCs w:val="20"/>
                <w:color w:val="auto"/>
              </w:rPr>
            </w:pPr>
            <w:r>
              <w:rPr>
                <w:rFonts w:ascii="Arial" w:cs="Arial" w:eastAsia="Arial" w:hAnsi="Arial"/>
                <w:sz w:val="16"/>
                <w:szCs w:val="16"/>
                <w:color w:val="auto"/>
              </w:rPr>
              <w:t xml:space="preserve">Cost of sales </w:t>
            </w:r>
            <w:r>
              <w:rPr>
                <w:rFonts w:ascii="Arial" w:cs="Arial" w:eastAsia="Arial" w:hAnsi="Arial"/>
                <w:sz w:val="21"/>
                <w:szCs w:val="21"/>
                <w:color w:val="auto"/>
                <w:vertAlign w:val="superscript"/>
              </w:rPr>
              <w:t>(d)</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438.1</w:t>
            </w:r>
          </w:p>
        </w:tc>
      </w:tr>
      <w:tr>
        <w:trPr>
          <w:trHeight w:val="216"/>
        </w:trPr>
        <w:tc>
          <w:tcPr>
            <w:tcW w:w="6160" w:type="dxa"/>
            <w:vAlign w:val="bottom"/>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Research and development expense </w:t>
            </w:r>
            <w:r>
              <w:rPr>
                <w:rFonts w:ascii="Arial" w:cs="Arial" w:eastAsia="Arial" w:hAnsi="Arial"/>
                <w:sz w:val="21"/>
                <w:szCs w:val="21"/>
                <w:color w:val="auto"/>
                <w:vertAlign w:val="superscript"/>
              </w:rPr>
              <w:t>(e)</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13"/>
        </w:trPr>
        <w:tc>
          <w:tcPr>
            <w:tcW w:w="6160" w:type="dxa"/>
            <w:vAlign w:val="bottom"/>
          </w:tcPr>
          <w:p>
            <w:pPr>
              <w:ind w:left="220"/>
              <w:spacing w:after="0"/>
              <w:rPr>
                <w:sz w:val="20"/>
                <w:szCs w:val="20"/>
                <w:color w:val="auto"/>
              </w:rPr>
            </w:pPr>
            <w:r>
              <w:rPr>
                <w:rFonts w:ascii="Arial" w:cs="Arial" w:eastAsia="Arial" w:hAnsi="Arial"/>
                <w:sz w:val="16"/>
                <w:szCs w:val="16"/>
                <w:color w:val="auto"/>
              </w:rPr>
              <w:t>Selling, general and administrative expense</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219"/>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net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616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 xml:space="preserve">Tax effect of the above items and other income tax related items </w:t>
            </w:r>
            <w:r>
              <w:rPr>
                <w:rFonts w:ascii="Arial" w:cs="Arial" w:eastAsia="Arial" w:hAnsi="Arial"/>
                <w:sz w:val="21"/>
                <w:szCs w:val="21"/>
                <w:color w:val="auto"/>
                <w:vertAlign w:val="superscript"/>
              </w:rPr>
              <w:t>(f)</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(589.7)</w:t>
            </w:r>
          </w:p>
        </w:tc>
      </w:tr>
      <w:tr>
        <w:trPr>
          <w:trHeight w:val="234"/>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net earnings</w:t>
            </w: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4,467.8</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2,371.8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Significant items for the three months and year ended December 31, 2021, include the following:</w:t>
      </w:r>
    </w:p>
    <w:p>
      <w:pPr>
        <w:spacing w:after="0" w:line="55" w:lineRule="exact"/>
        <w:rPr>
          <w:sz w:val="20"/>
          <w:szCs w:val="20"/>
          <w:color w:val="auto"/>
        </w:rPr>
      </w:pPr>
    </w:p>
    <w:p>
      <w:pPr>
        <w:ind w:left="660" w:hanging="328"/>
        <w:spacing w:after="0" w:line="211" w:lineRule="auto"/>
        <w:tabs>
          <w:tab w:leader="none" w:pos="662"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Includes amortization of the purchase accounting inventory fair value adjustment related to the Combination totaling approximately $1.19 billion for the year ended December 31, 2021.</w:t>
      </w:r>
    </w:p>
    <w:p>
      <w:pPr>
        <w:ind w:left="540" w:hanging="208"/>
        <w:spacing w:after="0" w:line="237" w:lineRule="auto"/>
        <w:tabs>
          <w:tab w:leader="none" w:pos="5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Acquisition related costs consist primarily of transaction costs including legal and consulting fees and integration activities.</w:t>
      </w:r>
    </w:p>
    <w:p>
      <w:pPr>
        <w:spacing w:after="0" w:line="44" w:lineRule="exact"/>
        <w:rPr>
          <w:rFonts w:ascii="Arial" w:cs="Arial" w:eastAsia="Arial" w:hAnsi="Arial"/>
          <w:sz w:val="19"/>
          <w:szCs w:val="19"/>
          <w:color w:val="auto"/>
          <w:vertAlign w:val="superscript"/>
        </w:rPr>
      </w:pPr>
    </w:p>
    <w:p>
      <w:pPr>
        <w:ind w:left="660" w:hanging="328"/>
        <w:spacing w:after="0" w:line="220" w:lineRule="auto"/>
        <w:tabs>
          <w:tab w:leader="none" w:pos="549"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December 31, 2021, charges of approximately $135.2 million are included in cost of sales, approximately $1.4 million are included in R&amp;D, and approximately $21.4 million are included in SG&amp;A. For the year ended December 31, 2021, charges of approximately $534.7 million are included in cost of sales, approximately $13.3 million are included in R&amp;D, and approximately $351.5 million are included in SG&amp;A.</w:t>
      </w:r>
    </w:p>
    <w:p>
      <w:pPr>
        <w:spacing w:after="0" w:line="44" w:lineRule="exact"/>
        <w:rPr>
          <w:rFonts w:ascii="Arial" w:cs="Arial" w:eastAsia="Arial" w:hAnsi="Arial"/>
          <w:sz w:val="19"/>
          <w:szCs w:val="19"/>
          <w:color w:val="auto"/>
          <w:vertAlign w:val="superscript"/>
        </w:rPr>
      </w:pPr>
    </w:p>
    <w:p>
      <w:pPr>
        <w:ind w:left="660" w:hanging="328"/>
        <w:spacing w:after="0" w:line="220" w:lineRule="auto"/>
        <w:tabs>
          <w:tab w:leader="none" w:pos="567"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Costs incurred during the three months and year ended December 31, 2021, include incremental manufacturing variances and site remediation activities as a result of the activities at the Company’s Morgantown plant of approximately $16.1 million and $123.4 million, respectively, and at other plants in the 2020 restructuring program of approximately $39.8 million and $143.3 million, respectively.</w:t>
      </w:r>
    </w:p>
    <w:p>
      <w:pPr>
        <w:ind w:left="540" w:hanging="208"/>
        <w:spacing w:after="0" w:line="237" w:lineRule="auto"/>
        <w:tabs>
          <w:tab w:leader="none" w:pos="54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Adjustments primarily relate to non-refundable payments related to development partner agreements.</w:t>
      </w:r>
    </w:p>
    <w:p>
      <w:pPr>
        <w:spacing w:after="0" w:line="44" w:lineRule="exact"/>
        <w:rPr>
          <w:rFonts w:ascii="Arial" w:cs="Arial" w:eastAsia="Arial" w:hAnsi="Arial"/>
          <w:sz w:val="19"/>
          <w:szCs w:val="19"/>
          <w:color w:val="auto"/>
          <w:vertAlign w:val="superscript"/>
        </w:rPr>
      </w:pPr>
    </w:p>
    <w:p>
      <w:pPr>
        <w:ind w:left="520" w:hanging="188"/>
        <w:spacing w:after="0" w:line="189" w:lineRule="auto"/>
        <w:tabs>
          <w:tab w:leader="none" w:pos="5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Adjusted for changes for uncertain tax positions and for certain impacts of the Combination.</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8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Reconciliation of U.S. GAAP Net Loss to EBITDA and Adjusted EBITDA</w:t>
      </w:r>
    </w:p>
    <w:p>
      <w:pPr>
        <w:spacing w:after="0" w:line="38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Below is a reconciliation of U.S. GAAP net loss to EBITDA and adjusted EBITDA for the three months and year ended December 31, 2021, compared to the prior year period: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6"/>
                <w:szCs w:val="16"/>
                <w:color w:val="auto"/>
              </w:rPr>
            </w:pPr>
          </w:p>
        </w:tc>
      </w:tr>
      <w:tr>
        <w:trPr>
          <w:trHeight w:val="183"/>
        </w:trPr>
        <w:tc>
          <w:tcPr>
            <w:tcW w:w="59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(669.9)</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contribution attributable to equity method investments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Income tax provision (benefit)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(51.3)</w:t>
            </w:r>
          </w:p>
        </w:tc>
      </w:tr>
      <w:tr>
        <w:trPr>
          <w:trHeight w:val="219"/>
        </w:trPr>
        <w:tc>
          <w:tcPr>
            <w:tcW w:w="598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636.2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r>
      <w:tr>
        <w:trPr>
          <w:trHeight w:val="216"/>
        </w:trPr>
        <w:tc>
          <w:tcPr>
            <w:tcW w:w="598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4,506.5</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2,216.1</w:t>
            </w:r>
          </w:p>
        </w:tc>
      </w:tr>
      <w:tr>
        <w:trPr>
          <w:trHeight w:val="209"/>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4,540.2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2,041.1</w:t>
            </w:r>
          </w:p>
        </w:tc>
      </w:tr>
      <w:tr>
        <w:trPr>
          <w:trHeight w:val="213"/>
        </w:trPr>
        <w:tc>
          <w:tcPr>
            <w:tcW w:w="598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r>
      <w:tr>
        <w:trPr>
          <w:trHeight w:val="213"/>
        </w:trPr>
        <w:tc>
          <w:tcPr>
            <w:tcW w:w="5980" w:type="dxa"/>
            <w:vAlign w:val="bottom"/>
          </w:tcPr>
          <w:p>
            <w:pPr>
              <w:ind w:left="220"/>
              <w:spacing w:after="0"/>
              <w:rPr>
                <w:sz w:val="20"/>
                <w:szCs w:val="20"/>
                <w:color w:val="auto"/>
              </w:rPr>
            </w:pPr>
            <w:r>
              <w:rPr>
                <w:rFonts w:ascii="Arial" w:cs="Arial" w:eastAsia="Arial" w:hAnsi="Arial"/>
                <w:sz w:val="16"/>
                <w:szCs w:val="16"/>
                <w:color w:val="auto"/>
              </w:rPr>
              <w:t>Litigation settlements and other contingencies,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107.8</w:t>
            </w:r>
          </w:p>
        </w:tc>
      </w:tr>
      <w:tr>
        <w:trPr>
          <w:trHeight w:val="219"/>
        </w:trPr>
        <w:tc>
          <w:tcPr>
            <w:tcW w:w="5980" w:type="dxa"/>
            <w:vAlign w:val="bottom"/>
            <w:shd w:val="clear" w:color="auto" w:fill="CCEEFF"/>
          </w:tcPr>
          <w:p>
            <w:pPr>
              <w:ind w:left="180"/>
              <w:spacing w:after="0" w:line="219" w:lineRule="exact"/>
              <w:rPr>
                <w:sz w:val="20"/>
                <w:szCs w:val="20"/>
                <w:color w:val="auto"/>
              </w:rPr>
            </w:pPr>
            <w:r>
              <w:rPr>
                <w:rFonts w:ascii="Arial" w:cs="Arial" w:eastAsia="Arial" w:hAnsi="Arial"/>
                <w:sz w:val="16"/>
                <w:szCs w:val="16"/>
                <w:color w:val="auto"/>
              </w:rPr>
              <w:t xml:space="preserve">Restructuring, acquisition related and other special items </w:t>
            </w:r>
            <w:r>
              <w:rPr>
                <w:rFonts w:ascii="Arial" w:cs="Arial" w:eastAsia="Arial" w:hAnsi="Arial"/>
                <w:sz w:val="21"/>
                <w:szCs w:val="21"/>
                <w:color w:val="auto"/>
                <w:vertAlign w:val="superscript"/>
              </w:rPr>
              <w:t>(c)</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1,426.0</w:t>
            </w:r>
          </w:p>
        </w:tc>
      </w:tr>
      <w:tr>
        <w:trPr>
          <w:trHeight w:val="209"/>
        </w:trPr>
        <w:tc>
          <w:tcPr>
            <w:tcW w:w="598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1,415.8</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6,426.1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3,654.1</w:t>
            </w:r>
          </w:p>
        </w:tc>
      </w:tr>
      <w:tr>
        <w:trPr>
          <w:trHeight w:val="21"/>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44"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amortization of premiums and discounts on long-term debt.</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Includes purchase accounting related amortization.</w:t>
      </w:r>
    </w:p>
    <w:p>
      <w:pPr>
        <w:spacing w:after="0" w:line="55" w:lineRule="exact"/>
        <w:rPr>
          <w:rFonts w:ascii="Arial" w:cs="Arial" w:eastAsia="Arial" w:hAnsi="Arial"/>
          <w:sz w:val="9"/>
          <w:szCs w:val="9"/>
          <w:color w:val="auto"/>
        </w:rPr>
      </w:pPr>
    </w:p>
    <w:p>
      <w:pPr>
        <w:ind w:left="640" w:hanging="308"/>
        <w:spacing w:after="0"/>
        <w:tabs>
          <w:tab w:leader="none" w:pos="640" w:val="left"/>
        </w:tabs>
        <w:numPr>
          <w:ilvl w:val="0"/>
          <w:numId w:val="14"/>
        </w:numPr>
        <w:rPr>
          <w:rFonts w:ascii="Arial" w:cs="Arial" w:eastAsia="Arial" w:hAnsi="Arial"/>
          <w:sz w:val="9"/>
          <w:szCs w:val="9"/>
          <w:color w:val="auto"/>
        </w:rPr>
      </w:pPr>
      <w:r>
        <w:rPr>
          <w:rFonts w:ascii="Arial" w:cs="Arial" w:eastAsia="Arial" w:hAnsi="Arial"/>
          <w:sz w:val="14"/>
          <w:szCs w:val="14"/>
          <w:color w:val="auto"/>
        </w:rPr>
        <w:t>See items detailed in the Reconciliation of U.S. GAAP Net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Summary of Total Revenues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9"/>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left="706"/>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restart"/>
          </w:tcPr>
          <w:p>
            <w:pPr>
              <w:jc w:val="center"/>
              <w:ind w:right="10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1280" w:type="dxa"/>
            <w:vAlign w:val="bottom"/>
            <w:gridSpan w:val="5"/>
          </w:tcPr>
          <w:p>
            <w:pPr>
              <w:jc w:val="center"/>
              <w:ind w:right="100"/>
              <w:spacing w:after="0" w:line="176" w:lineRule="exact"/>
              <w:rPr>
                <w:sz w:val="20"/>
                <w:szCs w:val="20"/>
                <w:color w:val="auto"/>
              </w:rPr>
            </w:pPr>
            <w:r>
              <w:rPr>
                <w:rFonts w:ascii="Arial" w:cs="Arial" w:eastAsia="Arial" w:hAnsi="Arial"/>
                <w:sz w:val="14"/>
                <w:szCs w:val="14"/>
                <w:b w:val="1"/>
                <w:bCs w:val="1"/>
                <w:color w:val="auto"/>
                <w:w w:val="97"/>
              </w:rPr>
              <w:t xml:space="preserve">Impact </w:t>
            </w:r>
            <w:r>
              <w:rPr>
                <w:rFonts w:ascii="Arial" w:cs="Arial" w:eastAsia="Arial" w:hAnsi="Arial"/>
                <w:sz w:val="18"/>
                <w:szCs w:val="18"/>
                <w:b w:val="1"/>
                <w:bCs w:val="1"/>
                <w:color w:val="auto"/>
                <w:w w:val="97"/>
                <w:vertAlign w:val="superscript"/>
              </w:rPr>
              <w:t>(1)</w:t>
            </w:r>
          </w:p>
        </w:tc>
        <w:tc>
          <w:tcPr>
            <w:tcW w:w="180" w:type="dxa"/>
            <w:vAlign w:val="bottom"/>
          </w:tcPr>
          <w:p>
            <w:pPr>
              <w:spacing w:after="0"/>
              <w:rPr>
                <w:sz w:val="15"/>
                <w:szCs w:val="15"/>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 xml:space="preserve">Change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2,560.8</w:t>
            </w:r>
          </w:p>
        </w:tc>
        <w:tc>
          <w:tcPr>
            <w:tcW w:w="20" w:type="dxa"/>
            <w:vAlign w:val="bottom"/>
          </w:tcPr>
          <w:p>
            <w:pPr>
              <w:spacing w:after="0"/>
              <w:rPr>
                <w:sz w:val="18"/>
                <w:szCs w:val="18"/>
                <w:color w:val="auto"/>
              </w:rPr>
            </w:pPr>
          </w:p>
        </w:tc>
        <w:tc>
          <w:tcPr>
            <w:tcW w:w="36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2,378.6</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2,602.2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ind w:left="1040"/>
              <w:spacing w:after="0"/>
              <w:rPr>
                <w:sz w:val="20"/>
                <w:szCs w:val="20"/>
                <w:color w:val="auto"/>
              </w:rPr>
            </w:pPr>
            <w:r>
              <w:rPr>
                <w:rFonts w:ascii="Arial" w:cs="Arial" w:eastAsia="Arial" w:hAnsi="Arial"/>
                <w:sz w:val="16"/>
                <w:szCs w:val="16"/>
                <w:color w:val="auto"/>
              </w:rPr>
              <w:t>nm</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495.1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400" w:type="dxa"/>
            <w:vAlign w:val="bottom"/>
          </w:tcPr>
          <w:p>
            <w:pPr>
              <w:ind w:left="220"/>
              <w:spacing w:after="0"/>
              <w:rPr>
                <w:sz w:val="20"/>
                <w:szCs w:val="20"/>
                <w:color w:val="auto"/>
              </w:rPr>
            </w:pPr>
            <w:r>
              <w:rPr>
                <w:rFonts w:ascii="Arial" w:cs="Arial" w:eastAsia="Arial" w:hAnsi="Arial"/>
                <w:sz w:val="16"/>
                <w:szCs w:val="16"/>
                <w:color w:val="auto"/>
              </w:rPr>
              <w:t>JANZ</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389.5</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570.8</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Emerging Markets</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629.0</w:t>
            </w:r>
          </w:p>
        </w:tc>
        <w:tc>
          <w:tcPr>
            <w:tcW w:w="20" w:type="dxa"/>
            <w:vAlign w:val="bottom"/>
            <w:tcBorders>
              <w:bottom w:val="single" w:sz="8" w:color="auto"/>
            </w:tcBorders>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749.0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0" w:type="dxa"/>
            <w:vAlign w:val="bottom"/>
          </w:tcPr>
          <w:p>
            <w:pPr>
              <w:spacing w:after="0"/>
              <w:rPr>
                <w:sz w:val="1"/>
                <w:szCs w:val="1"/>
                <w:color w:val="auto"/>
              </w:rPr>
            </w:pPr>
          </w:p>
        </w:tc>
      </w:tr>
      <w:tr>
        <w:trPr>
          <w:trHeight w:val="209"/>
        </w:trPr>
        <w:tc>
          <w:tcPr>
            <w:tcW w:w="3400" w:type="dxa"/>
            <w:vAlign w:val="bottom"/>
          </w:tcPr>
          <w:p>
            <w:pPr>
              <w:ind w:left="360"/>
              <w:spacing w:after="0"/>
              <w:rPr>
                <w:sz w:val="20"/>
                <w:szCs w:val="20"/>
                <w:color w:val="auto"/>
              </w:rPr>
            </w:pPr>
            <w:r>
              <w:rPr>
                <w:rFonts w:ascii="Arial" w:cs="Arial" w:eastAsia="Arial" w:hAnsi="Arial"/>
                <w:sz w:val="16"/>
                <w:szCs w:val="16"/>
                <w:color w:val="auto"/>
              </w:rPr>
              <w:t>Total net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3,587.7</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4,417.1</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 xml:space="preserve">Other revenues </w:t>
            </w:r>
            <w:r>
              <w:rPr>
                <w:rFonts w:ascii="Arial" w:cs="Arial" w:eastAsia="Arial" w:hAnsi="Arial"/>
                <w:sz w:val="18"/>
                <w:szCs w:val="18"/>
                <w:color w:val="auto"/>
                <w:vertAlign w:val="superscript"/>
              </w:rPr>
              <w:t>(3)</w:t>
            </w: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9"/>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 xml:space="preserve">Consolidated total revenues </w:t>
            </w:r>
            <w:r>
              <w:rPr>
                <w:rFonts w:ascii="Arial" w:cs="Arial" w:eastAsia="Arial" w:hAnsi="Arial"/>
                <w:sz w:val="18"/>
                <w:szCs w:val="18"/>
                <w:color w:val="auto"/>
                <w:vertAlign w:val="superscript"/>
              </w:rPr>
              <w:t>(4)</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4,341.6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gridSpan w:val="2"/>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3,623.5</w:t>
            </w:r>
          </w:p>
        </w:tc>
        <w:tc>
          <w:tcPr>
            <w:tcW w:w="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4,427.7</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5"/>
          </w:tcPr>
          <w:p>
            <w:pPr>
              <w:jc w:val="center"/>
              <w:ind w:left="686"/>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jc w:val="center"/>
              <w:ind w:left="686"/>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5"/>
            <w:vMerge w:val="restart"/>
          </w:tcPr>
          <w:p>
            <w:pPr>
              <w:jc w:val="center"/>
              <w:ind w:right="140"/>
              <w:spacing w:after="0"/>
              <w:rPr>
                <w:sz w:val="20"/>
                <w:szCs w:val="20"/>
                <w:color w:val="auto"/>
              </w:rPr>
            </w:pPr>
            <w:r>
              <w:rPr>
                <w:rFonts w:ascii="Arial" w:cs="Arial" w:eastAsia="Arial" w:hAnsi="Arial"/>
                <w:sz w:val="14"/>
                <w:szCs w:val="14"/>
                <w:b w:val="1"/>
                <w:bCs w:val="1"/>
                <w:color w:val="auto"/>
              </w:rPr>
              <w:t>2021 Currency</w:t>
            </w:r>
          </w:p>
        </w:tc>
        <w:tc>
          <w:tcPr>
            <w:tcW w:w="11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2021 Constant</w:t>
            </w:r>
          </w:p>
        </w:tc>
        <w:tc>
          <w:tcPr>
            <w:tcW w:w="10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Constant</w:t>
            </w:r>
          </w:p>
        </w:tc>
        <w:tc>
          <w:tcPr>
            <w:tcW w:w="0" w:type="dxa"/>
            <w:vAlign w:val="bottom"/>
          </w:tcPr>
          <w:p>
            <w:pPr>
              <w:spacing w:after="0"/>
              <w:rPr>
                <w:sz w:val="1"/>
                <w:szCs w:val="1"/>
                <w:color w:val="auto"/>
              </w:rPr>
            </w:pPr>
          </w:p>
        </w:tc>
      </w:tr>
      <w:tr>
        <w:trPr>
          <w:trHeight w:val="13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8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center"/>
              <w:ind w:right="121"/>
              <w:spacing w:after="0" w:line="135" w:lineRule="exact"/>
              <w:rPr>
                <w:sz w:val="20"/>
                <w:szCs w:val="20"/>
                <w:color w:val="auto"/>
              </w:rPr>
            </w:pPr>
            <w:r>
              <w:rPr>
                <w:rFonts w:ascii="Arial" w:cs="Arial" w:eastAsia="Arial" w:hAnsi="Arial"/>
                <w:sz w:val="14"/>
                <w:szCs w:val="14"/>
                <w:b w:val="1"/>
                <w:bCs w:val="1"/>
                <w:color w:val="auto"/>
              </w:rPr>
              <w:t>Currency</w:t>
            </w:r>
          </w:p>
        </w:tc>
        <w:tc>
          <w:tcPr>
            <w:tcW w:w="100" w:type="dxa"/>
            <w:vAlign w:val="bottom"/>
          </w:tcPr>
          <w:p>
            <w:pPr>
              <w:spacing w:after="0"/>
              <w:rPr>
                <w:sz w:val="11"/>
                <w:szCs w:val="11"/>
                <w:color w:val="auto"/>
              </w:rPr>
            </w:pPr>
          </w:p>
        </w:tc>
        <w:tc>
          <w:tcPr>
            <w:tcW w:w="13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Currency %</w:t>
            </w:r>
          </w:p>
        </w:tc>
        <w:tc>
          <w:tcPr>
            <w:tcW w:w="0" w:type="dxa"/>
            <w:vAlign w:val="bottom"/>
          </w:tcPr>
          <w:p>
            <w:pPr>
              <w:spacing w:after="0"/>
              <w:rPr>
                <w:sz w:val="1"/>
                <w:szCs w:val="1"/>
                <w:color w:val="auto"/>
              </w:rPr>
            </w:pPr>
          </w:p>
        </w:tc>
      </w:tr>
      <w:tr>
        <w:trPr>
          <w:trHeight w:val="176"/>
        </w:trPr>
        <w:tc>
          <w:tcPr>
            <w:tcW w:w="34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vMerge w:val="continue"/>
          </w:tcPr>
          <w:p>
            <w:pPr>
              <w:spacing w:after="0"/>
              <w:rPr>
                <w:sz w:val="15"/>
                <w:szCs w:val="15"/>
                <w:color w:val="auto"/>
              </w:rPr>
            </w:pPr>
          </w:p>
        </w:tc>
        <w:tc>
          <w:tcPr>
            <w:tcW w:w="12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9"/>
                <w:szCs w:val="9"/>
                <w:b w:val="1"/>
                <w:bCs w:val="1"/>
                <w:color w:val="auto"/>
              </w:rPr>
              <w:t>(1)</w:t>
            </w:r>
          </w:p>
        </w:tc>
        <w:tc>
          <w:tcPr>
            <w:tcW w:w="180" w:type="dxa"/>
            <w:vAlign w:val="bottom"/>
          </w:tcPr>
          <w:p>
            <w:pPr>
              <w:spacing w:after="0"/>
              <w:rPr>
                <w:sz w:val="15"/>
                <w:szCs w:val="15"/>
                <w:color w:val="auto"/>
              </w:rPr>
            </w:pPr>
          </w:p>
        </w:tc>
        <w:tc>
          <w:tcPr>
            <w:tcW w:w="1000" w:type="dxa"/>
            <w:vAlign w:val="bottom"/>
          </w:tcPr>
          <w:p>
            <w:pPr>
              <w:jc w:val="center"/>
              <w:ind w:right="121"/>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Change </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96"/>
        </w:trPr>
        <w:tc>
          <w:tcPr>
            <w:tcW w:w="34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sales</w:t>
            </w: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20"/>
              <w:spacing w:after="0"/>
              <w:rPr>
                <w:sz w:val="20"/>
                <w:szCs w:val="20"/>
                <w:color w:val="auto"/>
              </w:rPr>
            </w:pPr>
            <w:r>
              <w:rPr>
                <w:rFonts w:ascii="Arial" w:cs="Arial" w:eastAsia="Arial" w:hAnsi="Arial"/>
                <w:sz w:val="16"/>
                <w:szCs w:val="16"/>
                <w:color w:val="auto"/>
              </w:rPr>
              <w:t>Developed Markets</w:t>
            </w:r>
          </w:p>
        </w:tc>
        <w:tc>
          <w:tcPr>
            <w:tcW w:w="280" w:type="dxa"/>
            <w:vAlign w:val="bottom"/>
            <w:gridSpan w:val="2"/>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10,428.7</w:t>
            </w:r>
          </w:p>
        </w:tc>
        <w:tc>
          <w:tcPr>
            <w:tcW w:w="20" w:type="dxa"/>
            <w:vAlign w:val="bottom"/>
          </w:tcPr>
          <w:p>
            <w:pPr>
              <w:spacing w:after="0"/>
              <w:rPr>
                <w:sz w:val="18"/>
                <w:szCs w:val="18"/>
                <w:color w:val="auto"/>
              </w:rPr>
            </w:pPr>
          </w:p>
        </w:tc>
        <w:tc>
          <w:tcPr>
            <w:tcW w:w="36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8,510.9</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jc w:val="right"/>
              <w:ind w:right="344"/>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10,243.6</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Greater China</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nm</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2,203.5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3400" w:type="dxa"/>
            <w:vAlign w:val="bottom"/>
          </w:tcPr>
          <w:p>
            <w:pPr>
              <w:ind w:left="220"/>
              <w:spacing w:after="0"/>
              <w:rPr>
                <w:sz w:val="20"/>
                <w:szCs w:val="20"/>
                <w:color w:val="auto"/>
              </w:rPr>
            </w:pPr>
            <w:r>
              <w:rPr>
                <w:rFonts w:ascii="Arial" w:cs="Arial" w:eastAsia="Arial" w:hAnsi="Arial"/>
                <w:sz w:val="16"/>
                <w:szCs w:val="16"/>
                <w:color w:val="auto"/>
              </w:rPr>
              <w:t>JANZ</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2,027.4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1,195.3</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2,024.7</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Emerging Markets</w:t>
            </w: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1,853.8</w:t>
            </w:r>
          </w:p>
        </w:tc>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3,135.4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0" w:type="dxa"/>
            <w:vAlign w:val="bottom"/>
          </w:tcPr>
          <w:p>
            <w:pPr>
              <w:spacing w:after="0"/>
              <w:rPr>
                <w:sz w:val="1"/>
                <w:szCs w:val="1"/>
                <w:color w:val="auto"/>
              </w:rPr>
            </w:pPr>
          </w:p>
        </w:tc>
      </w:tr>
      <w:tr>
        <w:trPr>
          <w:trHeight w:val="209"/>
        </w:trPr>
        <w:tc>
          <w:tcPr>
            <w:tcW w:w="3400" w:type="dxa"/>
            <w:vAlign w:val="bottom"/>
          </w:tcPr>
          <w:p>
            <w:pPr>
              <w:ind w:left="360"/>
              <w:spacing w:after="0"/>
              <w:rPr>
                <w:sz w:val="20"/>
                <w:szCs w:val="20"/>
                <w:color w:val="auto"/>
              </w:rPr>
            </w:pPr>
            <w:r>
              <w:rPr>
                <w:rFonts w:ascii="Arial" w:cs="Arial" w:eastAsia="Arial" w:hAnsi="Arial"/>
                <w:sz w:val="16"/>
                <w:szCs w:val="16"/>
                <w:color w:val="auto"/>
              </w:rPr>
              <w:t>Total net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17,813.6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11,819.9</w:t>
            </w:r>
          </w:p>
        </w:tc>
        <w:tc>
          <w:tcPr>
            <w:tcW w:w="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51 %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17,607.2</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49 %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Other revenues </w:t>
            </w:r>
            <w:r>
              <w:rPr>
                <w:rFonts w:ascii="Arial" w:cs="Arial" w:eastAsia="Arial" w:hAnsi="Arial"/>
                <w:sz w:val="21"/>
                <w:szCs w:val="21"/>
                <w:color w:val="auto"/>
                <w:vertAlign w:val="superscript"/>
              </w:rPr>
              <w:t>(3)</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2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71.7</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Consolidated total revenues </w:t>
            </w:r>
            <w:r>
              <w:rPr>
                <w:rFonts w:ascii="Arial" w:cs="Arial" w:eastAsia="Arial" w:hAnsi="Arial"/>
                <w:sz w:val="21"/>
                <w:szCs w:val="21"/>
                <w:color w:val="auto"/>
                <w:vertAlign w:val="superscript"/>
              </w:rPr>
              <w:t>(4)</w:t>
            </w:r>
          </w:p>
        </w:tc>
        <w:tc>
          <w:tcPr>
            <w:tcW w:w="2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17,886.3</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11,946.0</w:t>
            </w:r>
          </w:p>
        </w:tc>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17,678.9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90"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Currency impact is shown as unfavorable (favorable).</w:t>
      </w:r>
    </w:p>
    <w:p>
      <w:pPr>
        <w:spacing w:after="0" w:line="43" w:lineRule="exact"/>
        <w:rPr>
          <w:rFonts w:ascii="Arial" w:cs="Arial" w:eastAsia="Arial" w:hAnsi="Arial"/>
          <w:sz w:val="19"/>
          <w:szCs w:val="19"/>
          <w:color w:val="auto"/>
          <w:vertAlign w:val="superscript"/>
        </w:rPr>
      </w:pPr>
    </w:p>
    <w:p>
      <w:pPr>
        <w:ind w:left="340" w:hanging="332"/>
        <w:spacing w:after="0" w:line="211" w:lineRule="auto"/>
        <w:tabs>
          <w:tab w:leader="none" w:pos="234"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The constant currency percentage change is derived by translating net sales or revenues for the current period at prior year comparative period exchange rates, and in doing so shows the percentage change from 2021 constant currency net sales or revenues to the corresponding amount in the prior year.</w:t>
      </w:r>
    </w:p>
    <w:p>
      <w:pPr>
        <w:spacing w:after="0" w:line="44" w:lineRule="exact"/>
        <w:rPr>
          <w:rFonts w:ascii="Arial" w:cs="Arial" w:eastAsia="Arial" w:hAnsi="Arial"/>
          <w:sz w:val="19"/>
          <w:szCs w:val="19"/>
          <w:color w:val="auto"/>
          <w:vertAlign w:val="superscript"/>
        </w:rPr>
      </w:pPr>
    </w:p>
    <w:p>
      <w:pPr>
        <w:jc w:val="both"/>
        <w:ind w:left="340" w:hanging="332"/>
        <w:spacing w:after="0" w:line="220" w:lineRule="auto"/>
        <w:tabs>
          <w:tab w:leader="none" w:pos="333"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December 31, 2021, other revenues in Developed Markets, JANZ, and Emerging Markets were approximately $4.4 million, $0.2 million, and $5.7 million, respectively. For the year ended December 31, 2021, other revenues in Developed Markets, JANZ, and Emerging Markets were approximately $51.0 million, $1.5 million, and $20.2 million, respectively.</w:t>
      </w:r>
    </w:p>
    <w:p>
      <w:pPr>
        <w:ind w:left="320" w:hanging="312"/>
        <w:spacing w:after="0" w:line="237" w:lineRule="auto"/>
        <w:tabs>
          <w:tab w:leader="none" w:pos="320"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Amounts exclude intersegment revenue that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3"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Reconciliation of Statements of Operations Line Items</w:t>
      </w:r>
    </w:p>
    <w:p>
      <w:pPr>
        <w:spacing w:after="0" w:line="13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(Unaudited; in millions, except %s)</w:t>
      </w:r>
    </w:p>
    <w:p>
      <w:pPr>
        <w:spacing w:after="0" w:line="145"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54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6"/>
                <w:szCs w:val="16"/>
                <w:color w:val="auto"/>
              </w:rPr>
            </w:pPr>
          </w:p>
        </w:tc>
      </w:tr>
      <w:tr>
        <w:trPr>
          <w:trHeight w:val="189"/>
        </w:trPr>
        <w:tc>
          <w:tcPr>
            <w:tcW w:w="5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3"/>
        </w:trPr>
        <w:tc>
          <w:tcPr>
            <w:tcW w:w="56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2,795.2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2,917.1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12,310.8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8,149.3</w:t>
            </w:r>
          </w:p>
        </w:tc>
      </w:tr>
      <w:tr>
        <w:trPr>
          <w:trHeight w:val="189"/>
        </w:trPr>
        <w:tc>
          <w:tcPr>
            <w:tcW w:w="564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(695.0)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(861.1)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(4,039.7)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(1,933.6)</w:t>
            </w:r>
          </w:p>
        </w:tc>
      </w:tr>
      <w:tr>
        <w:trPr>
          <w:trHeight w:val="189"/>
        </w:trPr>
        <w:tc>
          <w:tcPr>
            <w:tcW w:w="564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2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(16.9)</w:t>
            </w: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(534.7)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(207.7)</w:t>
            </w:r>
          </w:p>
        </w:tc>
      </w:tr>
      <w:tr>
        <w:trPr>
          <w:trHeight w:val="189"/>
        </w:trPr>
        <w:tc>
          <w:tcPr>
            <w:tcW w:w="564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(1.5)</w:t>
            </w:r>
          </w:p>
        </w:tc>
      </w:tr>
      <w:tr>
        <w:trPr>
          <w:trHeight w:val="189"/>
        </w:trPr>
        <w:tc>
          <w:tcPr>
            <w:tcW w:w="56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(75.9)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(138.8)</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(333.0)</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(438.1)</w:t>
            </w:r>
          </w:p>
        </w:tc>
      </w:tr>
      <w:tr>
        <w:trPr>
          <w:trHeight w:val="183"/>
        </w:trPr>
        <w:tc>
          <w:tcPr>
            <w:tcW w:w="564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1,882.9</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1,721.3</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7,387.2</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5,551.5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2,458.7</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1,902.2</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10,499.1</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6,394.5</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83"/>
        </w:trPr>
        <w:tc>
          <w:tcPr>
            <w:tcW w:w="5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89"/>
        </w:trPr>
        <w:tc>
          <w:tcPr>
            <w:tcW w:w="564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8"/>
                <w:szCs w:val="18"/>
                <w:color w:val="auto"/>
                <w:vertAlign w:val="superscript"/>
              </w:rPr>
              <w:t>(a)</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38"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267.2</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154.8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555.1</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w:t>
            </w: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(0.3)</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r>
      <w:tr>
        <w:trPr>
          <w:trHeight w:val="189"/>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(83.2)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(47.2)</w:t>
            </w: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182.2</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637.6</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503.6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 as % of 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5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6"/>
                <w:szCs w:val="16"/>
                <w:color w:val="auto"/>
              </w:rPr>
            </w:pPr>
          </w:p>
        </w:tc>
      </w:tr>
      <w:tr>
        <w:trPr>
          <w:trHeight w:val="189"/>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1,082.9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1,361.4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4,529.2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3,344.6</w:t>
            </w:r>
          </w:p>
        </w:tc>
      </w:tr>
      <w:tr>
        <w:trPr>
          <w:trHeight w:val="189"/>
        </w:trPr>
        <w:tc>
          <w:tcPr>
            <w:tcW w:w="566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(388.5)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(208.1)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(595.0)</w:t>
            </w:r>
          </w:p>
        </w:tc>
      </w:tr>
      <w:tr>
        <w:trPr>
          <w:trHeight w:val="189"/>
        </w:trPr>
        <w:tc>
          <w:tcPr>
            <w:tcW w:w="566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(351.5)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88"/>
              <w:spacing w:after="0"/>
              <w:rPr>
                <w:sz w:val="20"/>
                <w:szCs w:val="20"/>
                <w:color w:val="auto"/>
              </w:rPr>
            </w:pPr>
            <w:r>
              <w:rPr>
                <w:rFonts w:ascii="Arial" w:cs="Arial" w:eastAsia="Arial" w:hAnsi="Arial"/>
                <w:sz w:val="14"/>
                <w:szCs w:val="14"/>
                <w:color w:val="auto"/>
              </w:rPr>
              <w:t>(115.0)</w:t>
            </w:r>
          </w:p>
        </w:tc>
      </w:tr>
      <w:tr>
        <w:trPr>
          <w:trHeight w:val="189"/>
        </w:trPr>
        <w:tc>
          <w:tcPr>
            <w:tcW w:w="5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(75.4)</w:t>
            </w:r>
          </w:p>
        </w:tc>
      </w:tr>
      <w:tr>
        <w:trPr>
          <w:trHeight w:val="189"/>
        </w:trPr>
        <w:tc>
          <w:tcPr>
            <w:tcW w:w="56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(10.1)</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(31.7)</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(49.5)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(44.6)</w:t>
            </w: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962.7</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826.9</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3,815.7</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2,514.6</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14"/>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886" w:right="419" w:bottom="1440" w:gutter="0" w:footer="0" w:header="0"/>
        </w:sectPr>
      </w:pPr>
    </w:p>
    <w:bookmarkStart w:id="23" w:name="page24"/>
    <w:bookmarkEnd w:id="23"/>
    <w:tbl>
      <w:tblPr>
        <w:tblLayout w:type="fixed"/>
        <w:tblInd w:w="10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6"/>
                <w:szCs w:val="16"/>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1,624.0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5,609.5</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4,007.5</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Deduct: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(329.2)</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w:t>
            </w:r>
          </w:p>
        </w:tc>
      </w:tr>
      <w:tr>
        <w:trPr>
          <w:trHeight w:val="189"/>
        </w:trPr>
        <w:tc>
          <w:tcPr>
            <w:tcW w:w="598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(51.5)</w:t>
            </w: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(534.5)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(713.5)</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(830.0)</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1,144.9</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978.2</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4,453.3</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3,018.2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5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9"/>
        </w:trPr>
        <w:tc>
          <w:tcPr>
            <w:tcW w:w="598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8"/>
                <w:szCs w:val="18"/>
                <w:color w:val="auto"/>
                <w:vertAlign w:val="superscript"/>
              </w:rPr>
              <w:t>(b)</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1,313.8</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924.0</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6,045.8</w:t>
            </w:r>
          </w:p>
        </w:tc>
        <w:tc>
          <w:tcPr>
            <w:tcW w:w="120" w:type="dxa"/>
            <w:vAlign w:val="bottom"/>
          </w:tcPr>
          <w:p>
            <w:pPr>
              <w:spacing w:after="0"/>
              <w:rPr>
                <w:sz w:val="16"/>
                <w:szCs w:val="16"/>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3,376.3</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0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6"/>
              </w:rPr>
              <w:t>148.2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636.2</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497.8</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9"/>
        </w:trPr>
        <w:tc>
          <w:tcPr>
            <w:tcW w:w="598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7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r>
      <w:tr>
        <w:trPr>
          <w:trHeight w:val="189"/>
        </w:trPr>
        <w:tc>
          <w:tcPr>
            <w:tcW w:w="598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76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7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83"/>
        </w:trPr>
        <w:tc>
          <w:tcPr>
            <w:tcW w:w="5980" w:type="dxa"/>
            <w:vAlign w:val="bottom"/>
          </w:tcPr>
          <w:p>
            <w:pPr>
              <w:ind w:left="20"/>
              <w:spacing w:after="0"/>
              <w:rPr>
                <w:sz w:val="20"/>
                <w:szCs w:val="20"/>
                <w:color w:val="auto"/>
              </w:rPr>
            </w:pPr>
            <w:r>
              <w:rPr>
                <w:rFonts w:ascii="Arial" w:cs="Arial" w:eastAsia="Arial" w:hAnsi="Arial"/>
                <w:sz w:val="14"/>
                <w:szCs w:val="14"/>
                <w:color w:val="auto"/>
              </w:rPr>
              <w:t>Adjusted interest expense</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6"/>
              </w:rPr>
              <w:t>161.7</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148.2</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690.0</w:t>
            </w:r>
          </w:p>
        </w:tc>
        <w:tc>
          <w:tcPr>
            <w:tcW w:w="120" w:type="dxa"/>
            <w:vAlign w:val="bottom"/>
          </w:tcPr>
          <w:p>
            <w:pPr>
              <w:spacing w:after="0"/>
              <w:rPr>
                <w:sz w:val="15"/>
                <w:szCs w:val="15"/>
                <w:color w:val="auto"/>
              </w:rPr>
            </w:pPr>
          </w:p>
        </w:tc>
        <w:tc>
          <w:tcPr>
            <w:tcW w:w="4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485.0</w:t>
            </w:r>
          </w:p>
        </w:tc>
      </w:tr>
      <w:tr>
        <w:trPr>
          <w:trHeight w:val="21"/>
        </w:trPr>
        <w:tc>
          <w:tcPr>
            <w:tcW w:w="59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5980" w:type="dxa"/>
            <w:vAlign w:val="bottom"/>
          </w:tcPr>
          <w:p>
            <w:pPr>
              <w:spacing w:after="0"/>
              <w:rPr>
                <w:sz w:val="16"/>
                <w:szCs w:val="16"/>
                <w:color w:val="auto"/>
              </w:rPr>
            </w:pPr>
          </w:p>
        </w:tc>
        <w:tc>
          <w:tcPr>
            <w:tcW w:w="206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6"/>
                <w:szCs w:val="16"/>
                <w:color w:val="auto"/>
              </w:rPr>
            </w:pPr>
          </w:p>
        </w:tc>
      </w:tr>
      <w:tr>
        <w:trPr>
          <w:trHeight w:val="189"/>
        </w:trPr>
        <w:tc>
          <w:tcPr>
            <w:tcW w:w="59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6"/>
                <w:szCs w:val="16"/>
                <w:color w:val="auto"/>
              </w:rPr>
            </w:pPr>
          </w:p>
        </w:tc>
      </w:tr>
      <w:tr>
        <w:trPr>
          <w:trHeight w:val="183"/>
        </w:trPr>
        <w:tc>
          <w:tcPr>
            <w:tcW w:w="59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r>
      <w:tr>
        <w:trPr>
          <w:trHeight w:val="183"/>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(income) expense, net</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center"/>
              <w:ind w:left="268"/>
              <w:spacing w:after="0"/>
              <w:rPr>
                <w:sz w:val="20"/>
                <w:szCs w:val="20"/>
                <w:color w:val="auto"/>
              </w:rPr>
            </w:pPr>
            <w:r>
              <w:rPr>
                <w:rFonts w:ascii="Arial" w:cs="Arial" w:eastAsia="Arial" w:hAnsi="Arial"/>
                <w:sz w:val="14"/>
                <w:szCs w:val="14"/>
                <w:color w:val="auto"/>
              </w:rPr>
              <w:t>12.6</w:t>
            </w:r>
          </w:p>
        </w:tc>
      </w:tr>
      <w:tr>
        <w:trPr>
          <w:trHeight w:val="189"/>
        </w:trPr>
        <w:tc>
          <w:tcPr>
            <w:tcW w:w="598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9"/>
        </w:trPr>
        <w:tc>
          <w:tcPr>
            <w:tcW w:w="5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9"/>
                <w:szCs w:val="9"/>
                <w:color w:val="auto"/>
              </w:rPr>
              <w:t>(c)</w:t>
            </w:r>
          </w:p>
        </w:tc>
        <w:tc>
          <w:tcPr>
            <w:tcW w:w="7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80" w:type="dxa"/>
            <w:vAlign w:val="bottom"/>
            <w:shd w:val="clear" w:color="auto" w:fill="CCEEFF"/>
          </w:tcPr>
          <w:p>
            <w:pPr>
              <w:jc w:val="center"/>
              <w:ind w:left="248"/>
              <w:spacing w:after="0"/>
              <w:rPr>
                <w:sz w:val="20"/>
                <w:szCs w:val="20"/>
                <w:color w:val="auto"/>
              </w:rPr>
            </w:pPr>
            <w:r>
              <w:rPr>
                <w:rFonts w:ascii="Arial" w:cs="Arial" w:eastAsia="Arial" w:hAnsi="Arial"/>
                <w:sz w:val="14"/>
                <w:szCs w:val="14"/>
                <w:color w:val="auto"/>
              </w:rPr>
              <w:t>(48.4)</w:t>
            </w:r>
          </w:p>
        </w:tc>
      </w:tr>
      <w:tr>
        <w:trPr>
          <w:trHeight w:val="189"/>
        </w:trPr>
        <w:tc>
          <w:tcPr>
            <w:tcW w:w="5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items</w:t>
            </w: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16.8</w:t>
            </w:r>
          </w:p>
        </w:tc>
      </w:tr>
      <w:tr>
        <w:trPr>
          <w:trHeight w:val="208"/>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net</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center"/>
              <w:ind w:left="248"/>
              <w:spacing w:after="0"/>
              <w:rPr>
                <w:sz w:val="20"/>
                <w:szCs w:val="20"/>
                <w:color w:val="auto"/>
              </w:rPr>
            </w:pPr>
            <w:r>
              <w:rPr>
                <w:rFonts w:ascii="Arial" w:cs="Arial" w:eastAsia="Arial" w:hAnsi="Arial"/>
                <w:sz w:val="14"/>
                <w:szCs w:val="14"/>
                <w:color w:val="auto"/>
              </w:rPr>
              <w:t>(19.0)</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15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3"/>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loss before income taxes</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(203.9)</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(664.4)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1,381.8</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1,811.8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6,079.9</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3,631.4</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1,177.9</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798.3</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5,415.5</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2,910.2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 (benefit)</w:t>
            </w: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604.7</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189"/>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146.2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245.4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343.0</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589.7</w:t>
            </w: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206.1</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947.7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538.4</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6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660" w:hanging="328"/>
        <w:spacing w:after="0" w:line="220" w:lineRule="auto"/>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44"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44" w:lineRule="exact"/>
        <w:rPr>
          <w:rFonts w:ascii="Arial" w:cs="Arial" w:eastAsia="Arial" w:hAnsi="Arial"/>
          <w:sz w:val="19"/>
          <w:szCs w:val="19"/>
          <w:color w:val="auto"/>
          <w:vertAlign w:val="superscript"/>
        </w:rPr>
      </w:pPr>
    </w:p>
    <w:p>
      <w:pPr>
        <w:ind w:left="660" w:hanging="328"/>
        <w:spacing w:after="0" w:line="211" w:lineRule="auto"/>
        <w:tabs>
          <w:tab w:leader="none" w:pos="64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Adjustment represents exclusion of activity related to Mylan's clean energy investments, the activities of which qualify for income tax credits under section 45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936" w:right="339" w:bottom="1440" w:gutter="0" w:footer="0" w:header="0"/>
        </w:sectPr>
      </w:pPr>
    </w:p>
    <w:bookmarkStart w:id="24" w:name="page25"/>
    <w:bookmarkEnd w:id="24"/>
    <w:p>
      <w:pPr>
        <w:ind w:left="4700" w:right="2580" w:hanging="4700"/>
        <w:spacing w:after="0" w:line="287" w:lineRule="auto"/>
        <w:rPr>
          <w:sz w:val="20"/>
          <w:szCs w:val="20"/>
          <w:color w:val="auto"/>
        </w:rPr>
      </w:pPr>
      <w:r>
        <w:rPr>
          <w:rFonts w:ascii="Arial" w:cs="Arial" w:eastAsia="Arial" w:hAnsi="Arial"/>
          <w:sz w:val="18"/>
          <w:szCs w:val="18"/>
          <w:b w:val="1"/>
          <w:bCs w:val="1"/>
          <w:color w:val="auto"/>
        </w:rPr>
        <w:t xml:space="preserve">Reconciliation of Estimated 2022 GAAP Net Cash Provided by Operating Activities to Free Cash Flow </w:t>
      </w:r>
      <w:r>
        <w:rPr>
          <w:rFonts w:ascii="Arial" w:cs="Arial" w:eastAsia="Arial" w:hAnsi="Arial"/>
          <w:sz w:val="18"/>
          <w:szCs w:val="18"/>
          <w:color w:val="auto"/>
        </w:rPr>
        <w:t>(Unaudited; in millions)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estimated 2022 GAAP Net Cash provided by Operating Activities to Free Cash Flow is presented below:</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Estimated GAAP 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$3,400</w:t>
            </w:r>
          </w:p>
        </w:tc>
      </w:tr>
      <w:tr>
        <w:trPr>
          <w:trHeight w:val="216"/>
        </w:trPr>
        <w:tc>
          <w:tcPr>
            <w:tcW w:w="8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Less: Capital Expenditures</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($675)</w:t>
            </w:r>
          </w:p>
        </w:tc>
      </w:tr>
      <w:tr>
        <w:trPr>
          <w:trHeight w:val="199"/>
        </w:trPr>
        <w:tc>
          <w:tcPr>
            <w:tcW w:w="8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Free Cash Flow</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1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$2,900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102" w:right="35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b w:val="1"/>
          <w:bCs w:val="1"/>
          <w:color w:val="auto"/>
        </w:rPr>
        <w:t>Combined Adjusted EBITDA - Three and twelve months ended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80" w:type="dxa"/>
            <w:vAlign w:val="bottom"/>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0" w:type="dxa"/>
            <w:vAlign w:val="bottom"/>
          </w:tcPr>
          <w:p>
            <w:pPr>
              <w:jc w:val="right"/>
              <w:ind w:right="16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6"/>
        </w:trPr>
        <w:tc>
          <w:tcPr>
            <w:tcW w:w="72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5"/>
                <w:szCs w:val="15"/>
                <w:color w:val="auto"/>
              </w:rPr>
            </w:pPr>
          </w:p>
        </w:tc>
        <w:tc>
          <w:tcPr>
            <w:tcW w:w="1800" w:type="dxa"/>
            <w:vAlign w:val="bottom"/>
          </w:tcPr>
          <w:p>
            <w:pPr>
              <w:jc w:val="right"/>
              <w:ind w:right="260"/>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GAAP net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(669.9)</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Add / (deduct) adjustments: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contribution attributable to equity method investments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Income tax benefit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(a)</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16"/>
        </w:trPr>
        <w:tc>
          <w:tcPr>
            <w:tcW w:w="72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953.1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2,216.1</w:t>
            </w:r>
          </w:p>
        </w:tc>
        <w:tc>
          <w:tcPr>
            <w:tcW w:w="0" w:type="dxa"/>
            <w:vAlign w:val="bottom"/>
          </w:tcPr>
          <w:p>
            <w:pPr>
              <w:spacing w:after="0"/>
              <w:rPr>
                <w:sz w:val="1"/>
                <w:szCs w:val="1"/>
                <w:color w:val="auto"/>
              </w:rPr>
            </w:pPr>
          </w:p>
        </w:tc>
      </w:tr>
      <w:tr>
        <w:trPr>
          <w:trHeight w:val="209"/>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2,041.1</w:t>
            </w:r>
          </w:p>
        </w:tc>
        <w:tc>
          <w:tcPr>
            <w:tcW w:w="0" w:type="dxa"/>
            <w:vAlign w:val="bottom"/>
          </w:tcPr>
          <w:p>
            <w:pPr>
              <w:spacing w:after="0"/>
              <w:rPr>
                <w:sz w:val="1"/>
                <w:szCs w:val="1"/>
                <w:color w:val="auto"/>
              </w:rPr>
            </w:pPr>
          </w:p>
        </w:tc>
      </w:tr>
      <w:tr>
        <w:trPr>
          <w:trHeight w:val="213"/>
        </w:trPr>
        <w:tc>
          <w:tcPr>
            <w:tcW w:w="7220" w:type="dxa"/>
            <w:vAlign w:val="bottom"/>
          </w:tcPr>
          <w:p>
            <w:pPr>
              <w:ind w:left="20"/>
              <w:spacing w:after="0"/>
              <w:rPr>
                <w:sz w:val="20"/>
                <w:szCs w:val="20"/>
                <w:color w:val="auto"/>
              </w:rPr>
            </w:pPr>
            <w:r>
              <w:rPr>
                <w:rFonts w:ascii="Arial" w:cs="Arial" w:eastAsia="Arial" w:hAnsi="Arial"/>
                <w:sz w:val="16"/>
                <w:szCs w:val="16"/>
                <w:color w:val="auto"/>
              </w:rPr>
              <w:t>Add adjustments:</w:t>
            </w: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Share-based compensation expense</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13"/>
        </w:trPr>
        <w:tc>
          <w:tcPr>
            <w:tcW w:w="7220" w:type="dxa"/>
            <w:vAlign w:val="bottom"/>
          </w:tcPr>
          <w:p>
            <w:pPr>
              <w:ind w:left="140"/>
              <w:spacing w:after="0"/>
              <w:rPr>
                <w:sz w:val="20"/>
                <w:szCs w:val="20"/>
                <w:color w:val="auto"/>
              </w:rPr>
            </w:pPr>
            <w:r>
              <w:rPr>
                <w:rFonts w:ascii="Arial" w:cs="Arial" w:eastAsia="Arial" w:hAnsi="Arial"/>
                <w:sz w:val="16"/>
                <w:szCs w:val="16"/>
                <w:color w:val="auto"/>
              </w:rPr>
              <w:t>Litigation settlements and other contingencies, net</w:t>
            </w:r>
          </w:p>
        </w:tc>
        <w:tc>
          <w:tcPr>
            <w:tcW w:w="1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Restructuring, acquisition related and other special items </w:t>
            </w:r>
            <w:r>
              <w:rPr>
                <w:rFonts w:ascii="Arial" w:cs="Arial" w:eastAsia="Arial" w:hAnsi="Arial"/>
                <w:sz w:val="21"/>
                <w:szCs w:val="21"/>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1,426.0</w:t>
            </w:r>
          </w:p>
        </w:tc>
        <w:tc>
          <w:tcPr>
            <w:tcW w:w="0" w:type="dxa"/>
            <w:vAlign w:val="bottom"/>
          </w:tcPr>
          <w:p>
            <w:pPr>
              <w:spacing w:after="0"/>
              <w:rPr>
                <w:sz w:val="1"/>
                <w:szCs w:val="1"/>
                <w:color w:val="auto"/>
              </w:rPr>
            </w:pPr>
          </w:p>
        </w:tc>
      </w:tr>
      <w:tr>
        <w:trPr>
          <w:trHeight w:val="207"/>
        </w:trPr>
        <w:tc>
          <w:tcPr>
            <w:tcW w:w="7220" w:type="dxa"/>
            <w:vAlign w:val="bottom"/>
          </w:tcPr>
          <w:p>
            <w:pPr>
              <w:ind w:left="20"/>
              <w:spacing w:after="0"/>
              <w:rPr>
                <w:sz w:val="20"/>
                <w:szCs w:val="20"/>
                <w:color w:val="auto"/>
              </w:rPr>
            </w:pPr>
            <w:r>
              <w:rPr>
                <w:rFonts w:ascii="Arial" w:cs="Arial" w:eastAsia="Arial" w:hAnsi="Arial"/>
                <w:sz w:val="16"/>
                <w:szCs w:val="16"/>
                <w:color w:val="auto"/>
              </w:rPr>
              <w:t>Viatris Adjusted EBITDA</w:t>
            </w:r>
          </w:p>
        </w:tc>
        <w:tc>
          <w:tcPr>
            <w:tcW w:w="1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1,015.1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3,654.1</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Upjohn Adjusted EBITDA for nine months ended September 30, 2020</w:t>
            </w: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2,806.0</w:t>
            </w:r>
          </w:p>
        </w:tc>
        <w:tc>
          <w:tcPr>
            <w:tcW w:w="0" w:type="dxa"/>
            <w:vAlign w:val="bottom"/>
          </w:tcPr>
          <w:p>
            <w:pPr>
              <w:spacing w:after="0"/>
              <w:rPr>
                <w:sz w:val="1"/>
                <w:szCs w:val="1"/>
                <w:color w:val="auto"/>
              </w:rPr>
            </w:pPr>
          </w:p>
        </w:tc>
      </w:tr>
      <w:tr>
        <w:trPr>
          <w:trHeight w:val="209"/>
        </w:trPr>
        <w:tc>
          <w:tcPr>
            <w:tcW w:w="7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1,015.1</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6,460.1</w:t>
            </w:r>
          </w:p>
        </w:tc>
        <w:tc>
          <w:tcPr>
            <w:tcW w:w="0" w:type="dxa"/>
            <w:vAlign w:val="bottom"/>
          </w:tcPr>
          <w:p>
            <w:pPr>
              <w:spacing w:after="0"/>
              <w:rPr>
                <w:sz w:val="1"/>
                <w:szCs w:val="1"/>
                <w:color w:val="auto"/>
              </w:rPr>
            </w:pPr>
          </w:p>
        </w:tc>
      </w:tr>
      <w:tr>
        <w:trPr>
          <w:trHeight w:val="219"/>
        </w:trPr>
        <w:tc>
          <w:tcPr>
            <w:tcW w:w="72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Upjohn estimated Adjusted EBITDA </w:t>
            </w:r>
            <w:r>
              <w:rPr>
                <w:rFonts w:ascii="Arial" w:cs="Arial" w:eastAsia="Arial" w:hAnsi="Arial"/>
                <w:sz w:val="21"/>
                <w:szCs w:val="21"/>
                <w:color w:val="auto"/>
                <w:vertAlign w:val="superscript"/>
              </w:rPr>
              <w:t>(d)</w:t>
            </w: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347.1</w:t>
            </w:r>
          </w:p>
        </w:tc>
        <w:tc>
          <w:tcPr>
            <w:tcW w:w="0" w:type="dxa"/>
            <w:vAlign w:val="bottom"/>
          </w:tcPr>
          <w:p>
            <w:pPr>
              <w:spacing w:after="0"/>
              <w:rPr>
                <w:sz w:val="1"/>
                <w:szCs w:val="1"/>
                <w:color w:val="auto"/>
              </w:rPr>
            </w:pPr>
          </w:p>
        </w:tc>
      </w:tr>
      <w:tr>
        <w:trPr>
          <w:trHeight w:val="210"/>
        </w:trPr>
        <w:tc>
          <w:tcPr>
            <w:tcW w:w="7220" w:type="dxa"/>
            <w:vAlign w:val="bottom"/>
          </w:tcPr>
          <w:p>
            <w:pPr>
              <w:ind w:left="20"/>
              <w:spacing w:after="0"/>
              <w:rPr>
                <w:sz w:val="20"/>
                <w:szCs w:val="20"/>
                <w:color w:val="auto"/>
              </w:rPr>
            </w:pPr>
            <w:r>
              <w:rPr>
                <w:rFonts w:ascii="Arial" w:cs="Arial" w:eastAsia="Arial" w:hAnsi="Arial"/>
                <w:sz w:val="16"/>
                <w:szCs w:val="16"/>
                <w:color w:val="auto"/>
              </w:rPr>
              <w:t>Combined Adjusted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1,362.2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6,807.2</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98"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clean energy investment financing and accretion of contingent consideration.</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Includes purchase accounting related amortization.</w:t>
      </w:r>
    </w:p>
    <w:p>
      <w:pPr>
        <w:spacing w:after="0" w:line="43" w:lineRule="exact"/>
        <w:rPr>
          <w:rFonts w:ascii="Arial" w:cs="Arial" w:eastAsia="Arial" w:hAnsi="Arial"/>
          <w:sz w:val="19"/>
          <w:szCs w:val="19"/>
          <w:color w:val="auto"/>
          <w:vertAlign w:val="superscript"/>
        </w:rPr>
      </w:pPr>
    </w:p>
    <w:p>
      <w:pPr>
        <w:ind w:left="640" w:hanging="308"/>
        <w:spacing w:after="0" w:line="189" w:lineRule="auto"/>
        <w:tabs>
          <w:tab w:leader="none" w:pos="64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See items detailed in the Reconciliation of U.S. GAAP Net Earnings to Adjusted Net Earnings.</w:t>
      </w:r>
    </w:p>
    <w:p>
      <w:pPr>
        <w:spacing w:after="0" w:line="43" w:lineRule="exact"/>
        <w:rPr>
          <w:rFonts w:ascii="Arial" w:cs="Arial" w:eastAsia="Arial" w:hAnsi="Arial"/>
          <w:sz w:val="19"/>
          <w:szCs w:val="19"/>
          <w:color w:val="auto"/>
          <w:vertAlign w:val="superscript"/>
        </w:rPr>
      </w:pPr>
    </w:p>
    <w:p>
      <w:pPr>
        <w:ind w:left="660" w:hanging="328"/>
        <w:spacing w:after="0" w:line="211" w:lineRule="auto"/>
        <w:tabs>
          <w:tab w:leader="none" w:pos="65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Amount represents an estimate of Upjohn's Adjusted EBITDA for the period from October 1, 2020, through the closing of the Combination, including estimated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886" w:right="339" w:bottom="1440" w:gutter="0" w:footer="0" w:header="0"/>
        </w:sectPr>
      </w:pPr>
    </w:p>
    <w:bookmarkStart w:id="26" w:name="page27"/>
    <w:bookmarkEnd w:id="26"/>
    <w:p>
      <w:pPr>
        <w:ind w:left="5020"/>
        <w:spacing w:after="0"/>
        <w:rPr>
          <w:sz w:val="20"/>
          <w:szCs w:val="20"/>
          <w:color w:val="auto"/>
        </w:rPr>
      </w:pPr>
      <w:r>
        <w:rPr>
          <w:rFonts w:ascii="Arial" w:cs="Arial" w:eastAsia="Arial" w:hAnsi="Arial"/>
          <w:sz w:val="17"/>
          <w:szCs w:val="17"/>
          <w:b w:val="1"/>
          <w:bCs w:val="1"/>
          <w:color w:val="auto"/>
        </w:rPr>
        <w:t>Gross Leverage Ratio</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Viatris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Reported debt balances: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Long-term debt, including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Short-term borrowings and other current obligations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 / (deduct):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premiums on various debt 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financing fees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Fair value adjustment for hedged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debt at notional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debt to adjusted EBITDA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Twelve Months Ended December</w:t>
      </w:r>
    </w:p>
    <w:p>
      <w:pPr>
        <w:jc w:val="center"/>
        <w:spacing w:after="0"/>
        <w:rPr>
          <w:sz w:val="20"/>
          <w:szCs w:val="20"/>
          <w:color w:val="auto"/>
        </w:rPr>
      </w:pPr>
      <w:r>
        <w:rPr>
          <w:rFonts w:ascii="Arial" w:cs="Arial" w:eastAsia="Arial" w:hAnsi="Arial"/>
          <w:sz w:val="14"/>
          <w:szCs w:val="14"/>
          <w:b w:val="1"/>
          <w:bCs w:val="1"/>
          <w:color w:val="auto"/>
        </w:rPr>
        <w:t>31, 2021</w:t>
      </w:r>
    </w:p>
    <w:p>
      <w:pPr>
        <w:spacing w:after="0" w:line="39" w:lineRule="exact"/>
        <w:rPr>
          <w:sz w:val="20"/>
          <w:szCs w:val="20"/>
          <w:color w:val="auto"/>
        </w:rPr>
      </w:pPr>
    </w:p>
    <w:p>
      <w:pPr>
        <w:ind w:left="20"/>
        <w:spacing w:after="0"/>
        <w:tabs>
          <w:tab w:leader="none" w:pos="16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6,426.1</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 w:type="dxa"/>
            <w:vAlign w:val="bottom"/>
          </w:tcPr>
          <w:p>
            <w:pPr>
              <w:spacing w:after="0"/>
              <w:rPr>
                <w:sz w:val="16"/>
                <w:szCs w:val="16"/>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21,577.4</w:t>
            </w:r>
          </w:p>
        </w:tc>
      </w:tr>
      <w:tr>
        <w:trPr>
          <w:trHeight w:val="219"/>
        </w:trPr>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1,493.0</w:t>
            </w:r>
          </w:p>
        </w:tc>
      </w:tr>
      <w:tr>
        <w:trPr>
          <w:trHeight w:val="206"/>
        </w:trPr>
        <w:tc>
          <w:tcPr>
            <w:tcW w:w="820" w:type="dxa"/>
            <w:vAlign w:val="bottom"/>
          </w:tcPr>
          <w:p>
            <w:pPr>
              <w:spacing w:after="0"/>
              <w:rPr>
                <w:sz w:val="17"/>
                <w:szCs w:val="17"/>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23,070.4</w:t>
            </w:r>
          </w:p>
        </w:tc>
      </w:tr>
      <w:tr>
        <w:trPr>
          <w:trHeight w:val="432"/>
        </w:trPr>
        <w:tc>
          <w:tcPr>
            <w:tcW w:w="820" w:type="dxa"/>
            <w:vAlign w:val="bottom"/>
          </w:tcPr>
          <w:p>
            <w:pPr>
              <w:spacing w:after="0"/>
              <w:rPr>
                <w:sz w:val="24"/>
                <w:szCs w:val="24"/>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(651.6)</w:t>
            </w:r>
          </w:p>
        </w:tc>
      </w:tr>
      <w:tr>
        <w:trPr>
          <w:trHeight w:val="216"/>
        </w:trPr>
        <w:tc>
          <w:tcPr>
            <w:tcW w:w="820" w:type="dxa"/>
            <w:vAlign w:val="bottom"/>
          </w:tcPr>
          <w:p>
            <w:pPr>
              <w:spacing w:after="0"/>
              <w:rPr>
                <w:sz w:val="18"/>
                <w:szCs w:val="18"/>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42.4</w:t>
            </w:r>
          </w:p>
        </w:tc>
      </w:tr>
      <w:tr>
        <w:trPr>
          <w:trHeight w:val="219"/>
        </w:trPr>
        <w:tc>
          <w:tcPr>
            <w:tcW w:w="8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209"/>
        </w:trPr>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22,444.9</w:t>
            </w:r>
          </w:p>
        </w:tc>
      </w:tr>
      <w:tr>
        <w:trPr>
          <w:trHeight w:val="24"/>
        </w:trPr>
        <w:tc>
          <w:tcPr>
            <w:tcW w:w="8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bl>
    <w:p>
      <w:pPr>
        <w:spacing w:after="0" w:line="258"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3.49 x</w:t>
      </w:r>
    </w:p>
    <w:p>
      <w:pPr>
        <w:spacing w:after="0" w:line="200" w:lineRule="exact"/>
        <w:rPr>
          <w:sz w:val="20"/>
          <w:szCs w:val="20"/>
          <w:color w:val="auto"/>
        </w:rPr>
      </w:pPr>
    </w:p>
    <w:p>
      <w:pPr>
        <w:sectPr>
          <w:pgSz w:w="11900" w:h="16838" w:orient="portrait"/>
          <w:cols w:equalWidth="0" w:num="2">
            <w:col w:w="8200" w:space="720"/>
            <w:col w:w="2320"/>
          </w:cols>
          <w:pgMar w:left="320" w:top="886"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Gross Leverage Target</w:t>
      </w:r>
    </w:p>
    <w:p>
      <w:pPr>
        <w:spacing w:after="0" w:line="274"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The stated forward-looking non-GAAP financial measure of long-term gross leverage target of 3.0x, with a range of 2.8x – 3.2x, is based on the ratio of (i) targeted notional gross debt and (ii) targeted Adjusted EBITDA. However, the Company has not quantified future amounts to develop this target but has stated its goal to manage notional gross debt and adjusted earnings and adjusted EBITDA over time in order to generally maintain or reach the target. This target does not reflect Company guidance.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sectPr>
      <w:pgSz w:w="11900" w:h="16838" w:orient="portrait"/>
      <w:cols w:equalWidth="0" w:num="1">
        <w:col w:w="11240"/>
      </w:cols>
      <w:pgMar w:left="320" w:top="88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04"/>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2"/>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2022-02-28T07:26:36Z</dcterms:created>
  <dcterms:modified xsi:type="dcterms:W3CDTF">2022-02-28T07:26:36Z</dcterms:modified>
</cp:coreProperties>
</file>