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401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01383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spacing w:after="0" w:line="227" w:lineRule="exact"/>
              <w:rPr>
                <w:rFonts w:ascii="Arial" w:cs="Arial" w:eastAsia="Arial" w:hAnsi="Arial"/>
                <w:sz w:val="20"/>
                <w:szCs w:val="20"/>
                <w:color w:val="0000EE"/>
                <w:w w:val="92"/>
              </w:rPr>
            </w:pPr>
            <w:hyperlink r:id="rId12">
              <w:r>
                <w:rPr>
                  <w:rFonts w:ascii="Arial" w:cs="Arial" w:eastAsia="Arial" w:hAnsi="Arial"/>
                  <w:sz w:val="20"/>
                  <w:szCs w:val="20"/>
                  <w:color w:val="0000EE"/>
                  <w:w w:val="92"/>
                </w:rPr>
                <w:t>Mauro Anthony</w:t>
              </w:r>
            </w:hyperlink>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6"/>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00EE"/>
            </w:tcBorders>
            <w:gridSpan w:val="2"/>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1"/>
                <w:szCs w:val="11"/>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80" w:type="dxa"/>
            <w:vAlign w:val="bottom"/>
            <w:gridSpan w:val="7"/>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1000 MYLAN BOULEVARD</w:t>
            </w:r>
          </w:p>
        </w:tc>
        <w:tc>
          <w:tcPr>
            <w:tcW w:w="1060" w:type="dxa"/>
            <w:vAlign w:val="bottom"/>
          </w:tcPr>
          <w:p>
            <w:pPr>
              <w:spacing w:after="0"/>
              <w:rPr>
                <w:sz w:val="11"/>
                <w:szCs w:val="11"/>
                <w:color w:val="auto"/>
              </w:rPr>
            </w:pPr>
          </w:p>
        </w:tc>
        <w:tc>
          <w:tcPr>
            <w:tcW w:w="1220" w:type="dxa"/>
            <w:vAlign w:val="bottom"/>
            <w:gridSpan w:val="5"/>
            <w:vMerge w:val="restart"/>
          </w:tcPr>
          <w:p>
            <w:pPr>
              <w:ind w:left="400"/>
              <w:spacing w:after="0"/>
              <w:rPr>
                <w:sz w:val="20"/>
                <w:szCs w:val="20"/>
                <w:color w:val="auto"/>
              </w:rPr>
            </w:pPr>
            <w:r>
              <w:rPr>
                <w:rFonts w:ascii="Arial" w:cs="Arial" w:eastAsia="Arial" w:hAnsi="Arial"/>
                <w:sz w:val="16"/>
                <w:szCs w:val="16"/>
                <w:color w:val="0000FF"/>
                <w:w w:val="99"/>
              </w:rPr>
              <w:t>03/21/2022</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CANONSBURG  PA</w:t>
            </w:r>
          </w:p>
        </w:tc>
        <w:tc>
          <w:tcPr>
            <w:tcW w:w="106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36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5"/>
          </w:tcPr>
          <w:p>
            <w:pPr>
              <w:ind w:left="9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8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840" w:type="dxa"/>
            <w:vAlign w:val="bottom"/>
            <w:gridSpan w:val="3"/>
            <w:vMerge w:val="restart"/>
          </w:tcPr>
          <w:p>
            <w:pPr>
              <w:ind w:left="60"/>
              <w:spacing w:after="0"/>
              <w:rPr>
                <w:sz w:val="20"/>
                <w:szCs w:val="20"/>
                <w:color w:val="auto"/>
              </w:rPr>
            </w:pPr>
            <w:r>
              <w:rPr>
                <w:rFonts w:ascii="Arial" w:cs="Arial" w:eastAsia="Arial" w:hAnsi="Arial"/>
                <w:sz w:val="16"/>
                <w:szCs w:val="16"/>
                <w:color w:val="0000FF"/>
                <w:w w:val="94"/>
              </w:rPr>
              <w:t>1,059.2764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jc w:val="right"/>
              <w:ind w:right="163"/>
              <w:spacing w:after="0" w:line="120" w:lineRule="exact"/>
              <w:rPr>
                <w:sz w:val="20"/>
                <w:szCs w:val="20"/>
                <w:color w:val="auto"/>
              </w:rPr>
            </w:pPr>
            <w:r>
              <w:rPr>
                <w:rFonts w:ascii="Arial" w:cs="Arial" w:eastAsia="Arial" w:hAnsi="Arial"/>
                <w:sz w:val="12"/>
                <w:szCs w:val="12"/>
                <w:color w:val="0000FF"/>
              </w:rPr>
              <w:t>03/21/2022</w:t>
            </w:r>
          </w:p>
        </w:tc>
        <w:tc>
          <w:tcPr>
            <w:tcW w:w="1060" w:type="dxa"/>
            <w:vAlign w:val="bottom"/>
          </w:tcPr>
          <w:p>
            <w:pPr>
              <w:spacing w:after="0"/>
              <w:rPr>
                <w:sz w:val="10"/>
                <w:szCs w:val="10"/>
                <w:color w:val="auto"/>
              </w:rPr>
            </w:pPr>
          </w:p>
        </w:tc>
        <w:tc>
          <w:tcPr>
            <w:tcW w:w="82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680" w:type="dxa"/>
            <w:vAlign w:val="bottom"/>
            <w:gridSpan w:val="2"/>
          </w:tcPr>
          <w:p>
            <w:pPr>
              <w:ind w:left="20"/>
              <w:spacing w:after="0" w:line="120" w:lineRule="exact"/>
              <w:rPr>
                <w:sz w:val="20"/>
                <w:szCs w:val="20"/>
                <w:color w:val="auto"/>
              </w:rPr>
            </w:pPr>
            <w:r>
              <w:rPr>
                <w:rFonts w:ascii="Arial" w:cs="Arial" w:eastAsia="Arial" w:hAnsi="Arial"/>
                <w:sz w:val="12"/>
                <w:szCs w:val="12"/>
                <w:color w:val="0000FF"/>
              </w:rPr>
              <w:t>1,059.2764</w:t>
            </w: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160"/>
              <w:spacing w:after="0" w:line="120" w:lineRule="exact"/>
              <w:rPr>
                <w:sz w:val="20"/>
                <w:szCs w:val="20"/>
                <w:color w:val="auto"/>
              </w:rPr>
            </w:pPr>
            <w:r>
              <w:rPr>
                <w:rFonts w:ascii="Arial" w:cs="Arial" w:eastAsia="Arial" w:hAnsi="Arial"/>
                <w:sz w:val="12"/>
                <w:szCs w:val="12"/>
                <w:color w:val="0000FF"/>
              </w:rPr>
              <w:t>2,468.2764</w:t>
            </w:r>
          </w:p>
        </w:tc>
        <w:tc>
          <w:tcPr>
            <w:tcW w:w="600" w:type="dxa"/>
            <w:vAlign w:val="bottom"/>
          </w:tcPr>
          <w:p>
            <w:pPr>
              <w:ind w:left="30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1. Represents dividend equivalent units (DEUs) that accrued with respect to restricted stock units (RSUs) previously granted on March 2, 2021 and vest on the same schedule as the remaining unvested RSUs.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President, Developed Markets</w:t>
      </w:r>
    </w:p>
    <w:p>
      <w:pPr>
        <w:ind w:left="6600"/>
        <w:spacing w:after="0" w:line="184"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42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2022-03-23T18:03:13Z</dcterms:created>
  <dcterms:modified xsi:type="dcterms:W3CDTF">2022-03-23T18:03:13Z</dcterms:modified>
</cp:coreProperties>
</file>