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18"/>
          <w:szCs w:val="18"/>
          <w:color w:val="auto"/>
        </w:rPr>
        <w:t>Upjohn Inc.</w:t>
      </w:r>
    </w:p>
    <w:p>
      <w:pPr>
        <w:spacing w:after="0" w:line="23" w:lineRule="exact"/>
        <w:rPr>
          <w:sz w:val="24"/>
          <w:szCs w:val="24"/>
          <w:color w:val="auto"/>
        </w:rPr>
      </w:pPr>
    </w:p>
    <w:p>
      <w:pPr>
        <w:jc w:val="center"/>
        <w:ind w:right="-3"/>
        <w:spacing w:after="0"/>
        <w:rPr>
          <w:sz w:val="20"/>
          <w:szCs w:val="20"/>
          <w:color w:val="auto"/>
        </w:rPr>
      </w:pPr>
      <w:r>
        <w:rPr>
          <w:rFonts w:ascii="Arial" w:cs="Arial" w:eastAsia="Arial" w:hAnsi="Arial"/>
          <w:sz w:val="18"/>
          <w:szCs w:val="18"/>
          <w:color w:val="auto"/>
        </w:rPr>
        <w:t>235 East 42nd Street</w:t>
      </w:r>
    </w:p>
    <w:p>
      <w:pPr>
        <w:spacing w:after="0" w:line="9" w:lineRule="exact"/>
        <w:rPr>
          <w:sz w:val="24"/>
          <w:szCs w:val="24"/>
          <w:color w:val="auto"/>
        </w:rPr>
      </w:pPr>
    </w:p>
    <w:p>
      <w:pPr>
        <w:jc w:val="center"/>
        <w:ind w:right="16"/>
        <w:spacing w:after="0"/>
        <w:rPr>
          <w:sz w:val="20"/>
          <w:szCs w:val="20"/>
          <w:color w:val="auto"/>
        </w:rPr>
      </w:pPr>
      <w:r>
        <w:rPr>
          <w:rFonts w:ascii="Arial" w:cs="Arial" w:eastAsia="Arial" w:hAnsi="Arial"/>
          <w:sz w:val="18"/>
          <w:szCs w:val="18"/>
          <w:color w:val="auto"/>
        </w:rPr>
        <w:t>New York, NY 10017</w:t>
      </w:r>
    </w:p>
    <w:p>
      <w:pPr>
        <w:spacing w:after="0" w:line="21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February 11, 2020</w:t>
      </w:r>
    </w:p>
    <w:p>
      <w:pPr>
        <w:spacing w:after="0" w:line="113" w:lineRule="exact"/>
        <w:rPr>
          <w:sz w:val="24"/>
          <w:szCs w:val="24"/>
          <w:color w:val="auto"/>
        </w:rPr>
      </w:pPr>
    </w:p>
    <w:p>
      <w:pPr>
        <w:ind w:left="4"/>
        <w:spacing w:after="0"/>
        <w:rPr>
          <w:sz w:val="20"/>
          <w:szCs w:val="20"/>
          <w:color w:val="auto"/>
        </w:rPr>
      </w:pPr>
      <w:r>
        <w:rPr>
          <w:rFonts w:ascii="Arial" w:cs="Arial" w:eastAsia="Arial" w:hAnsi="Arial"/>
          <w:sz w:val="18"/>
          <w:szCs w:val="18"/>
          <w:b w:val="1"/>
          <w:bCs w:val="1"/>
          <w:u w:val="single" w:color="auto"/>
          <w:color w:val="auto"/>
        </w:rPr>
        <w:t>VIA EDGAR</w:t>
      </w:r>
    </w:p>
    <w:p>
      <w:pPr>
        <w:spacing w:after="0" w:line="229" w:lineRule="exact"/>
        <w:rPr>
          <w:sz w:val="24"/>
          <w:szCs w:val="24"/>
          <w:color w:val="auto"/>
        </w:rPr>
      </w:pPr>
    </w:p>
    <w:p>
      <w:pPr>
        <w:ind w:left="4"/>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ind w:left="4"/>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Office of Life Sciences</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ind w:left="4"/>
        <w:spacing w:after="0"/>
        <w:rPr>
          <w:sz w:val="20"/>
          <w:szCs w:val="20"/>
          <w:color w:val="auto"/>
        </w:rPr>
      </w:pPr>
      <w:r>
        <w:rPr>
          <w:rFonts w:ascii="Arial" w:cs="Arial" w:eastAsia="Arial" w:hAnsi="Arial"/>
          <w:sz w:val="18"/>
          <w:szCs w:val="18"/>
          <w:color w:val="auto"/>
        </w:rPr>
        <w:t>Attention:  Franklin Wyman</w:t>
      </w:r>
    </w:p>
    <w:p>
      <w:pPr>
        <w:spacing w:after="0" w:line="23" w:lineRule="exact"/>
        <w:rPr>
          <w:sz w:val="24"/>
          <w:szCs w:val="24"/>
          <w:color w:val="auto"/>
        </w:rPr>
      </w:pPr>
    </w:p>
    <w:p>
      <w:pPr>
        <w:ind w:left="844"/>
        <w:spacing w:after="0"/>
        <w:rPr>
          <w:sz w:val="20"/>
          <w:szCs w:val="20"/>
          <w:color w:val="auto"/>
        </w:rPr>
      </w:pPr>
      <w:r>
        <w:rPr>
          <w:rFonts w:ascii="Arial" w:cs="Arial" w:eastAsia="Arial" w:hAnsi="Arial"/>
          <w:sz w:val="18"/>
          <w:szCs w:val="18"/>
          <w:color w:val="auto"/>
        </w:rPr>
        <w:t>Kevin W. Vaughn</w:t>
      </w:r>
    </w:p>
    <w:p>
      <w:pPr>
        <w:spacing w:after="0" w:line="9" w:lineRule="exact"/>
        <w:rPr>
          <w:sz w:val="24"/>
          <w:szCs w:val="24"/>
          <w:color w:val="auto"/>
        </w:rPr>
      </w:pPr>
    </w:p>
    <w:p>
      <w:pPr>
        <w:ind w:left="844"/>
        <w:spacing w:after="0"/>
        <w:rPr>
          <w:sz w:val="20"/>
          <w:szCs w:val="20"/>
          <w:color w:val="auto"/>
        </w:rPr>
      </w:pPr>
      <w:r>
        <w:rPr>
          <w:rFonts w:ascii="Arial" w:cs="Arial" w:eastAsia="Arial" w:hAnsi="Arial"/>
          <w:sz w:val="18"/>
          <w:szCs w:val="18"/>
          <w:color w:val="auto"/>
        </w:rPr>
        <w:t>Joseph McCann</w:t>
      </w:r>
    </w:p>
    <w:p>
      <w:pPr>
        <w:spacing w:after="0" w:line="9" w:lineRule="exact"/>
        <w:rPr>
          <w:sz w:val="24"/>
          <w:szCs w:val="24"/>
          <w:color w:val="auto"/>
        </w:rPr>
      </w:pPr>
    </w:p>
    <w:p>
      <w:pPr>
        <w:ind w:left="844"/>
        <w:spacing w:after="0"/>
        <w:rPr>
          <w:sz w:val="20"/>
          <w:szCs w:val="20"/>
          <w:color w:val="auto"/>
        </w:rPr>
      </w:pPr>
      <w:r>
        <w:rPr>
          <w:rFonts w:ascii="Arial" w:cs="Arial" w:eastAsia="Arial" w:hAnsi="Arial"/>
          <w:sz w:val="18"/>
          <w:szCs w:val="18"/>
          <w:color w:val="auto"/>
        </w:rPr>
        <w:t>Celeste Murphy</w:t>
      </w:r>
    </w:p>
    <w:p>
      <w:pPr>
        <w:sectPr>
          <w:pgSz w:w="11900" w:h="16838" w:orient="portrait"/>
          <w:cols w:equalWidth="0" w:num="1">
            <w:col w:w="11024"/>
          </w:cols>
          <w:pgMar w:left="436" w:top="233" w:right="439" w:bottom="1440" w:gutter="0" w:footer="0" w:header="0"/>
        </w:sectPr>
      </w:pPr>
    </w:p>
    <w:p>
      <w:pPr>
        <w:spacing w:after="0" w:line="220" w:lineRule="exact"/>
        <w:rPr>
          <w:sz w:val="24"/>
          <w:szCs w:val="24"/>
          <w:color w:val="auto"/>
        </w:rPr>
      </w:pPr>
    </w:p>
    <w:p>
      <w:pPr>
        <w:ind w:left="4"/>
        <w:spacing w:after="0"/>
        <w:rPr>
          <w:sz w:val="20"/>
          <w:szCs w:val="20"/>
          <w:color w:val="auto"/>
        </w:rPr>
      </w:pPr>
      <w:r>
        <w:rPr>
          <w:rFonts w:ascii="Arial" w:cs="Arial" w:eastAsia="Arial" w:hAnsi="Arial"/>
          <w:sz w:val="16"/>
          <w:szCs w:val="16"/>
          <w:b w:val="1"/>
          <w:bCs w:val="1"/>
          <w:color w:val="auto"/>
        </w:rPr>
        <w:t>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Upjohn Inc.</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Registration Statement on Form S-4 (File No. 333-234337)</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Request for Acceleration</w:t>
      </w:r>
    </w:p>
    <w:p>
      <w:pPr>
        <w:spacing w:after="0" w:line="200" w:lineRule="exact"/>
        <w:rPr>
          <w:sz w:val="24"/>
          <w:szCs w:val="24"/>
          <w:color w:val="auto"/>
        </w:rPr>
      </w:pPr>
    </w:p>
    <w:p>
      <w:pPr>
        <w:sectPr>
          <w:pgSz w:w="11900" w:h="16838" w:orient="portrait"/>
          <w:cols w:equalWidth="0" w:num="2">
            <w:col w:w="264" w:space="580"/>
            <w:col w:w="10180"/>
          </w:cols>
          <w:pgMar w:left="436" w:top="233" w:right="439" w:bottom="1440" w:gutter="0" w:footer="0" w:header="0"/>
          <w:type w:val="continuous"/>
        </w:sectPr>
      </w:pPr>
    </w:p>
    <w:p>
      <w:pPr>
        <w:spacing w:after="0" w:line="132" w:lineRule="exact"/>
        <w:rPr>
          <w:sz w:val="24"/>
          <w:szCs w:val="24"/>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left="4" w:right="440" w:firstLine="440"/>
        <w:spacing w:after="0" w:line="263" w:lineRule="auto"/>
        <w:rPr>
          <w:sz w:val="20"/>
          <w:szCs w:val="20"/>
          <w:color w:val="auto"/>
        </w:rPr>
      </w:pPr>
      <w:r>
        <w:rPr>
          <w:rFonts w:ascii="Arial" w:cs="Arial" w:eastAsia="Arial" w:hAnsi="Arial"/>
          <w:sz w:val="18"/>
          <w:szCs w:val="18"/>
          <w:color w:val="auto"/>
        </w:rPr>
        <w:t>Reference is made to the Registration Statement on Form S-4 (File No. 333-234337)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filed by Upjohn Inc. (the “</w:t>
      </w:r>
      <w:r>
        <w:rPr>
          <w:rFonts w:ascii="Arial" w:cs="Arial" w:eastAsia="Arial" w:hAnsi="Arial"/>
          <w:sz w:val="18"/>
          <w:szCs w:val="18"/>
          <w:u w:val="single" w:color="auto"/>
          <w:color w:val="auto"/>
        </w:rPr>
        <w:t>Company</w:t>
      </w:r>
      <w:r>
        <w:rPr>
          <w:rFonts w:ascii="Arial" w:cs="Arial" w:eastAsia="Arial" w:hAnsi="Arial"/>
          <w:sz w:val="18"/>
          <w:szCs w:val="18"/>
          <w:color w:val="auto"/>
        </w:rPr>
        <w:t>”) with the U.S.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on October 25, 2019, as amended on December 13, 2019, January 21, 2020 and February 6, 2020.</w:t>
      </w:r>
    </w:p>
    <w:p>
      <w:pPr>
        <w:spacing w:after="0" w:line="184" w:lineRule="exact"/>
        <w:rPr>
          <w:sz w:val="24"/>
          <w:szCs w:val="24"/>
          <w:color w:val="auto"/>
        </w:rPr>
      </w:pPr>
    </w:p>
    <w:p>
      <w:pPr>
        <w:ind w:left="4" w:right="120" w:firstLine="440"/>
        <w:spacing w:after="0" w:line="263" w:lineRule="auto"/>
        <w:rPr>
          <w:sz w:val="20"/>
          <w:szCs w:val="20"/>
          <w:color w:val="auto"/>
        </w:rPr>
      </w:pPr>
      <w:r>
        <w:rPr>
          <w:rFonts w:ascii="Arial" w:cs="Arial" w:eastAsia="Arial" w:hAnsi="Arial"/>
          <w:sz w:val="18"/>
          <w:szCs w:val="18"/>
          <w:color w:val="auto"/>
        </w:rPr>
        <w:t>The Company hereby requests that the Registration Statement be made effective at 4:00 p.m. Eastern Time on February 13, 2020, or as soon as possible thereafter, in accordance with Rule 461 of the General Rules and Regulations promulgated under the U.S. Securities Exchange Act of 1933, as amended.</w:t>
      </w:r>
    </w:p>
    <w:p>
      <w:pPr>
        <w:spacing w:after="0" w:line="184" w:lineRule="exact"/>
        <w:rPr>
          <w:sz w:val="24"/>
          <w:szCs w:val="24"/>
          <w:color w:val="auto"/>
        </w:rPr>
      </w:pPr>
    </w:p>
    <w:p>
      <w:pPr>
        <w:ind w:left="4" w:right="280" w:firstLine="440"/>
        <w:spacing w:after="0" w:line="263" w:lineRule="auto"/>
        <w:rPr>
          <w:sz w:val="20"/>
          <w:szCs w:val="20"/>
          <w:color w:val="auto"/>
        </w:rPr>
      </w:pPr>
      <w:r>
        <w:rPr>
          <w:rFonts w:ascii="Arial" w:cs="Arial" w:eastAsia="Arial" w:hAnsi="Arial"/>
          <w:sz w:val="18"/>
          <w:szCs w:val="18"/>
          <w:color w:val="auto"/>
        </w:rPr>
        <w:t>Please contact David K. Lam of Wachtell, Lipton, Rosen &amp; Katz at (212) 403-1394 or by email at DKLam@wlrk.com or Gordon S. Moodie of Wachtell, Lipton, Rosen &amp; Katz at (212) 403-1180 or by email at GSMoodie@wlrk.com with any questions you may have concerning this request. Please notify Mr. Lam or Mr. Moodie when this request for acceleration has been granted.</w:t>
      </w:r>
    </w:p>
    <w:p>
      <w:pPr>
        <w:spacing w:after="0" w:line="200" w:lineRule="exact"/>
        <w:rPr>
          <w:sz w:val="24"/>
          <w:szCs w:val="24"/>
          <w:color w:val="auto"/>
        </w:rPr>
      </w:pPr>
    </w:p>
    <w:p>
      <w:pPr>
        <w:spacing w:after="0" w:line="267" w:lineRule="exact"/>
        <w:rPr>
          <w:sz w:val="24"/>
          <w:szCs w:val="24"/>
          <w:color w:val="auto"/>
        </w:rPr>
      </w:pPr>
    </w:p>
    <w:p>
      <w:pPr>
        <w:ind w:left="6624"/>
        <w:spacing w:after="0"/>
        <w:rPr>
          <w:sz w:val="20"/>
          <w:szCs w:val="20"/>
          <w:color w:val="auto"/>
        </w:rPr>
      </w:pPr>
      <w:r>
        <w:rPr>
          <w:rFonts w:ascii="Arial" w:cs="Arial" w:eastAsia="Arial" w:hAnsi="Arial"/>
          <w:sz w:val="18"/>
          <w:szCs w:val="18"/>
          <w:color w:val="auto"/>
        </w:rPr>
        <w:t>UPJOHN INC.</w:t>
      </w:r>
    </w:p>
    <w:p>
      <w:pPr>
        <w:spacing w:after="0" w:line="225" w:lineRule="exact"/>
        <w:rPr>
          <w:sz w:val="24"/>
          <w:szCs w:val="24"/>
          <w:color w:val="auto"/>
        </w:rPr>
      </w:pPr>
    </w:p>
    <w:tbl>
      <w:tblPr>
        <w:tblLayout w:type="fixed"/>
        <w:tblInd w:w="6624"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Michael Goettler</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Michael Goettler</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President</w:t>
            </w:r>
          </w:p>
        </w:tc>
      </w:tr>
    </w:tbl>
    <w:p>
      <w:pPr>
        <w:spacing w:after="0" w:line="229" w:lineRule="exact"/>
        <w:rPr>
          <w:sz w:val="24"/>
          <w:szCs w:val="24"/>
          <w:color w:val="auto"/>
        </w:rPr>
      </w:pPr>
    </w:p>
    <w:p>
      <w:pPr>
        <w:jc w:val="both"/>
        <w:ind w:left="444" w:right="8740" w:hanging="444"/>
        <w:spacing w:after="0" w:line="291" w:lineRule="auto"/>
        <w:tabs>
          <w:tab w:leader="none" w:pos="436" w:val="left"/>
        </w:tabs>
        <w:numPr>
          <w:ilvl w:val="0"/>
          <w:numId w:val="1"/>
        </w:numPr>
        <w:rPr>
          <w:rFonts w:ascii="Arial" w:cs="Arial" w:eastAsia="Arial" w:hAnsi="Arial"/>
          <w:sz w:val="16"/>
          <w:szCs w:val="16"/>
          <w:color w:val="auto"/>
        </w:rPr>
      </w:pPr>
      <w:r>
        <w:rPr>
          <w:rFonts w:ascii="Arial" w:cs="Arial" w:eastAsia="Arial" w:hAnsi="Arial"/>
          <w:sz w:val="16"/>
          <w:szCs w:val="16"/>
          <w:color w:val="auto"/>
        </w:rPr>
        <w:t>Doug Lankler, Pfizer Inc. Bryan Supran, Pfizer Inc.</w:t>
      </w:r>
    </w:p>
    <w:p>
      <w:pPr>
        <w:ind w:left="444" w:right="6840"/>
        <w:spacing w:after="0" w:line="250" w:lineRule="auto"/>
        <w:rPr>
          <w:rFonts w:ascii="Arial" w:cs="Arial" w:eastAsia="Arial" w:hAnsi="Arial"/>
          <w:sz w:val="16"/>
          <w:szCs w:val="16"/>
          <w:color w:val="auto"/>
        </w:rPr>
      </w:pPr>
      <w:r>
        <w:rPr>
          <w:rFonts w:ascii="Arial" w:cs="Arial" w:eastAsia="Arial" w:hAnsi="Arial"/>
          <w:sz w:val="18"/>
          <w:szCs w:val="18"/>
          <w:color w:val="auto"/>
        </w:rPr>
        <w:t>David K. Lam, Wachtell, Lipton, Rosen &amp; Katz Gordon S. Moodie, Wachtell, Lipton, Rosen &amp; Katz Bryan Roman, Mylan N.V.</w:t>
      </w:r>
    </w:p>
    <w:p>
      <w:pPr>
        <w:spacing w:after="0" w:line="1" w:lineRule="exact"/>
        <w:rPr>
          <w:rFonts w:ascii="Arial" w:cs="Arial" w:eastAsia="Arial" w:hAnsi="Arial"/>
          <w:sz w:val="16"/>
          <w:szCs w:val="16"/>
          <w:color w:val="auto"/>
        </w:rPr>
      </w:pPr>
    </w:p>
    <w:p>
      <w:pPr>
        <w:ind w:left="444" w:right="6980"/>
        <w:spacing w:after="0" w:line="302" w:lineRule="auto"/>
        <w:rPr>
          <w:rFonts w:ascii="Arial" w:cs="Arial" w:eastAsia="Arial" w:hAnsi="Arial"/>
          <w:sz w:val="16"/>
          <w:szCs w:val="16"/>
          <w:color w:val="auto"/>
        </w:rPr>
      </w:pPr>
      <w:r>
        <w:rPr>
          <w:rFonts w:ascii="Arial" w:cs="Arial" w:eastAsia="Arial" w:hAnsi="Arial"/>
          <w:sz w:val="16"/>
          <w:szCs w:val="16"/>
          <w:color w:val="auto"/>
        </w:rPr>
        <w:t>Mark I. Greene, Cravath, Swaine &amp; Moore LLP Thomas E. Dunn, Cravath, Swaine &amp; Moore LLP Aaron M. Gruber, Cravath, Swaine &amp; Moore LLP</w:t>
      </w:r>
    </w:p>
    <w:sectPr>
      <w:pgSz w:w="11900" w:h="16838" w:orient="portrait"/>
      <w:cols w:equalWidth="0" w:num="1">
        <w:col w:w="11024"/>
      </w:cols>
      <w:pgMar w:left="436" w:top="233"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2021-08-15T20:17:36Z</dcterms:created>
  <dcterms:modified xsi:type="dcterms:W3CDTF">2021-08-15T20:17:36Z</dcterms:modified>
</cp:coreProperties>
</file>