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Cuneo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MYLAN BOULEVARD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Viatris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sold pursuant to a written plan intended to satisfy the affirmative defense conditions of Rule 10b5-1(c) of the Securities Exchange Act of 1934, as amended, that was adopted by the reporting person on June 15, 2023.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President, JANZ (Japan, Australia and New Zealand) and Emerging Markets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186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2024-02-23T17:09:43Z</dcterms:created>
  <dcterms:modified xsi:type="dcterms:W3CDTF">2024-02-23T17:09:43Z</dcterms:modified>
</cp:coreProperties>
</file>