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36"/>
        </w:rPr>
      </w:pPr>
      <w:bookmarkStart w:id="0" w:name="i89c3cd7117c747aeab1681565b121c8d_1652"/>
      <w:bookmarkEnd w:id="0"/>
      <w:r>
        <w:rPr>
          <w:rFonts w:ascii="Times New Roman;serif" w:hAnsi="Times New Roman;serif"/>
          <w:b/>
          <w:color w:val="000000"/>
          <w:sz w:val="36"/>
        </w:rPr>
        <w:t>UNITED STATES</w:t>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_______________</w:t>
      </w:r>
    </w:p>
    <w:p>
      <w:pPr>
        <w:pStyle w:val="TextBody"/>
        <w:bidi w:val="0"/>
        <w:spacing w:lineRule="auto" w:line="288" w:before="0" w:after="18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August 6, 2026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VIATRIS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bl>
      <w:tblPr>
        <w:tblW w:w="7977" w:type="dxa"/>
        <w:jc w:val="center"/>
        <w:tblInd w:w="0" w:type="dxa"/>
        <w:tblLayout w:type="fixed"/>
        <w:tblCellMar>
          <w:top w:w="28" w:type="dxa"/>
          <w:left w:w="28" w:type="dxa"/>
          <w:bottom w:w="28" w:type="dxa"/>
          <w:right w:w="28" w:type="dxa"/>
        </w:tblCellMar>
      </w:tblPr>
      <w:tblGrid>
        <w:gridCol w:w="1345"/>
        <w:gridCol w:w="1181"/>
        <w:gridCol w:w="1193"/>
        <w:gridCol w:w="408"/>
        <w:gridCol w:w="408"/>
        <w:gridCol w:w="413"/>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001-39695</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83-4364296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1000 Mylan Boulevard, Canonsburg, Pennsylvania, 15317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 xml:space="preserve">Registrant's telephone number, including area code: </w:t>
      </w:r>
      <w:r>
        <w:rPr>
          <w:rFonts w:ascii="Times New Roman;serif" w:hAnsi="Times New Roman;serif"/>
          <w:b/>
          <w:color w:val="000000"/>
          <w:sz w:val="24"/>
        </w:rPr>
        <w:t xml:space="preserve">(724) 514-1800 </w:t>
      </w:r>
    </w:p>
    <w:p>
      <w:pPr>
        <w:pStyle w:val="TextBody"/>
        <w:bidi w:val="0"/>
        <w:spacing w:before="0" w:after="0"/>
        <w:jc w:val="center"/>
        <w:rPr/>
      </w:pPr>
      <w:r>
        <w:rPr/>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 (b)) </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 (c))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271"/>
        <w:gridCol w:w="1096"/>
        <w:gridCol w:w="1109"/>
        <w:gridCol w:w="109"/>
        <w:gridCol w:w="109"/>
        <w:gridCol w:w="109"/>
        <w:gridCol w:w="616"/>
        <w:gridCol w:w="616"/>
        <w:gridCol w:w="618"/>
        <w:gridCol w:w="109"/>
        <w:gridCol w:w="109"/>
        <w:gridCol w:w="109"/>
        <w:gridCol w:w="1235"/>
        <w:gridCol w:w="1235"/>
        <w:gridCol w:w="1755"/>
      </w:tblGrid>
      <w:tr>
        <w:trPr/>
        <w:tc>
          <w:tcPr>
            <w:tcW w:w="127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Name of each exchange on which registered</w:t>
            </w:r>
          </w:p>
        </w:tc>
      </w:tr>
      <w:tr>
        <w:trPr/>
        <w:tc>
          <w:tcPr>
            <w:tcW w:w="3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VTRS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w:t>
            </w:r>
          </w:p>
        </w:tc>
      </w:tr>
    </w:tbl>
    <w:p>
      <w:pPr>
        <w:pStyle w:val="TextBody"/>
        <w:bidi w:val="0"/>
        <w:spacing w:before="0" w:after="100"/>
        <w:jc w:val="left"/>
        <w:rPr/>
      </w:pPr>
      <w:r>
        <w:rPr/>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ind w:left="0" w:right="0" w:firstLine="3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6, 2026, Viatris Inc. (“Viatris” or the “Company”) issued a press release reporting the Company's financial results for the period ended June 30, 2026. A copy of the press release is attached hereto as Exhibit 99.1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8.01 Other Events.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previously announced, Viatris will host a conference call and live webcast today at 8:30 a.m. ET to review the Company's financial results for the period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570"/>
        <w:gridCol w:w="2570"/>
        <w:gridCol w:w="365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2q26earningsre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announcing the Company's financial results for the second quarter of 2026, dated August 6, 2026.</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6288" w:type="dxa"/>
        <w:jc w:val="center"/>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109"/>
        <w:gridCol w:w="109"/>
        <w:gridCol w:w="109"/>
        <w:gridCol w:w="109"/>
        <w:gridCol w:w="109"/>
        <w:gridCol w:w="109"/>
        <w:gridCol w:w="140"/>
        <w:gridCol w:w="140"/>
        <w:gridCol w:w="140"/>
        <w:gridCol w:w="140"/>
        <w:gridCol w:w="140"/>
        <w:gridCol w:w="140"/>
        <w:gridCol w:w="736"/>
        <w:gridCol w:w="736"/>
        <w:gridCol w:w="104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MALETTA</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Maletta</w:t>
              <w:br/>
              <w:t>Chief Legal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drawing>
          <wp:inline distT="0" distB="0" distL="0" distR="0">
            <wp:extent cx="1819275" cy="7143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819275" cy="7143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Viatris Reports Second-Quarter 2026 Financial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Delivers Total Revenues of $3.8 Billion, Representing 5% Reported Growth Compared to Second Quarter 2025 and a U.S. GAAP Net Loss of $119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Total Revenues Were Up 3.5% Operationally Compared to Second Quarter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Adjusted EBITDA was $1.2 Billion, Up 8% Operationally Compared to Second Quarter 2025</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Advances Key Pipeline Milestones, Including U.S. FDA Approval of Gwyn Lo</w:t>
      </w:r>
      <w:r>
        <w:rPr>
          <w:rFonts w:ascii="Arial;sans-serif" w:hAnsi="Arial;sans-serif"/>
          <w:b w:val="false"/>
          <w:i/>
          <w:color w:val="000000"/>
          <w:sz w:val="13"/>
        </w:rPr>
        <w:t>TM</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Announces Sale of Global Rights to Tyrvaya</w:t>
      </w:r>
      <w:r>
        <w:rPr>
          <w:rFonts w:ascii="Arial;sans-serif" w:hAnsi="Arial;sans-serif"/>
          <w:b w:val="false"/>
          <w:i/>
          <w:color w:val="000000"/>
          <w:sz w:val="14"/>
        </w:rPr>
        <w:t>®</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Returns Approximately $550 Million of Capital to Shareholders, Including Through Share Repurchases; Reduces Gross Leverage Ratio to 2.9x</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 xml:space="preserve">Raises 2026 Financial Guidance Midpoints for All Metrics </w:t>
      </w:r>
      <w:r>
        <w:rPr>
          <w:rFonts w:ascii="Arial;sans-serif" w:hAnsi="Arial;sans-serif"/>
          <w:b w:val="false"/>
          <w:color w:val="000000"/>
          <w:sz w:val="22"/>
        </w:rPr>
        <w:t>[1]</w:t>
      </w:r>
    </w:p>
    <w:p>
      <w:pPr>
        <w:pStyle w:val="TextBody"/>
        <w:bidi w:val="0"/>
        <w:spacing w:before="0" w:after="0"/>
        <w:ind w:left="0" w:right="0" w:hanging="360"/>
        <w:jc w:val="left"/>
        <w:rPr/>
      </w:pPr>
      <w:r>
        <w:rPr/>
      </w:r>
    </w:p>
    <w:p>
      <w:pPr>
        <w:pStyle w:val="TextBody"/>
        <w:bidi w:val="0"/>
        <w:spacing w:lineRule="auto" w:line="288" w:before="0" w:after="120"/>
        <w:jc w:val="left"/>
        <w:rPr/>
      </w:pPr>
      <w:r>
        <w:rPr>
          <w:rFonts w:ascii="Arial;sans-serif" w:hAnsi="Arial;sans-serif"/>
          <w:b/>
          <w:color w:val="000000"/>
          <w:sz w:val="22"/>
        </w:rPr>
        <w:t xml:space="preserve">PITTSBURGH </w:t>
      </w:r>
      <w:r>
        <w:rPr>
          <w:color w:val="000000"/>
        </w:rPr>
        <w:t xml:space="preserve">– </w:t>
      </w:r>
      <w:r>
        <w:rPr>
          <w:rFonts w:ascii="Arial;sans-serif" w:hAnsi="Arial;sans-serif"/>
          <w:b/>
          <w:color w:val="000000"/>
          <w:sz w:val="22"/>
        </w:rPr>
        <w:t xml:space="preserve">August 6, 2026 </w:t>
      </w:r>
      <w:r>
        <w:rPr>
          <w:color w:val="000000"/>
        </w:rPr>
        <w:t xml:space="preserve">– </w:t>
      </w:r>
      <w:r>
        <w:rPr>
          <w:rFonts w:ascii="Arial;sans-serif" w:hAnsi="Arial;sans-serif"/>
          <w:b w:val="false"/>
          <w:color w:val="000000"/>
          <w:sz w:val="22"/>
        </w:rPr>
        <w:t>Viatris Inc. (Nasdaq: VTRS), a global healthcare company, today announced its second-quarter 2026 financial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7030A0"/>
          <w:sz w:val="22"/>
        </w:rPr>
      </w:pPr>
      <w:r>
        <w:rPr>
          <w:rFonts w:ascii="Arial;sans-serif" w:hAnsi="Arial;sans-serif"/>
          <w:b/>
          <w:color w:val="7030A0"/>
          <w:sz w:val="22"/>
        </w:rPr>
        <w:t>Executive Commentary</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Arial;sans-serif" w:hAnsi="Arial;sans-serif"/>
          <w:b w:val="false"/>
          <w:color w:val="000000"/>
          <w:sz w:val="22"/>
        </w:rPr>
        <w:t xml:space="preserve">Our second-quarter results reflect another quarter of strong execution and reinforce the momentum we're building across our business,” said </w:t>
      </w:r>
      <w:r>
        <w:rPr>
          <w:rFonts w:ascii="Arial;sans-serif" w:hAnsi="Arial;sans-serif"/>
          <w:b/>
          <w:color w:val="7030A0"/>
          <w:sz w:val="22"/>
        </w:rPr>
        <w:t>Scott A. Smith, CEO, Viatris</w:t>
      </w:r>
      <w:r>
        <w:rPr>
          <w:rFonts w:ascii="Arial;sans-serif" w:hAnsi="Arial;sans-serif"/>
          <w:b w:val="false"/>
          <w:color w:val="000000"/>
          <w:sz w:val="22"/>
        </w:rPr>
        <w:t>. “Commercial execution, pipeline progress and the early benefits of our enterprise-wide strategic review continue strengthening our business and improving our financial performance. Our strong first-half results give us the confidence to raise our full-year guidance. We expect a more balanced operating environment in the second half of the year and we remain focused on disciplined execution, investing behind our future growth drivers and creating long-term value for patients and shareholders.”</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Arial;sans-serif" w:hAnsi="Arial;sans-serif"/>
          <w:b w:val="false"/>
          <w:color w:val="000000"/>
          <w:sz w:val="22"/>
        </w:rPr>
        <w:t xml:space="preserve">We delivered another strong quarter of Total Revenues and Adjusted EBITDA growth over the prior year, reflecting continued strong operational execution,” said </w:t>
      </w:r>
      <w:r>
        <w:rPr>
          <w:rFonts w:ascii="Arial;sans-serif" w:hAnsi="Arial;sans-serif"/>
          <w:b/>
          <w:color w:val="7030A0"/>
          <w:sz w:val="22"/>
        </w:rPr>
        <w:t>Paul Campbell, Interim CFO, Chief Accounting Officer &amp; Corporate Controller, Viatris</w:t>
      </w:r>
      <w:r>
        <w:rPr>
          <w:rFonts w:ascii="Arial;sans-serif" w:hAnsi="Arial;sans-serif"/>
          <w:b w:val="false"/>
          <w:color w:val="000000"/>
          <w:sz w:val="22"/>
        </w:rPr>
        <w:t>. “At the same time, we continued to execute on our balanced capital allocation strategy, returning approximately $550 million to shareholders, including approximately $270 million of share repurchases occurring through early August. In addition, we further strengthened our balance sheet and reduced our gross leverage ratio to 2.9x.”</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[1] </w:t>
      </w:r>
      <w:r>
        <w:rPr>
          <w:rFonts w:ascii="Arial;sans-serif" w:hAnsi="Arial;sans-serif"/>
          <w:b w:val="false"/>
          <w:i/>
          <w:color w:val="000000"/>
          <w:sz w:val="22"/>
        </w:rPr>
        <w:t>Viatris is not providing forward-looking guidance for U.S. GAAP net earnings (loss) or U.S. GAAP diluted EPS (loss) or a quantitative reconciliation of its 2026 Adjusted EBITDA or Adjusted EPS guidance. U.S. GAAP net cash provided by operating activities for 2026 is estimated to be between $1.9 billion and $2.1 billion, with a midpoint of approximately $2.0 billion. 2026 financial guidance ranges as provided on August 6, 2026, exclude the impact of any transaction-related and restructuring-related costs (as defined below) and acquired IPR&amp;D for unsigned deals as they cannot be reasonably forecasted. Please see “2026 Financial Guidance” and “Non-GAAP Financial Measures”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18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color w:val="7030A0"/>
          <w:sz w:val="22"/>
        </w:rPr>
      </w:pPr>
      <w:r>
        <w:rPr>
          <w:rFonts w:ascii="Arial;sans-serif" w:hAnsi="Arial;sans-serif"/>
          <w:b/>
          <w:color w:val="7030A0"/>
          <w:sz w:val="22"/>
        </w:rPr>
        <w:t>Second-Quarter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160"/>
        <w:gridCol w:w="963"/>
        <w:gridCol w:w="969"/>
        <w:gridCol w:w="211"/>
        <w:gridCol w:w="766"/>
        <w:gridCol w:w="271"/>
        <w:gridCol w:w="109"/>
        <w:gridCol w:w="109"/>
        <w:gridCol w:w="109"/>
        <w:gridCol w:w="211"/>
        <w:gridCol w:w="766"/>
        <w:gridCol w:w="271"/>
        <w:gridCol w:w="109"/>
        <w:gridCol w:w="109"/>
        <w:gridCol w:w="109"/>
        <w:gridCol w:w="396"/>
        <w:gridCol w:w="396"/>
        <w:gridCol w:w="397"/>
        <w:gridCol w:w="109"/>
        <w:gridCol w:w="109"/>
        <w:gridCol w:w="109"/>
        <w:gridCol w:w="109"/>
        <w:gridCol w:w="109"/>
        <w:gridCol w:w="109"/>
        <w:gridCol w:w="109"/>
        <w:gridCol w:w="109"/>
        <w:gridCol w:w="109"/>
        <w:gridCol w:w="508"/>
        <w:gridCol w:w="508"/>
        <w:gridCol w:w="510"/>
        <w:gridCol w:w="109"/>
        <w:gridCol w:w="158"/>
      </w:tblGrid>
      <w:tr>
        <w:trPr/>
        <w:tc>
          <w:tcPr>
            <w:tcW w:w="11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2338" w:type="dxa"/>
            <w:gridSpan w:val="10"/>
            <w:tcBorders/>
          </w:tcPr>
          <w:p>
            <w:pPr>
              <w:pStyle w:val="TableContents"/>
              <w:bidi w:val="0"/>
              <w:spacing w:before="0" w:after="283"/>
              <w:jc w:val="left"/>
              <w:rPr>
                <w:sz w:val="4"/>
                <w:szCs w:val="4"/>
              </w:rPr>
            </w:pPr>
            <w:r>
              <w:rPr>
                <w:sz w:val="4"/>
                <w:szCs w:val="4"/>
              </w:rPr>
            </w:r>
          </w:p>
        </w:tc>
      </w:tr>
      <w:tr>
        <w:trPr/>
        <w:tc>
          <w:tcPr>
            <w:tcW w:w="3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2338" w:type="dxa"/>
            <w:gridSpan w:val="10"/>
            <w:tcBorders/>
          </w:tcPr>
          <w:p>
            <w:pPr>
              <w:pStyle w:val="TableContents"/>
              <w:bidi w:val="0"/>
              <w:spacing w:before="0" w:after="283"/>
              <w:jc w:val="left"/>
              <w:rPr>
                <w:sz w:val="4"/>
                <w:szCs w:val="4"/>
              </w:rPr>
            </w:pPr>
            <w:r>
              <w:rPr>
                <w:sz w:val="4"/>
                <w:szCs w:val="4"/>
              </w:rPr>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6"/>
              </w:rPr>
            </w:pPr>
            <w:r>
              <w:rPr>
                <w:rFonts w:ascii="Arial;sans-serif" w:hAnsi="Arial;sans-serif"/>
                <w:b/>
                <w:i/>
                <w:color w:val="000000"/>
                <w:sz w:val="16"/>
              </w:rPr>
              <w:t>(Unaudited; in millions, except %s and per share amounts)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Reported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Operational Change</w:t>
            </w:r>
            <w:r>
              <w:rPr>
                <w:rFonts w:ascii="Arial;sans-serif" w:hAnsi="Arial;sans-serif"/>
                <w:b/>
                <w:color w:val="000000"/>
                <w:sz w:val="10"/>
              </w:rPr>
              <w:t>(1) (2)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Markets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Markets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JANZ</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China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by Product Category</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Generics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Gross Margin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Gross Profit </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Gross Margin </w:t>
            </w:r>
            <w:r>
              <w:rPr>
                <w:rFonts w:ascii="Arial;sans-serif" w:hAnsi="Arial;sans-serif"/>
                <w:b w:val="false"/>
                <w:color w:val="000000"/>
                <w:sz w:val="12"/>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Net Earnings </w:t>
            </w:r>
            <w:r>
              <w:rPr>
                <w:rFonts w:ascii="Arial;sans-serif" w:hAnsi="Arial;sans-serif"/>
                <w:b w:val="false"/>
                <w:color w:val="000000"/>
                <w:sz w:val="12"/>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EPS </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EBITDA </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EBITDA </w:t>
            </w:r>
            <w:r>
              <w:rPr>
                <w:rFonts w:ascii="Arial;sans-serif" w:hAnsi="Arial;sans-serif"/>
                <w:b w:val="false"/>
                <w:color w:val="000000"/>
                <w:sz w:val="12"/>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GAAP 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Capital Expenditures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Free Cash Flow </w:t>
            </w:r>
            <w:r>
              <w:rPr>
                <w:rFonts w:ascii="Arial;sans-serif" w:hAnsi="Arial;sans-serif"/>
                <w:b w:val="false"/>
                <w:color w:val="000000"/>
                <w:sz w:val="12"/>
              </w:rPr>
              <w:t>(2)(3)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60"/>
        <w:ind w:left="0" w:right="0" w:hanging="360"/>
        <w:jc w:val="both"/>
        <w:rPr/>
      </w:pPr>
      <w:r>
        <w:rPr>
          <w:rFonts w:ascii="Arial;sans-serif" w:hAnsi="Arial;sans-serif"/>
          <w:b w:val="false"/>
          <w:color w:val="000000"/>
          <w:sz w:val="10"/>
        </w:rPr>
        <w:t>(1)    </w:t>
      </w:r>
      <w:r>
        <w:rPr>
          <w:rFonts w:ascii="Arial;sans-serif" w:hAnsi="Arial;sans-serif"/>
          <w:b w:val="false"/>
          <w:color w:val="000000"/>
          <w:sz w:val="16"/>
        </w:rPr>
        <w:t>See “Certain Key Terms and Presentation Matters” in this release for more information.</w:t>
      </w:r>
    </w:p>
    <w:p>
      <w:pPr>
        <w:pStyle w:val="TextBody"/>
        <w:bidi w:val="0"/>
        <w:spacing w:lineRule="auto" w:line="288" w:before="0" w:after="60"/>
        <w:ind w:left="0" w:right="0" w:hanging="360"/>
        <w:jc w:val="both"/>
        <w:rPr/>
      </w:pPr>
      <w:r>
        <w:rPr>
          <w:rFonts w:ascii="Arial;sans-serif" w:hAnsi="Arial;sans-serif"/>
          <w:b w:val="false"/>
          <w:color w:val="000000"/>
          <w:sz w:val="10"/>
        </w:rPr>
        <w:t>(2)    </w:t>
      </w:r>
      <w:r>
        <w:rPr>
          <w:rFonts w:ascii="Arial;sans-serif" w:hAnsi="Arial;sans-serif"/>
          <w:b w:val="false"/>
          <w:color w:val="000000"/>
          <w:sz w:val="16"/>
        </w:rPr>
        <w:t>Non-GAAP financial measures. See "Non-GAAP Financial Measures" for additional information.</w:t>
      </w:r>
    </w:p>
    <w:p>
      <w:pPr>
        <w:pStyle w:val="TextBody"/>
        <w:bidi w:val="0"/>
        <w:spacing w:lineRule="auto" w:line="288" w:before="0" w:after="60"/>
        <w:ind w:left="0" w:right="0" w:hanging="360"/>
        <w:jc w:val="both"/>
        <w:rPr/>
      </w:pPr>
      <w:r>
        <w:rPr>
          <w:rFonts w:ascii="Arial;sans-serif" w:hAnsi="Arial;sans-serif"/>
          <w:b w:val="false"/>
          <w:color w:val="000000"/>
          <w:sz w:val="10"/>
        </w:rPr>
        <w:t>(3)    </w:t>
      </w:r>
      <w:r>
        <w:rPr>
          <w:rFonts w:ascii="Arial;sans-serif" w:hAnsi="Arial;sans-serif"/>
          <w:b w:val="false"/>
          <w:color w:val="000000"/>
          <w:sz w:val="16"/>
        </w:rPr>
        <w:t>Excluding the impact of transaction-related and restructuring-related costs of $120 million, free cash flow for the three months ended June 30, 2026, was $449 million. Excluding the impact of transaction-related costs of $74 million, free cash flow for the three months ended June 30, 2025, was $241 million.</w:t>
      </w:r>
    </w:p>
    <w:p>
      <w:pPr>
        <w:pStyle w:val="TextBody"/>
        <w:bidi w:val="0"/>
        <w:spacing w:before="0" w:after="60"/>
        <w:ind w:left="0" w:right="0" w:hanging="360"/>
        <w:jc w:val="both"/>
        <w:rPr/>
      </w:pPr>
      <w:r>
        <w:rPr/>
      </w:r>
    </w:p>
    <w:p>
      <w:pPr>
        <w:pStyle w:val="TextBody"/>
        <w:bidi w:val="0"/>
        <w:spacing w:before="1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49"/>
        <w:gridCol w:w="952"/>
        <w:gridCol w:w="958"/>
        <w:gridCol w:w="109"/>
        <w:gridCol w:w="109"/>
        <w:gridCol w:w="109"/>
        <w:gridCol w:w="109"/>
        <w:gridCol w:w="109"/>
        <w:gridCol w:w="109"/>
        <w:gridCol w:w="211"/>
        <w:gridCol w:w="766"/>
        <w:gridCol w:w="271"/>
        <w:gridCol w:w="109"/>
        <w:gridCol w:w="109"/>
        <w:gridCol w:w="109"/>
        <w:gridCol w:w="211"/>
        <w:gridCol w:w="812"/>
        <w:gridCol w:w="271"/>
        <w:gridCol w:w="109"/>
        <w:gridCol w:w="109"/>
        <w:gridCol w:w="109"/>
        <w:gridCol w:w="394"/>
        <w:gridCol w:w="394"/>
        <w:gridCol w:w="395"/>
        <w:gridCol w:w="109"/>
        <w:gridCol w:w="109"/>
        <w:gridCol w:w="109"/>
        <w:gridCol w:w="506"/>
        <w:gridCol w:w="506"/>
        <w:gridCol w:w="507"/>
        <w:gridCol w:w="109"/>
        <w:gridCol w:w="158"/>
      </w:tblGrid>
      <w:tr>
        <w:trPr/>
        <w:tc>
          <w:tcPr>
            <w:tcW w:w="11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240" w:after="283"/>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3623" w:type="dxa"/>
            <w:gridSpan w:val="14"/>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623" w:type="dxa"/>
            <w:gridSpan w:val="14"/>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6"/>
              </w:rPr>
            </w:pPr>
            <w:r>
              <w:rPr>
                <w:rFonts w:ascii="Arial;sans-serif" w:hAnsi="Arial;sans-serif"/>
                <w:b/>
                <w:i/>
                <w:color w:val="000000"/>
                <w:sz w:val="16"/>
              </w:rPr>
              <w:t>(Unaudited; in millions, except %s and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Reported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Operational Change</w:t>
            </w:r>
            <w:r>
              <w:rPr>
                <w:rFonts w:ascii="Arial;sans-serif" w:hAnsi="Arial;sans-serif"/>
                <w:b/>
                <w:color w:val="000000"/>
                <w:sz w:val="10"/>
              </w:rPr>
              <w:t>(1) (2)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Markets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Markets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JANZ</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Greater China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by Product Category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Generics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Gross Profit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Gross Margin</w:t>
            </w:r>
            <w:r>
              <w:rPr>
                <w:color w:val="000000"/>
              </w:rPr>
              <w:t xml:space="preserve">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U.S. GAAP Net Earnings (Loss)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U.S. GAAP Earnings (Loss) Per Share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Net Earnings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EPS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EBITDA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EBITDA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GAAP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Free Cash Flow </w:t>
            </w:r>
            <w:r>
              <w:rPr>
                <w:rFonts w:ascii="Arial;sans-serif" w:hAnsi="Arial;sans-serif"/>
                <w:b w:val="false"/>
                <w:color w:val="000000"/>
                <w:sz w:val="12"/>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60"/>
        <w:ind w:left="0" w:right="0" w:hanging="360"/>
        <w:jc w:val="both"/>
        <w:rPr/>
      </w:pPr>
      <w:r>
        <w:rPr>
          <w:rFonts w:ascii="Arial;sans-serif" w:hAnsi="Arial;sans-serif"/>
          <w:b w:val="false"/>
          <w:color w:val="000000"/>
          <w:sz w:val="10"/>
        </w:rPr>
        <w:t>(1)     </w:t>
      </w:r>
      <w:r>
        <w:rPr>
          <w:rFonts w:ascii="Arial;sans-serif" w:hAnsi="Arial;sans-serif"/>
          <w:b w:val="false"/>
          <w:color w:val="000000"/>
          <w:sz w:val="16"/>
        </w:rPr>
        <w:t>See “Certain Key Terms and Presentation Matters” in this release for more information.</w:t>
      </w:r>
    </w:p>
    <w:p>
      <w:pPr>
        <w:pStyle w:val="TextBody"/>
        <w:bidi w:val="0"/>
        <w:spacing w:lineRule="auto" w:line="288" w:before="0" w:after="60"/>
        <w:ind w:left="0" w:right="0" w:hanging="360"/>
        <w:jc w:val="both"/>
        <w:rPr/>
      </w:pPr>
      <w:r>
        <w:rPr>
          <w:rFonts w:ascii="Arial;sans-serif" w:hAnsi="Arial;sans-serif"/>
          <w:b w:val="false"/>
          <w:color w:val="000000"/>
          <w:sz w:val="10"/>
        </w:rPr>
        <w:t>(2)    </w:t>
      </w:r>
      <w:r>
        <w:rPr>
          <w:rFonts w:ascii="Arial;sans-serif" w:hAnsi="Arial;sans-serif"/>
          <w:b w:val="false"/>
          <w:color w:val="000000"/>
          <w:sz w:val="16"/>
        </w:rPr>
        <w:t>Non-GAAP financial measures. See “Non-GAAP Financial Measures” for additional information.</w:t>
      </w:r>
    </w:p>
    <w:p>
      <w:pPr>
        <w:pStyle w:val="TextBody"/>
        <w:bidi w:val="0"/>
        <w:spacing w:lineRule="auto" w:line="288" w:before="0" w:after="60"/>
        <w:ind w:left="0" w:right="0" w:hanging="360"/>
        <w:jc w:val="both"/>
        <w:rPr/>
      </w:pPr>
      <w:r>
        <w:rPr>
          <w:rFonts w:ascii="Arial;sans-serif" w:hAnsi="Arial;sans-serif"/>
          <w:b w:val="false"/>
          <w:color w:val="000000"/>
          <w:sz w:val="10"/>
        </w:rPr>
        <w:t>(3)    </w:t>
      </w:r>
      <w:r>
        <w:rPr>
          <w:rFonts w:ascii="Arial;sans-serif" w:hAnsi="Arial;sans-serif"/>
          <w:b w:val="false"/>
          <w:color w:val="000000"/>
          <w:sz w:val="16"/>
        </w:rPr>
        <w:t xml:space="preserve">For the six months ended June 30, 2025, includes the previously disclosed goodwill impairment charge of $2.9 billion as a result of the interim goodwill impairment test performed as of March 31, 2025. </w:t>
      </w:r>
    </w:p>
    <w:p>
      <w:pPr>
        <w:pStyle w:val="TextBody"/>
        <w:bidi w:val="0"/>
        <w:spacing w:lineRule="auto" w:line="288" w:before="0" w:after="60"/>
        <w:ind w:left="0" w:right="0" w:hanging="360"/>
        <w:jc w:val="both"/>
        <w:rPr/>
      </w:pPr>
      <w:r>
        <w:rPr>
          <w:rFonts w:ascii="Arial;sans-serif" w:hAnsi="Arial;sans-serif"/>
          <w:b w:val="false"/>
          <w:color w:val="000000"/>
          <w:sz w:val="10"/>
        </w:rPr>
        <w:t>(4)</w:t>
      </w:r>
      <w:r>
        <w:rPr>
          <w:color w:val="000000"/>
        </w:rPr>
        <w:t>    </w:t>
      </w:r>
      <w:r>
        <w:rPr>
          <w:rFonts w:ascii="Arial;sans-serif" w:hAnsi="Arial;sans-serif"/>
          <w:b w:val="false"/>
          <w:color w:val="000000"/>
          <w:sz w:val="16"/>
        </w:rPr>
        <w:t>Excluding the impact of transaction-related and restructuring-related costs of $231 million, free cash flow for the six months ended June 30, 2026, was $908 million. Excluding the impact of transaction-related costs of $116 million, free cash flow for the six months ended June 30, 2025, was $776 million.</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7030A0"/>
          <w:sz w:val="22"/>
        </w:rPr>
      </w:pPr>
      <w:r>
        <w:rPr>
          <w:rFonts w:ascii="Arial;sans-serif" w:hAnsi="Arial;sans-serif"/>
          <w:b/>
          <w:color w:val="7030A0"/>
          <w:sz w:val="22"/>
        </w:rPr>
        <w:t>Financial Highlights for the Second Quarter of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Total revenues were $3.8 billion, up 5% on a reported basis and up 3.5% on an operational basis compared to second-quarter 2025 results, primarily driven by new product sales in Developed Markets and strong growth in Greater China.</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Brands net sales reflect continued strength in Greater China and Emerging Markets.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Generics net sales reflect contributions from new product launches, in addition to growth in certain products in Developed Markets, partially offset by supply constraints in the ARV business within Emerging Markets.</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The Company generated approximately $101 million in new product revenues (approximately $172 million for the year) and continues expecting to deliver approximately $450 million to $550 million in new product revenues in full-year 2026.</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U.S. GAAP net loss was $119 million compared to U.S. GAAP net loss of $5 million in the second quarter of 2025 and U.S. GAAP diluted loss per share was $(0.10) compared to a loss of less than $(0.01) per share in the second quarter of 2025. The loss in the second quarter of 2026 was primarily driven by a non-cash charge of $177.8 million related to the planned sale of the product rights for Tyrvaya</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and the write down of that intangible asset to fair value, less cost to sell.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Adjusted EBITDA was $1.2 billion, up 10% on a reported basis and up 8% on an operational basis compared to the second quarter of 2025, and adjusted EPS was $0.69 per share, up 11% on a reported basis and up 9% on an operational basis compared to the second quarter of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The Company generated U.S. GAAP net cash provided by operating activities of $382 million ($770 million for the year) and free cash flow, excluding the impact of transaction-related and restructuring-related costs, of $449 million ($908 million for the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7030A0"/>
          <w:sz w:val="22"/>
        </w:rPr>
      </w:pPr>
      <w:r>
        <w:rPr>
          <w:rFonts w:ascii="Arial;sans-serif" w:hAnsi="Arial;sans-serif"/>
          <w:b/>
          <w:color w:val="7030A0"/>
          <w:sz w:val="22"/>
        </w:rPr>
        <w:t>Additional Highlights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In August, the Company signed a definitive agreement to sell the global product rights for Tyrvaya to Harrow, Inc., a leading provider of ophthalmic disease management solutions in North America, for an upfront payment of $30 million and an additional $70 million in commercial contingent milestone payments. The transaction reflects the Company's continued focus on prioritizing its capital, talent and resources toward opportunities it believes offer the greatest long-term growth potential.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In July, the Company announced that the U.S. Food and Drug Administration (FDA) approved Gwyn Lo</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(norelgestromin and ethinyl estradiol transdermal system), a new combined hormonal contraceptive patch with low-dose estrogen. The Company expects Gwyn Lo to be commercially available later this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In July, the Company completed the sale of its equity position in Biocon Limited for a pre-tax total consideration of approximately $380 million. The pre-tax sale proceeds include the impacts of an approximate 2.7% block sale discount to market, transaction fees and the strengthening of the U.S. dollar since the Company obtained the equity in January 2026. This sale completes the Company’s monetization of its stake in Biocon Biologics Limited for a total of approximately $780 million.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In June, the FDA approved the Company’s generic ferric carboxymaltose injection in three strengths: 750 mg/15 mL, 1000 mg/20 mL and 100 mg/2 mL. Ferric carboxymaltose is a substitutable generic version of Injectafer</w:t>
      </w:r>
      <w:r>
        <w:rPr>
          <w:rFonts w:ascii="Arial;sans-serif" w:hAnsi="Arial;sans-serif"/>
          <w:b w:val="false"/>
          <w:color w:val="000000"/>
          <w:sz w:val="14"/>
        </w:rPr>
        <w:t>®</w:t>
      </w:r>
      <w:r>
        <w:rPr>
          <w:rFonts w:ascii="Arial;sans-serif" w:hAnsi="Arial;sans-serif"/>
          <w:b w:val="false"/>
          <w:color w:val="000000"/>
          <w:sz w:val="22"/>
        </w:rPr>
        <w:t xml:space="preserve">, which is indicated for the treatment of iron deficiency anemia and non-dialysis dependent chronic kidney disease, and iron deficiency.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In June, the Company announced positive top-line results from a Phase 3 clinical trial evaluating the efficacy and safety of VR-205 (targeted-release budesonide formulation) (Nefecon</w:t>
      </w:r>
      <w:r>
        <w:rPr>
          <w:rFonts w:ascii="Arial;sans-serif" w:hAnsi="Arial;sans-serif"/>
          <w:b w:val="false"/>
          <w:color w:val="000000"/>
          <w:sz w:val="14"/>
        </w:rPr>
        <w:t>®</w:t>
      </w:r>
      <w:r>
        <w:rPr>
          <w:rFonts w:ascii="Arial;sans-serif" w:hAnsi="Arial;sans-serif"/>
          <w:b w:val="false"/>
          <w:color w:val="000000"/>
          <w:sz w:val="22"/>
        </w:rPr>
        <w:t>) in Japanese adult patients with primary immunoglobulin A nephropathy at risk of developing end-stage renal disease.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In May, the FDA inspected the Company’s oral solid dose manufacturing facility in Nashik, India, and issued Form 483 observations. The Company responded to the Form 483 observations and promptly initiated a comprehensive remediation plan. The Company has also engaged independent third-party subject matter experts to support its remediation plan. Activities under the remediation plan are ongoing and have led to intermittent disruptions at the facility. While production at the facility has resumed, the temporary manufacturing suspension due to the fire at the facility in February along with these intermittent disruptions are expected to impact product supply in the second half of the year. The Company currently anticipates the impact of product supply disruptions to be between $100 million and $150 million to total revenues in the second half of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In May, the Company announced that the FDA accepted for review the New Drug Application for MR-107A-02 (fast-acting meloxicam), a non-opioid, for the treatment of moderate-to-severe acute pain. The FDA has assigned a PDUFA goal date of December 27,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The Company signed a distribution agreement with Accord Healthcare to commercialize three biosimilar products (filgrastim, ustekinumab, teriparatide) in France. In addition, the Company signed a co-promotion partnership with Idorsia Ltd. for Quvivq</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in Italy and Canada. These transactions reflect the Company's disciplined business development strategy of expanding its portfolio through complementary, accretive products that leverage its regional capabilities and commercial strengths.</w:t>
      </w:r>
    </w:p>
    <w:p>
      <w:pPr>
        <w:pStyle w:val="TextBody"/>
        <w:bidi w:val="0"/>
        <w:spacing w:before="0" w:after="0"/>
        <w:jc w:val="left"/>
        <w:rPr/>
      </w:pPr>
      <w:r>
        <w:rPr/>
      </w:r>
    </w:p>
    <w:p>
      <w:pPr>
        <w:pStyle w:val="TextBody"/>
        <w:bidi w:val="0"/>
        <w:spacing w:lineRule="auto" w:line="288" w:before="240" w:after="240"/>
        <w:jc w:val="left"/>
        <w:rPr>
          <w:rFonts w:ascii="Arial;sans-serif" w:hAnsi="Arial;sans-serif"/>
          <w:b/>
          <w:color w:val="7030A0"/>
          <w:sz w:val="22"/>
        </w:rPr>
      </w:pPr>
      <w:r>
        <w:rPr>
          <w:rFonts w:ascii="Arial;sans-serif" w:hAnsi="Arial;sans-serif"/>
          <w:b/>
          <w:color w:val="7030A0"/>
          <w:sz w:val="22"/>
        </w:rPr>
        <w:t xml:space="preserve">Capital Allocation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Through August 5, 2026, the Company has returned approximately $550 million of capital to shareholders, including approximately $270 million through share repurchases at a weighted average purchase price of $16.42 per share. The Company has approximately $730 million remaining under its existing board-authorized share repurchase program, providing continued flexibility to return additional capital to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Company repaid approximately $900 million of debt that matured in June 2026, refinancing the remaining balance with a public offering of €650 million aggregate principal amount of 4.250% euro-denominated senior notes due 2033. As a result, the Company ended the quarter with a gross leverage ratio of 2.9x.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7030A0"/>
          <w:sz w:val="22"/>
        </w:rPr>
      </w:pPr>
      <w:r>
        <w:rPr>
          <w:rFonts w:ascii="Arial;sans-serif" w:hAnsi="Arial;sans-serif"/>
          <w:b/>
          <w:color w:val="7030A0"/>
          <w:sz w:val="22"/>
        </w:rPr>
        <w:t>2026 Financial Guidance</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Viatris is raising the midpoints of its 2026 financial guidance ranges, each as set forth below. The Company is not providing forward-looking guidance for U.S. GAAP net earnings (loss) or U.S. GAAP diluted earnings (loss) per share (EPS) or a quantitative reconciliation of its 2026 adjusted EBITDA or adjusted EPS guidance to the most directly comparable U.S. GAAP measures, U.S. GAAP net earnings (loss) or U.S. GAAP diluted EPS, respectively, because it is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IPR&amp;D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With respect to the Estimated Ranges as provided on August 6, 2026, U.S. GAAP net cash provided by operating activities for 2026 is estimated to be between $1.9 billion and $2.1 billion, with a midpoint of approximately $2.0 billion. With respect to the Estimated Ranges reaffirmed on May 7, 2026, U.S. GAAP net cash provided by operating activities for 2026 was estimated to be between $1.7 billion and $2.0 billion, with a midpoint of approximately $1.85 billion.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76"/>
        <w:gridCol w:w="1139"/>
        <w:gridCol w:w="1106"/>
        <w:gridCol w:w="483"/>
        <w:gridCol w:w="483"/>
        <w:gridCol w:w="485"/>
        <w:gridCol w:w="109"/>
        <w:gridCol w:w="109"/>
        <w:gridCol w:w="109"/>
        <w:gridCol w:w="306"/>
        <w:gridCol w:w="306"/>
        <w:gridCol w:w="308"/>
        <w:gridCol w:w="109"/>
        <w:gridCol w:w="109"/>
        <w:gridCol w:w="109"/>
        <w:gridCol w:w="109"/>
        <w:gridCol w:w="109"/>
        <w:gridCol w:w="109"/>
        <w:gridCol w:w="109"/>
        <w:gridCol w:w="109"/>
        <w:gridCol w:w="109"/>
        <w:gridCol w:w="483"/>
        <w:gridCol w:w="483"/>
        <w:gridCol w:w="485"/>
        <w:gridCol w:w="109"/>
        <w:gridCol w:w="109"/>
        <w:gridCol w:w="109"/>
        <w:gridCol w:w="297"/>
        <w:gridCol w:w="297"/>
        <w:gridCol w:w="433"/>
      </w:tblGrid>
      <w:tr>
        <w:trPr/>
        <w:tc>
          <w:tcPr>
            <w:tcW w:w="147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 except Adjusted EPS)</w:t>
            </w:r>
          </w:p>
        </w:tc>
        <w:tc>
          <w:tcPr>
            <w:tcW w:w="14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Estimated Ranges </w:t>
            </w:r>
            <w:r>
              <w:rPr>
                <w:rFonts w:ascii="Arial;sans-serif" w:hAnsi="Arial;sans-serif"/>
                <w:b/>
                <w:color w:val="000000"/>
                <w:sz w:val="10"/>
              </w:rPr>
              <w:t>(2)</w:t>
            </w:r>
          </w:p>
          <w:p>
            <w:pPr>
              <w:pStyle w:val="TableContents"/>
              <w:bidi w:val="0"/>
              <w:spacing w:lineRule="auto" w:line="240" w:before="0" w:after="120"/>
              <w:jc w:val="center"/>
              <w:rPr>
                <w:rFonts w:ascii="Arial;sans-serif" w:hAnsi="Arial;sans-serif"/>
                <w:b/>
                <w:color w:val="000000"/>
                <w:sz w:val="14"/>
              </w:rPr>
            </w:pPr>
            <w:r>
              <w:rPr>
                <w:rFonts w:ascii="Arial;sans-serif" w:hAnsi="Arial;sans-serif"/>
                <w:b/>
                <w:color w:val="000000"/>
                <w:sz w:val="14"/>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Midpoint </w:t>
            </w:r>
            <w:r>
              <w:rPr>
                <w:rFonts w:ascii="Arial;sans-serif" w:hAnsi="Arial;sans-serif"/>
                <w:b/>
                <w:color w:val="000000"/>
                <w:sz w:val="10"/>
              </w:rPr>
              <w:t>(2)</w:t>
            </w:r>
          </w:p>
          <w:p>
            <w:pPr>
              <w:pStyle w:val="TableContents"/>
              <w:bidi w:val="0"/>
              <w:spacing w:lineRule="auto" w:line="240" w:before="0" w:after="120"/>
              <w:jc w:val="center"/>
              <w:rPr>
                <w:rFonts w:ascii="Arial;sans-serif" w:hAnsi="Arial;sans-serif"/>
                <w:b/>
                <w:color w:val="000000"/>
                <w:sz w:val="14"/>
              </w:rPr>
            </w:pPr>
            <w:r>
              <w:rPr>
                <w:rFonts w:ascii="Arial;sans-serif" w:hAnsi="Arial;sans-serif"/>
                <w:b/>
                <w:color w:val="000000"/>
                <w:sz w:val="14"/>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Estimated Ranges </w:t>
            </w:r>
            <w:r>
              <w:rPr>
                <w:rFonts w:ascii="Arial;sans-serif" w:hAnsi="Arial;sans-serif"/>
                <w:b/>
                <w:color w:val="000000"/>
                <w:sz w:val="10"/>
              </w:rPr>
              <w:t>(3)</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Midpoint</w:t>
            </w:r>
            <w:r>
              <w:rPr>
                <w:color w:val="000000"/>
              </w:rPr>
              <w:t xml:space="preserve"> </w:t>
            </w:r>
            <w:r>
              <w:rPr>
                <w:rFonts w:ascii="Arial;sans-serif" w:hAnsi="Arial;sans-serif"/>
                <w:b/>
                <w:color w:val="000000"/>
                <w:sz w:val="10"/>
              </w:rPr>
              <w:t>(3)</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August 6, 2026</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$14,450 - $14,950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$14,550 - $14,950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$14,750</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Adjusted EBITDA </w:t>
            </w:r>
            <w:r>
              <w:rPr>
                <w:rFonts w:ascii="Arial;sans-serif" w:hAnsi="Arial;sans-serif"/>
                <w:b w:val="false"/>
                <w:color w:val="000000"/>
                <w:sz w:val="12"/>
              </w:rPr>
              <w:t>(1)</w:t>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$4,150 - $4,450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$4,300 - $4,500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$4,400</w:t>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EPS</w:t>
            </w:r>
            <w:r>
              <w:rPr>
                <w:color w:val="000000"/>
              </w:rPr>
              <w:t xml:space="preserve"> </w:t>
            </w:r>
            <w:r>
              <w:rPr>
                <w:rFonts w:ascii="Arial;sans-serif" w:hAnsi="Arial;sans-serif"/>
                <w:b w:val="false"/>
                <w:color w:val="000000"/>
                <w:sz w:val="12"/>
              </w:rPr>
              <w:t>(1)</w:t>
            </w:r>
          </w:p>
        </w:tc>
        <w:tc>
          <w:tcPr>
            <w:tcW w:w="1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$2.33 - $2.47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$2.45 - $2.59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$2.52</w:t>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Free Cash Flow </w:t>
            </w:r>
            <w:r>
              <w:rPr>
                <w:rFonts w:ascii="Arial;sans-serif" w:hAnsi="Arial;sans-serif"/>
                <w:b w:val="false"/>
                <w:color w:val="000000"/>
                <w:sz w:val="12"/>
              </w:rPr>
              <w:t>(1)</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Excluding Transaction-related and Restructuring-related Costs</w:t>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$1,950 - $2,350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$2,050 - $2,350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$2,200</w:t>
            </w:r>
          </w:p>
        </w:tc>
      </w:tr>
    </w:tbl>
    <w:p>
      <w:pPr>
        <w:pStyle w:val="TextBody"/>
        <w:bidi w:val="0"/>
        <w:spacing w:before="0" w:after="0"/>
        <w:jc w:val="left"/>
        <w:rPr/>
      </w:pPr>
      <w:r>
        <w:rPr/>
      </w:r>
    </w:p>
    <w:p>
      <w:pPr>
        <w:pStyle w:val="TextBody"/>
        <w:bidi w:val="0"/>
        <w:spacing w:lineRule="auto" w:line="288" w:before="0" w:after="60"/>
        <w:ind w:left="0" w:right="0" w:hanging="360"/>
        <w:jc w:val="both"/>
        <w:rPr/>
      </w:pPr>
      <w:r>
        <w:rPr>
          <w:rFonts w:ascii="Arial;sans-serif" w:hAnsi="Arial;sans-serif"/>
          <w:b w:val="false"/>
          <w:color w:val="000000"/>
          <w:sz w:val="10"/>
        </w:rPr>
        <w:t>(1)    </w:t>
      </w:r>
      <w:r>
        <w:rPr>
          <w:rFonts w:ascii="Arial;sans-serif" w:hAnsi="Arial;sans-serif"/>
          <w:b w:val="false"/>
          <w:color w:val="000000"/>
          <w:sz w:val="16"/>
        </w:rPr>
        <w:t>Non-GAAP financial measures. See “Non-GAAP Financial Measures” for additional information.</w:t>
      </w:r>
    </w:p>
    <w:p>
      <w:pPr>
        <w:pStyle w:val="TextBody"/>
        <w:bidi w:val="0"/>
        <w:spacing w:lineRule="auto" w:line="268" w:before="0" w:after="60"/>
        <w:ind w:left="0" w:right="0" w:hanging="360"/>
        <w:jc w:val="both"/>
        <w:rPr/>
      </w:pPr>
      <w:r>
        <w:rPr>
          <w:rFonts w:ascii="Arial;sans-serif" w:hAnsi="Arial;sans-serif"/>
          <w:b w:val="false"/>
          <w:color w:val="000000"/>
          <w:sz w:val="10"/>
        </w:rPr>
        <w:t>(2)    </w:t>
      </w:r>
      <w:r>
        <w:rPr>
          <w:rFonts w:ascii="Arial;sans-serif" w:hAnsi="Arial;sans-serif"/>
          <w:b w:val="false"/>
          <w:color w:val="000000"/>
          <w:sz w:val="16"/>
        </w:rPr>
        <w:t xml:space="preserve">2026 Financial Guidance reaffirmed on May 7, 2026, excluded any acquired IPR&amp;D for unsigned deals to be incurred in any future period as it could not be reasonably forecasted. </w:t>
      </w:r>
    </w:p>
    <w:p>
      <w:pPr>
        <w:pStyle w:val="TextBody"/>
        <w:bidi w:val="0"/>
        <w:spacing w:lineRule="auto" w:line="268" w:before="0" w:after="60"/>
        <w:ind w:left="0" w:right="0" w:hanging="360"/>
        <w:jc w:val="both"/>
        <w:rPr/>
      </w:pPr>
      <w:r>
        <w:rPr>
          <w:rFonts w:ascii="Arial;sans-serif" w:hAnsi="Arial;sans-serif"/>
          <w:b w:val="false"/>
          <w:color w:val="000000"/>
          <w:sz w:val="10"/>
        </w:rPr>
        <w:t>(3)    </w:t>
      </w:r>
      <w:r>
        <w:rPr>
          <w:rFonts w:ascii="Arial;sans-serif" w:hAnsi="Arial;sans-serif"/>
          <w:b w:val="false"/>
          <w:color w:val="000000"/>
          <w:sz w:val="16"/>
        </w:rPr>
        <w:t xml:space="preserve">2026 Financial Guidance as provided on August 6, 2026, excludes any acquired IPR&amp;D for unsigned deals to be incurred in any future period as it cannot be reasonably forecasted. </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40"/>
        <w:jc w:val="left"/>
        <w:rPr>
          <w:rFonts w:ascii="Arial;sans-serif" w:hAnsi="Arial;sans-serif"/>
          <w:b/>
          <w:color w:val="7030A0"/>
          <w:sz w:val="22"/>
        </w:rPr>
      </w:pPr>
      <w:r>
        <w:rPr>
          <w:rFonts w:ascii="Arial;sans-serif" w:hAnsi="Arial;sans-serif"/>
          <w:b/>
          <w:color w:val="7030A0"/>
          <w:sz w:val="22"/>
        </w:rPr>
        <w:t>Conference Call and Earnings Materials</w:t>
      </w:r>
    </w:p>
    <w:p>
      <w:pPr>
        <w:pStyle w:val="TextBody"/>
        <w:bidi w:val="0"/>
        <w:spacing w:lineRule="auto" w:line="288" w:before="0" w:after="0"/>
        <w:jc w:val="left"/>
        <w:rPr/>
      </w:pPr>
      <w:r>
        <w:rPr>
          <w:rFonts w:ascii="Arial;sans-serif" w:hAnsi="Arial;sans-serif"/>
          <w:b w:val="false"/>
          <w:color w:val="000000"/>
          <w:sz w:val="22"/>
        </w:rPr>
        <w:t>As previously announced, Viatris will host a conference call and live webcast, today at 8:30 a.m. ET, to review the Company’s second-quarter 2026 financial results. Investors and the general public are invited to listen to a live webcast of the call at investor.viatris.com or by calling 844.308.3344 or 412.317.1896 for international callers. The “Viatris Q2 2026 Earnings Presentation,” which will be referenced during the call, can be found at investor.viatris.com. A replay of the webcast also will be available on the website.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7030A0"/>
          <w:sz w:val="22"/>
        </w:rPr>
      </w:pPr>
      <w:r>
        <w:rPr>
          <w:rFonts w:ascii="Arial;sans-serif" w:hAnsi="Arial;sans-serif"/>
          <w:b/>
          <w:color w:val="7030A0"/>
          <w:sz w:val="22"/>
        </w:rPr>
        <w:t>About Viatris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Viatris Inc. (Nasdaq: VTRS) is a global healthcare company whose mission is to empower people worldwide to live healthier at every stage of life. We meet the needs of patients around the world by acting decisively with ingenuity and resolve. Whether we’re developing new medicines, working to maintain a resilient supply of needed therapies, or pursuing bold innovation, we strive to deliver solutions that are effective at scale and built to endure. We’re purpose-built to make an impact with a broad portfolio that spans generics, value-added medicines, established brands and innovative medicines that address areas of significant unmet need. We are headquartered in the U.S., with global centers in Pittsburgh, Shanghai, China, and Hyderabad, India. Learn more at viatris.com and investor.viatris.com, and connect with us on LinkedIn, Instagram, YouTube and 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7030A0"/>
          <w:sz w:val="22"/>
        </w:rPr>
      </w:pPr>
      <w:r>
        <w:rPr>
          <w:rFonts w:ascii="Arial;sans-serif" w:hAnsi="Arial;sans-serif"/>
          <w:b/>
          <w:color w:val="7030A0"/>
          <w:sz w:val="22"/>
        </w:rPr>
        <w:t>Non-GAAP Financial Measures</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adjusted EPS, EBITDA, adjusted EBITDA, free cash flow, free cash flow excluding the impact of transaction-related and restructuring-related costs, adjusted R&amp;D and as a % of total revenues, adjusted SG&amp;A and as a % of total revenues, adjusted earnings from operations, adjusted interest expense, adjusted other income, net, adjusted effective tax rate, constant currency total revenues, constant currency net sales, constant currency adjusted EBITDA, constant currency adjusted EPS, notional debt, gross leverage ratio and long-term gross leverage ratio target,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divestitures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adjusted EBITDA, and adjusted EPS. These measures provide information on the change in total revenues, net sales, adjusted EBITDA, and adjusted EPS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adjusted EBITDA, and adjusted EPS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"Summary of Total Revenues by Segment" table below compares total revenues and net sales on an actual and constant currency basis for each reportable segment for the three and six months ended June 30, 2026 and 2025.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and six months ended June 30,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With respect to the guidance ranges reaffirmed on May 7, 2026, at that time the Company did not provide forward-looking guidance for U.S. GAAP net earnings (loss) or U.S. GAAP diluted EPS or a quantitative reconciliation of its 2026 adjusted EBITDA or adjusted EPS guidance to the most directly comparable U.S. GAAP measures, U.S. GAAP net earnings (loss) or U.S. GAAP diluted EPS, respectively, because it was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IPR&amp;D and certain other gains or losses, including for the fair value accounting impact for equity investments, as well as related income tax accounting, because certain of these items had not occurred, were out of the Company’s control, and/or could not be reasonably predicted without unreasonable effort. These items were uncertain, depended on various factors, and could have had a material impact on U.S. GAAP reported results for the guidance period. As previously disclosed, such guidance ranges excluded the impact of transaction-related and restructuring-related costs as well as any acquired IPR&amp;D for unsigned deals to be incurred in any future period as it could not be reasonably forecasted. With respect to the Estimated Ranges reaffirmed on May 7, 2026, U.S. GAAP net cash provided by operating activities for 2026 was estimated to be between $1.7 billion and $2.0 billion, with a midpoint of approximately $1.85 billion.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240"/>
        <w:jc w:val="left"/>
        <w:rPr>
          <w:rFonts w:ascii="Arial;sans-serif" w:hAnsi="Arial;sans-serif"/>
          <w:b/>
          <w:color w:val="7030A0"/>
          <w:sz w:val="22"/>
        </w:rPr>
      </w:pPr>
      <w:r>
        <w:rPr>
          <w:rFonts w:ascii="Arial;sans-serif" w:hAnsi="Arial;sans-serif"/>
          <w:b/>
          <w:color w:val="7030A0"/>
          <w:sz w:val="22"/>
        </w:rPr>
        <w:t>Certain Key Terms and Presentation Matters</w:t>
      </w:r>
    </w:p>
    <w:p>
      <w:pPr>
        <w:pStyle w:val="TextBody"/>
        <w:bidi w:val="0"/>
        <w:spacing w:lineRule="auto" w:line="288" w:before="0" w:after="240"/>
        <w:jc w:val="left"/>
        <w:rPr/>
      </w:pPr>
      <w:r>
        <w:rPr>
          <w:rFonts w:ascii="Arial;sans-serif" w:hAnsi="Arial;sans-serif"/>
          <w:b w:val="false"/>
          <w:color w:val="000000"/>
          <w:sz w:val="22"/>
          <w:u w:val="single"/>
        </w:rPr>
        <w:t>New product sales, new product launches or new product revenues:</w:t>
      </w:r>
      <w:r>
        <w:rPr>
          <w:color w:val="000000"/>
        </w:rPr>
        <w:t xml:space="preserve"> </w:t>
      </w:r>
      <w:r>
        <w:rPr>
          <w:rFonts w:ascii="Arial;sans-serif" w:hAnsi="Arial;sans-serif"/>
          <w:b w:val="false"/>
          <w:color w:val="000000"/>
          <w:sz w:val="22"/>
        </w:rPr>
        <w:t>Refers to revenue from new products launched in 2026 and the carryover impact of new products, including business development, launched within the last 12 months.</w:t>
      </w:r>
    </w:p>
    <w:p>
      <w:pPr>
        <w:pStyle w:val="TextBody"/>
        <w:bidi w:val="0"/>
        <w:spacing w:lineRule="auto" w:line="288" w:before="0" w:after="0"/>
        <w:jc w:val="left"/>
        <w:rPr/>
      </w:pPr>
      <w:r>
        <w:rPr>
          <w:rFonts w:ascii="Arial;sans-serif" w:hAnsi="Arial;sans-serif"/>
          <w:b w:val="false"/>
          <w:color w:val="000000"/>
          <w:sz w:val="22"/>
          <w:u w:val="single"/>
        </w:rPr>
        <w:t>Operational change:</w:t>
      </w:r>
      <w:r>
        <w:rPr>
          <w:color w:val="000000"/>
        </w:rPr>
        <w:t xml:space="preserve"> </w:t>
      </w:r>
      <w:r>
        <w:rPr>
          <w:rFonts w:ascii="Arial;sans-serif" w:hAnsi="Arial;sans-serif"/>
          <w:b w:val="false"/>
          <w:color w:val="000000"/>
          <w:sz w:val="22"/>
        </w:rPr>
        <w:t>Refers to constant currency percentage changes and is derived by translating amounts for the current period at prior year comparative period exchange rates and in doing so shows the percentage change from 2026 constant currency net sales, total revenues, adjusted EBITDA, and adjusted EPS to the corresponding amount in the prior year.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u w:val="single"/>
        </w:rPr>
        <w:t>Transaction-related costs:</w:t>
      </w:r>
      <w:r>
        <w:rPr>
          <w:color w:val="000000"/>
        </w:rPr>
        <w:t xml:space="preserve"> </w:t>
      </w:r>
      <w:r>
        <w:rPr>
          <w:rFonts w:ascii="Arial;sans-serif" w:hAnsi="Arial;sans-serif"/>
          <w:b w:val="false"/>
          <w:color w:val="000000"/>
          <w:sz w:val="22"/>
        </w:rPr>
        <w:t>Refers to the impact of any acquisition and divestiture-related transaction costs, including taxes.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u w:val="single"/>
        </w:rPr>
        <w:t>Restructuring-related costs:</w:t>
      </w:r>
      <w:r>
        <w:rPr>
          <w:color w:val="000000"/>
        </w:rPr>
        <w:t xml:space="preserve"> </w:t>
      </w:r>
      <w:r>
        <w:rPr>
          <w:rFonts w:ascii="Arial;sans-serif" w:hAnsi="Arial;sans-serif"/>
          <w:b w:val="false"/>
          <w:color w:val="000000"/>
          <w:sz w:val="22"/>
        </w:rPr>
        <w:t>Refers to the impact of any cash costs associated with the restructuring activities of the enterprise-wide strategic review, which are expected to be primarily related to severance and employee benefits expense, as well as other costs, including those related to contract terminations, vendor consolidations, product transfer costs and network related simplification and modernization costs.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7030A0"/>
          <w:sz w:val="22"/>
        </w:rPr>
      </w:pPr>
      <w:r>
        <w:rPr>
          <w:rFonts w:ascii="Arial;sans-serif" w:hAnsi="Arial;sans-serif"/>
          <w:b/>
          <w:color w:val="7030A0"/>
          <w:sz w:val="22"/>
        </w:rPr>
        <w:t>Forward-Looking Statements</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These statements are made pursuant to the safe harbor provisions of the Private Securities Litigation Reform Act of 1995. Such forward-looking statements may include, without limitation, statements about our 2026 financial guidance; our second-quarter results reflect another quarter of strong execution and reinforce the momentum we're building across our business; commercial execution, pipeline progress and the early benefits of our enterprise-wide strategic review continue strengthening our business and improving our financial performance; our strong first-half results give us the confidence to raise our full-year guidance; we expect a more balanced operating environment in the second half of the year and we remain focused on disciplined execution, investing behind our future growth drivers and creating long-term value for patients and shareholders; we delivered another strong quarter of Total Revenues and Adjusted EBITDA growth over the prior year, reflecting continued strong operational execution; at the same time, we continued to execute on our balanced capital allocation strategy, returning approximately $550 million to shareholders, including approximately $270 million of share repurchases occurring through early August; in addition, we further strengthened our balance sheet and reduced our gross leverage ratio to 2.9x; the Company generated approximately $101 million in new product revenues (approximately $172 million for the year) and continues expecting to deliver approximately $450 million to $550 million in new product revenues in full-year 2026; the transaction to sell the global product rights for Tyrvaya® reflects the Company's continued focus on prioritizing its capital, talent and resources toward opportunities it believes offer the greatest long-term growth potential; the Company expects Gwyn Lo to be commercially available later this year; the outcomes of clinical trials; in May, the FDA inspected the Company’s oral solid dose manufacturing facility in Nashik, India, and issued Form 483 observations; the Company responded to the Form 483 observations and promptly initiated a comprehensive remediation plan; the Company has also engaged independent third-party subject matter experts to support its remediation plan; activities under the remediation plan are ongoing and have led to intermittent disruptions at the facility; while production at the facility has resumed, the temporary manufacturing suspension due to the fire at the facility in February along with these intermittent disruptions are expected to impact product supply in the second half of the year; the Company currently anticipates the impact of product supply disruptions to be between $100 million and $150 million to total revenues in the second half of 2026; in May, the Company announced that the FDA accepted for review the New Drug Application for MR-107A-02 (fast-acting meloxicam), a non-opioid, for the treatment of moderate-to-severe acute pain and the FDA has assigned a PDUFA goal date of December 27, 2026; the Company signed a distribution agreement with Accord Healthcare to commercialize three biosimilar products (filgrastim, ustekinumab, teriparatide) in France;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the Company signed a co-promotion partnership with Idorsia Ltd. for Quvivq® in Italy and Canada; these transactions reflect the Company's disciplined business development strategy of expanding its portfolio through complementary, accretive products that leverage its regional capabilities and commercial strengths; the Company has approximately $730 million remaining under its existing board-authorized share repurchase program, providing continued flexibility to return additional capital to shareholders; the goals or outlooks with respect to the Company’s strategic initiatives and priorities, including but not limited to divestitures, acquisitions, strategic alliances, collaborations, or other potential transactions; the anticipated benefits of such strategic initiatives or priorities or restructuring activities; future opportunities for the Company and its products; the outcomes of clinical trials and research studies; R&amp;D and new product development;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not realize the intended benefits of, or achieve the intended goals or outlooks with respect to, its strategic initiatives and priorities; the possibility that the Company may be unable to achieve the intended or expected benefits of its enterprise-wide strategic review and related cost-saving and restructuring activities within the expected timeframe or at all; the possibility that the Company may be unable to achieve intended or expected benefits in connection with divestitures, acquisitions, strategic alliances, collaborations, or other transactions, or restructuring programs, within the expected timeframes or at all; goodwill or impairment charges or other losses; success of clinical trials and the Company’s or its partners’ ability to execute on new product opportunities and develop, manufacture and commercialize products; any changes in or difficulties with the Company’s manufacturing facilities, including with respect to short- or long-term shutdowns, inspections, remediation and restructuring activities, supply chain continuity, inventory management, or the ability to meet anticipated demand; the Company’s failure to achieve expected or targeted future financial and operating performance and results; the potential impact of natural or man-made disasters, public health outbreaks, fires, accidents, weather, unrest or other emergencies in regions where we or our partners or suppliers operate;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the Company’s liquidity, capital resources and ability to obtain financing; any regulatory, legal or other impediments to the Company’s ability to bring new products to market; products in development that receive regulatory approval may not achieve expected levels of market acceptance, efficacy or safety; longer review, response and approval times as a result of evolving regulatory priorities and reductions in personnel at health agencies; the scope, timing and outcome of any ongoing legal proceedings, including government inquiries or investigations, and the impact of any such proceedings on the Company; any significant breach of data security or data privacy or disruptions to our IT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adverse regulatory action,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wars or other conflicts, potential for adverse impacts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from future tariffs and trade restrictions,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of the Company’s Annual Report on Form 10-K for the year ended December 31, 2025,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press release or our filings with the SEC. Viatris undertakes no obligation to update any statements herein for revisions or changes after the date of this press release other than as required by law.</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7030A0"/>
          <w:sz w:val="22"/>
        </w:rPr>
      </w:pPr>
      <w:r>
        <w:rPr>
          <w:rFonts w:ascii="Arial;sans-serif" w:hAnsi="Arial;sans-serif"/>
          <w:b/>
          <w:color w:val="7030A0"/>
          <w:sz w:val="22"/>
        </w:rPr>
        <w:t>Contacts</w:t>
      </w:r>
    </w:p>
    <w:tbl>
      <w:tblPr>
        <w:tblW w:w="4312" w:type="dxa"/>
        <w:jc w:val="left"/>
        <w:tblInd w:w="0" w:type="dxa"/>
        <w:tblLayout w:type="fixed"/>
        <w:tblCellMar>
          <w:top w:w="28" w:type="dxa"/>
          <w:left w:w="28" w:type="dxa"/>
          <w:bottom w:w="28" w:type="dxa"/>
          <w:right w:w="28" w:type="dxa"/>
        </w:tblCellMar>
      </w:tblPr>
      <w:tblGrid>
        <w:gridCol w:w="215"/>
        <w:gridCol w:w="191"/>
        <w:gridCol w:w="191"/>
        <w:gridCol w:w="889"/>
        <w:gridCol w:w="889"/>
        <w:gridCol w:w="911"/>
        <w:gridCol w:w="109"/>
        <w:gridCol w:w="109"/>
        <w:gridCol w:w="109"/>
        <w:gridCol w:w="109"/>
        <w:gridCol w:w="109"/>
        <w:gridCol w:w="109"/>
        <w:gridCol w:w="109"/>
        <w:gridCol w:w="109"/>
        <w:gridCol w:w="154"/>
      </w:tblGrid>
      <w:tr>
        <w:trPr/>
        <w:tc>
          <w:tcPr>
            <w:tcW w:w="2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1.724.514.1968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Communications@viatris.com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Jennifer Mauer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Jennifer.Mauer@viatris.com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Matt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Matthew.Klein@viatris.com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Investors: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1.724.514.1813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InvestorRelations@viatris.com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Bill Szablewski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William.Szablewski@viatris.com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2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Viatris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Operations </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1772"/>
        <w:gridCol w:w="1495"/>
        <w:gridCol w:w="1501"/>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831"/>
        <w:gridCol w:w="156"/>
      </w:tblGrid>
      <w:tr>
        <w:trPr/>
        <w:tc>
          <w:tcPr>
            <w:tcW w:w="177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 except per share amounts)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IPR&amp;D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Selling, general and administrative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settlements and other contingencies,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(2,649.2)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earnings per share attributable to Viatris Inc. shareholders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1,182.7 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Viatris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(Unaudited)</w:t>
      </w:r>
    </w:p>
    <w:tbl>
      <w:tblPr>
        <w:tblW w:w="8124" w:type="dxa"/>
        <w:jc w:val="center"/>
        <w:tblInd w:w="0" w:type="dxa"/>
        <w:tblLayout w:type="fixed"/>
        <w:tblCellMar>
          <w:top w:w="28" w:type="dxa"/>
          <w:left w:w="28" w:type="dxa"/>
          <w:bottom w:w="28" w:type="dxa"/>
          <w:right w:w="28" w:type="dxa"/>
        </w:tblCellMar>
      </w:tblPr>
      <w:tblGrid>
        <w:gridCol w:w="1945"/>
        <w:gridCol w:w="1710"/>
        <w:gridCol w:w="1715"/>
        <w:gridCol w:w="211"/>
        <w:gridCol w:w="871"/>
        <w:gridCol w:w="109"/>
        <w:gridCol w:w="109"/>
        <w:gridCol w:w="109"/>
        <w:gridCol w:w="109"/>
        <w:gridCol w:w="211"/>
        <w:gridCol w:w="871"/>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w:t>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812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37,193.1 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12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EQUITY</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and other long-term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37,193.1 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tbl>
      <w:tblPr>
        <w:tblW w:w="8085" w:type="dxa"/>
        <w:jc w:val="left"/>
        <w:tblInd w:w="0" w:type="dxa"/>
        <w:tblLayout w:type="fixed"/>
        <w:tblCellMar>
          <w:top w:w="28" w:type="dxa"/>
          <w:left w:w="28" w:type="dxa"/>
          <w:bottom w:w="28" w:type="dxa"/>
          <w:right w:w="28" w:type="dxa"/>
        </w:tblCellMar>
      </w:tblPr>
      <w:tblGrid>
        <w:gridCol w:w="973"/>
        <w:gridCol w:w="855"/>
        <w:gridCol w:w="857"/>
        <w:gridCol w:w="109"/>
        <w:gridCol w:w="109"/>
        <w:gridCol w:w="109"/>
        <w:gridCol w:w="236"/>
        <w:gridCol w:w="689"/>
        <w:gridCol w:w="121"/>
        <w:gridCol w:w="121"/>
        <w:gridCol w:w="121"/>
        <w:gridCol w:w="121"/>
        <w:gridCol w:w="236"/>
        <w:gridCol w:w="689"/>
        <w:gridCol w:w="121"/>
        <w:gridCol w:w="109"/>
        <w:gridCol w:w="109"/>
        <w:gridCol w:w="109"/>
        <w:gridCol w:w="215"/>
        <w:gridCol w:w="630"/>
        <w:gridCol w:w="111"/>
        <w:gridCol w:w="111"/>
        <w:gridCol w:w="111"/>
        <w:gridCol w:w="111"/>
        <w:gridCol w:w="215"/>
        <w:gridCol w:w="630"/>
        <w:gridCol w:w="157"/>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Viatris Inc. and Subsidiaries</w:t>
            </w:r>
          </w:p>
        </w:tc>
      </w:tr>
      <w:tr>
        <w:trPr/>
        <w:tc>
          <w:tcPr>
            <w:tcW w:w="80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Key Product Net Sales, on a Consolidated Basis</w:t>
            </w:r>
          </w:p>
        </w:tc>
      </w:tr>
      <w:tr>
        <w:trPr/>
        <w:tc>
          <w:tcPr>
            <w:tcW w:w="80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Select Key Global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Lipitor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Norvasc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EpiPen® Auto-Injectors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Lyrica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Viagra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Celebrex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Zoloft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Effexor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Xalabrands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Select Key Segment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Yupelri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Dymista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Amitiza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Xanax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(a)    The Company does not disclose net sales for any products considered competitively sensitive.</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(b)    Products disclosed may change in future periods, including as a result of seasonality, competition or new product launches.</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(c)    Amounts include the impact of foreign currency fluctuations compared to the prior year period.</w:t>
      </w:r>
    </w:p>
    <w:p>
      <w:pPr>
        <w:pStyle w:val="TextBody"/>
        <w:bidi w:val="0"/>
        <w:spacing w:before="0" w:after="60"/>
        <w:ind w:left="0" w:right="0" w:hanging="360"/>
        <w:jc w:val="both"/>
        <w:rPr/>
      </w:pPr>
      <w:r>
        <w:rPr/>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Viatris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Reconciliation of Non-GAAP Financial Measures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Reconciliation of U.S. GAAP Net (Loss) Earnings to Adjusted Net Earnings and U.S. GAAP (Loss) Earnings Per Share to Adjusted EPS</w:t>
      </w:r>
    </w:p>
    <w:p>
      <w:pPr>
        <w:pStyle w:val="TextBody"/>
        <w:bidi w:val="0"/>
        <w:spacing w:lineRule="auto" w:line="288" w:before="0" w:after="60"/>
        <w:jc w:val="left"/>
        <w:rPr/>
      </w:pPr>
      <w:r>
        <w:rPr>
          <w:rFonts w:ascii="Arial;sans-serif" w:hAnsi="Arial;sans-serif"/>
          <w:b w:val="false"/>
          <w:color w:val="000000"/>
          <w:sz w:val="20"/>
        </w:rPr>
        <w:t>Below is a reconciliation of U.S. GAAP net (loss) earnings and diluted (loss) earnings per share to adjusted net earnings and adjusted EPS for the three and six months ended June 30, 2026, compared to the prior year period:</w:t>
      </w:r>
      <w:r>
        <w:rPr>
          <w:color w:val="000000"/>
        </w:rPr>
        <w:t xml:space="preserve"> </w:t>
      </w:r>
    </w:p>
    <w:tbl>
      <w:tblPr>
        <w:tblW w:w="11353" w:type="dxa"/>
        <w:jc w:val="left"/>
        <w:tblInd w:w="0" w:type="dxa"/>
        <w:tblLayout w:type="fixed"/>
        <w:tblCellMar>
          <w:top w:w="28" w:type="dxa"/>
          <w:left w:w="28" w:type="dxa"/>
          <w:bottom w:w="28" w:type="dxa"/>
          <w:right w:w="28" w:type="dxa"/>
        </w:tblCellMar>
      </w:tblPr>
      <w:tblGrid>
        <w:gridCol w:w="1064"/>
        <w:gridCol w:w="263"/>
        <w:gridCol w:w="264"/>
        <w:gridCol w:w="211"/>
        <w:gridCol w:w="631"/>
        <w:gridCol w:w="109"/>
        <w:gridCol w:w="109"/>
        <w:gridCol w:w="109"/>
        <w:gridCol w:w="109"/>
        <w:gridCol w:w="211"/>
        <w:gridCol w:w="526"/>
        <w:gridCol w:w="109"/>
        <w:gridCol w:w="109"/>
        <w:gridCol w:w="109"/>
        <w:gridCol w:w="109"/>
        <w:gridCol w:w="211"/>
        <w:gridCol w:w="616"/>
        <w:gridCol w:w="109"/>
        <w:gridCol w:w="109"/>
        <w:gridCol w:w="109"/>
        <w:gridCol w:w="109"/>
        <w:gridCol w:w="211"/>
        <w:gridCol w:w="511"/>
        <w:gridCol w:w="109"/>
        <w:gridCol w:w="109"/>
        <w:gridCol w:w="109"/>
        <w:gridCol w:w="109"/>
        <w:gridCol w:w="211"/>
        <w:gridCol w:w="766"/>
        <w:gridCol w:w="109"/>
        <w:gridCol w:w="109"/>
        <w:gridCol w:w="109"/>
        <w:gridCol w:w="109"/>
        <w:gridCol w:w="211"/>
        <w:gridCol w:w="511"/>
        <w:gridCol w:w="109"/>
        <w:gridCol w:w="109"/>
        <w:gridCol w:w="109"/>
        <w:gridCol w:w="109"/>
        <w:gridCol w:w="211"/>
        <w:gridCol w:w="781"/>
        <w:gridCol w:w="109"/>
        <w:gridCol w:w="109"/>
        <w:gridCol w:w="109"/>
        <w:gridCol w:w="109"/>
        <w:gridCol w:w="211"/>
        <w:gridCol w:w="52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 except per share amounts)</w:t>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net (loss) earnings and U.S. GAAP diluted (loss)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Purchase accounting amortization (primarily included in cost of sales)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Impairment of goodwill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settlements and other contingencies,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(primarily amortization of premiums and discounts on long 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Loss on divestitures of businesses (included in other (income) expense, net)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Acquisition and divestiture-related costs (primarily included in cost of sales and SG&amp;A) </w:t>
            </w:r>
            <w:r>
              <w:rPr>
                <w:rFonts w:ascii="Arial;sans-serif" w:hAnsi="Arial;sans-serif"/>
                <w:b w:val="false"/>
                <w:color w:val="000000"/>
                <w:sz w:val="12"/>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costs </w:t>
            </w:r>
            <w:r>
              <w:rPr>
                <w:rFonts w:ascii="Arial;sans-serif" w:hAnsi="Arial;sans-serif"/>
                <w:b w:val="false"/>
                <w:color w:val="000000"/>
                <w:sz w:val="12"/>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special items included in: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Cost of sales </w:t>
            </w:r>
            <w:r>
              <w:rPr>
                <w:rFonts w:ascii="Arial;sans-serif" w:hAnsi="Arial;sans-serif"/>
                <w:b w:val="false"/>
                <w:color w:val="000000"/>
                <w:sz w:val="12"/>
              </w:rPr>
              <w:t>(c)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Selling, general and administrative expense </w:t>
            </w:r>
            <w:r>
              <w:rPr>
                <w:rFonts w:ascii="Arial;sans-serif" w:hAnsi="Arial;sans-serif"/>
                <w:b w:val="false"/>
                <w:color w:val="000000"/>
                <w:sz w:val="12"/>
              </w:rPr>
              <w:t>(d)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(income) expense, net </w:t>
            </w:r>
            <w:r>
              <w:rPr>
                <w:rFonts w:ascii="Arial;sans-serif" w:hAnsi="Arial;sans-serif"/>
                <w:b w:val="false"/>
                <w:color w:val="000000"/>
                <w:sz w:val="12"/>
              </w:rPr>
              <w: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Tax effect of the above items and other income tax related items</w:t>
            </w:r>
            <w:r>
              <w:rPr>
                <w:color w:val="000000"/>
              </w:rPr>
              <w:t xml:space="preserve"> </w:t>
            </w:r>
            <w:r>
              <w:rPr>
                <w:rFonts w:ascii="Arial;sans-serif" w:hAnsi="Arial;sans-serif"/>
                <w:b w:val="false"/>
                <w:color w:val="000000"/>
                <w:sz w:val="12"/>
              </w:rPr>
              <w:t>(f)</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earnings and adjusted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diluted shares outstanding</w:t>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Significant items include the following:</w:t>
      </w:r>
    </w:p>
    <w:p>
      <w:pPr>
        <w:pStyle w:val="TextBody"/>
        <w:bidi w:val="0"/>
        <w:spacing w:lineRule="auto" w:line="288" w:before="0" w:after="60"/>
        <w:ind w:left="0" w:right="0" w:hanging="360"/>
        <w:jc w:val="both"/>
        <w:rPr/>
      </w:pPr>
      <w:r>
        <w:rPr>
          <w:rFonts w:ascii="Arial;sans-serif" w:hAnsi="Arial;sans-serif"/>
          <w:b w:val="false"/>
          <w:color w:val="000000"/>
          <w:sz w:val="12"/>
        </w:rPr>
        <w:t>(a)</w:t>
      </w:r>
      <w:r>
        <w:rPr>
          <w:rFonts w:ascii="Arial;sans-serif" w:hAnsi="Arial;sans-serif"/>
          <w:b w:val="false"/>
          <w:color w:val="000000"/>
          <w:sz w:val="18"/>
        </w:rPr>
        <w:t>Acquisition and divestiture-related costs consist primarily of contractual obligations related to divestitures, transaction costs including legal and consulting fees, and integration activities.</w:t>
      </w:r>
    </w:p>
    <w:p>
      <w:pPr>
        <w:pStyle w:val="TextBody"/>
        <w:bidi w:val="0"/>
        <w:spacing w:lineRule="auto" w:line="288" w:before="0" w:after="60"/>
        <w:ind w:left="0" w:right="0" w:hanging="360"/>
        <w:jc w:val="both"/>
        <w:rPr/>
      </w:pPr>
      <w:r>
        <w:rPr>
          <w:rFonts w:ascii="Arial;sans-serif" w:hAnsi="Arial;sans-serif"/>
          <w:b w:val="false"/>
          <w:color w:val="000000"/>
          <w:sz w:val="12"/>
        </w:rPr>
        <w:t>(b)</w:t>
      </w:r>
      <w:r>
        <w:rPr>
          <w:rFonts w:ascii="Arial;sans-serif" w:hAnsi="Arial;sans-serif"/>
          <w:b w:val="false"/>
          <w:color w:val="000000"/>
          <w:sz w:val="18"/>
        </w:rPr>
        <w:t>For the three and six months ended June 30, 2026, charges include approximately $26.9 million and $76.7 million in cost of sales, approximately $2.0 million and $2.6 million in R&amp;D, and approximately $19.0 million and $61.0 million in SG&amp;A, primarily relating to the 2026 restructuring program.</w:t>
      </w:r>
    </w:p>
    <w:p>
      <w:pPr>
        <w:pStyle w:val="TextBody"/>
        <w:bidi w:val="0"/>
        <w:spacing w:lineRule="auto" w:line="288" w:before="0" w:after="60"/>
        <w:ind w:left="0" w:right="0" w:hanging="360"/>
        <w:jc w:val="both"/>
        <w:rPr/>
      </w:pPr>
      <w:r>
        <w:rPr>
          <w:rFonts w:ascii="Arial;sans-serif" w:hAnsi="Arial;sans-serif"/>
          <w:b w:val="false"/>
          <w:color w:val="000000"/>
          <w:sz w:val="12"/>
        </w:rPr>
        <w:t>(c)</w:t>
      </w:r>
      <w:r>
        <w:rPr>
          <w:rFonts w:ascii="Arial;sans-serif" w:hAnsi="Arial;sans-serif"/>
          <w:b w:val="false"/>
          <w:color w:val="000000"/>
          <w:sz w:val="18"/>
        </w:rPr>
        <w:t>For the three and six months ended June 30, 2026, includes certain asset impairments, contractual termination costs, and incremental manufacturing variances and certain remediation costs at plants slated for sale or closure or undergoing remediation activities of approximately $44.2 million and $174.9 million, respectively, including charges of $14.9 million and $86.8 million, respectively, primarily related to the write off of inventory and fixed assets damaged in the fire at the Nashik manufacturing facility and incremental manufacturing variances.</w:t>
      </w:r>
    </w:p>
    <w:p>
      <w:pPr>
        <w:pStyle w:val="TextBody"/>
        <w:bidi w:val="0"/>
        <w:spacing w:lineRule="auto" w:line="288" w:before="0" w:after="60"/>
        <w:ind w:left="0" w:right="0" w:hanging="360"/>
        <w:jc w:val="both"/>
        <w:rPr/>
      </w:pPr>
      <w:r>
        <w:rPr>
          <w:rFonts w:ascii="Arial;sans-serif" w:hAnsi="Arial;sans-serif"/>
          <w:b w:val="false"/>
          <w:color w:val="000000"/>
          <w:sz w:val="12"/>
        </w:rPr>
        <w:t>(d)</w:t>
      </w:r>
      <w:r>
        <w:rPr>
          <w:rFonts w:ascii="Arial;sans-serif" w:hAnsi="Arial;sans-serif"/>
          <w:b w:val="false"/>
          <w:color w:val="000000"/>
          <w:sz w:val="18"/>
        </w:rPr>
        <w:t>For the three and six months ended June 30, 2026, includes a charge of $177.8 million related to the planned sale of the product rights for Tyrvaya®.</w:t>
      </w:r>
    </w:p>
    <w:p>
      <w:pPr>
        <w:pStyle w:val="TextBody"/>
        <w:bidi w:val="0"/>
        <w:spacing w:lineRule="auto" w:line="288" w:before="0" w:after="60"/>
        <w:ind w:left="0" w:right="0" w:hanging="360"/>
        <w:jc w:val="both"/>
        <w:rPr/>
      </w:pPr>
      <w:r>
        <w:rPr>
          <w:rFonts w:ascii="Arial;sans-serif" w:hAnsi="Arial;sans-serif"/>
          <w:b w:val="false"/>
          <w:color w:val="000000"/>
          <w:sz w:val="12"/>
        </w:rPr>
        <w:t>(e)</w:t>
      </w:r>
      <w:r>
        <w:rPr>
          <w:rFonts w:ascii="Arial;sans-serif" w:hAnsi="Arial;sans-serif"/>
          <w:b w:val="false"/>
          <w:color w:val="000000"/>
          <w:sz w:val="18"/>
        </w:rPr>
        <w:t xml:space="preserve">For the three and six months ended June 30, 2026, charges include a (gain)/loss of approximately $(56.3) million and $8.6 million, respectively, as a result of changes in the fair value of the Biocon Limited equity shares. </w:t>
      </w:r>
    </w:p>
    <w:p>
      <w:pPr>
        <w:pStyle w:val="TextBody"/>
        <w:bidi w:val="0"/>
        <w:spacing w:lineRule="auto" w:line="288" w:before="0" w:after="60"/>
        <w:ind w:left="0" w:right="0" w:hanging="360"/>
        <w:jc w:val="both"/>
        <w:rPr/>
      </w:pPr>
      <w:r>
        <w:rPr>
          <w:rFonts w:ascii="Arial;sans-serif" w:hAnsi="Arial;sans-serif"/>
          <w:b w:val="false"/>
          <w:color w:val="000000"/>
          <w:sz w:val="12"/>
        </w:rPr>
        <w:t>(f)</w:t>
      </w:r>
      <w:r>
        <w:rPr>
          <w:rFonts w:ascii="Arial;sans-serif" w:hAnsi="Arial;sans-serif"/>
          <w:b w:val="false"/>
          <w:color w:val="000000"/>
          <w:sz w:val="18"/>
        </w:rPr>
        <w:t xml:space="preserve">Adjusted for changes for uncertain tax positions. </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Reconciliation of U.S. GAAP Net (Loss) Earnings to EBITDA and Adjusted EBITDA</w:t>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Below is a reconciliation of U.S. GAAP net (loss) earnings to EBITDA and adjusted EBITDA for the three and six months ended June 30, 2026, compared to the prior year period: </w:t>
      </w:r>
    </w:p>
    <w:tbl>
      <w:tblPr>
        <w:tblW w:w="10205" w:type="dxa"/>
        <w:jc w:val="left"/>
        <w:tblInd w:w="0" w:type="dxa"/>
        <w:tblLayout w:type="fixed"/>
        <w:tblCellMar>
          <w:top w:w="28" w:type="dxa"/>
          <w:left w:w="28" w:type="dxa"/>
          <w:bottom w:w="28" w:type="dxa"/>
          <w:right w:w="28" w:type="dxa"/>
        </w:tblCellMar>
      </w:tblPr>
      <w:tblGrid>
        <w:gridCol w:w="1896"/>
        <w:gridCol w:w="1438"/>
        <w:gridCol w:w="1443"/>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822"/>
        <w:gridCol w:w="156"/>
      </w:tblGrid>
      <w:tr>
        <w:trPr/>
        <w:tc>
          <w:tcPr>
            <w:tcW w:w="189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7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6"/>
              </w:rPr>
            </w:pPr>
            <w:r>
              <w:rPr>
                <w:rFonts w:ascii="Arial;sans-serif" w:hAnsi="Arial;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net (loss)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 (deduct) adjustments: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expense </w:t>
            </w:r>
            <w:r>
              <w:rPr>
                <w:rFonts w:ascii="Arial;sans-serif" w:hAnsi="Arial;sans-serif"/>
                <w:b w:val="false"/>
                <w:color w:val="000000"/>
                <w:sz w:val="12"/>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Depreciation and amortization </w:t>
            </w:r>
            <w:r>
              <w:rPr>
                <w:rFonts w:ascii="Arial;sans-serif" w:hAnsi="Arial;sans-serif"/>
                <w:b w:val="false"/>
                <w:color w:val="000000"/>
                <w:sz w:val="12"/>
              </w:rPr>
              <w:t>(b)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(1,739.0)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 (deduct) adjustments: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settlements and other contingencies,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divestitures of businesses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acquisition and divestiture-related and other special items </w:t>
            </w:r>
            <w:r>
              <w:rPr>
                <w:rFonts w:ascii="Arial;sans-serif" w:hAnsi="Arial;sans-serif"/>
                <w:b w:val="false"/>
                <w:color w:val="000000"/>
                <w:sz w:val="12"/>
              </w:rPr>
              <w:t>(c)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Arial;sans-serif" w:hAnsi="Arial;sans-serif"/>
          <w:b w:val="false"/>
          <w:color w:val="000000"/>
          <w:sz w:val="12"/>
        </w:rPr>
        <w:t>(a)</w:t>
      </w:r>
      <w:r>
        <w:rPr>
          <w:color w:val="000000"/>
        </w:rPr>
        <w:t>    </w:t>
      </w:r>
      <w:r>
        <w:rPr>
          <w:rFonts w:ascii="Arial;sans-serif" w:hAnsi="Arial;sans-serif"/>
          <w:b w:val="false"/>
          <w:color w:val="000000"/>
          <w:sz w:val="18"/>
        </w:rPr>
        <w:t>Includes amortization of premiums and discounts on long-term debt.</w:t>
      </w:r>
    </w:p>
    <w:p>
      <w:pPr>
        <w:pStyle w:val="TextBody"/>
        <w:bidi w:val="0"/>
        <w:spacing w:lineRule="auto" w:line="288" w:before="0" w:after="60"/>
        <w:ind w:left="0" w:right="0" w:hanging="360"/>
        <w:jc w:val="both"/>
        <w:rPr/>
      </w:pPr>
      <w:r>
        <w:rPr>
          <w:rFonts w:ascii="Arial;sans-serif" w:hAnsi="Arial;sans-serif"/>
          <w:b w:val="false"/>
          <w:color w:val="000000"/>
          <w:sz w:val="12"/>
        </w:rPr>
        <w:t>(b)    </w:t>
      </w:r>
      <w:r>
        <w:rPr>
          <w:rFonts w:ascii="Arial;sans-serif" w:hAnsi="Arial;sans-serif"/>
          <w:b w:val="false"/>
          <w:color w:val="000000"/>
          <w:sz w:val="18"/>
        </w:rPr>
        <w:t>Includes purchase accounting related amortization.</w:t>
      </w:r>
    </w:p>
    <w:p>
      <w:pPr>
        <w:pStyle w:val="TextBody"/>
        <w:bidi w:val="0"/>
        <w:spacing w:lineRule="auto" w:line="288" w:before="0" w:after="0"/>
        <w:ind w:left="0" w:right="0" w:hanging="360"/>
        <w:jc w:val="both"/>
        <w:rPr/>
      </w:pPr>
      <w:r>
        <w:rPr>
          <w:rFonts w:ascii="Arial;sans-serif" w:hAnsi="Arial;sans-serif"/>
          <w:b w:val="false"/>
          <w:color w:val="000000"/>
          <w:sz w:val="12"/>
        </w:rPr>
        <w:t>(c)    </w:t>
      </w:r>
      <w:r>
        <w:rPr>
          <w:rFonts w:ascii="Arial;sans-serif" w:hAnsi="Arial;sans-serif"/>
          <w:b w:val="false"/>
          <w:color w:val="000000"/>
          <w:sz w:val="18"/>
        </w:rPr>
        <w:t>See items detailed in the Reconciliation of U.S. GAAP Net (Loss) Earnings to Adjusted Net Earnings.</w:t>
      </w:r>
    </w:p>
    <w:p>
      <w:pPr>
        <w:pStyle w:val="TextBody"/>
        <w:bidi w:val="0"/>
        <w:spacing w:before="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Summary of Total Revenues by Segment</w:t>
      </w:r>
    </w:p>
    <w:tbl>
      <w:tblPr>
        <w:tblW w:w="10205" w:type="dxa"/>
        <w:jc w:val="left"/>
        <w:tblInd w:w="0" w:type="dxa"/>
        <w:tblLayout w:type="fixed"/>
        <w:tblCellMar>
          <w:top w:w="28" w:type="dxa"/>
          <w:left w:w="28" w:type="dxa"/>
          <w:bottom w:w="28" w:type="dxa"/>
          <w:right w:w="28" w:type="dxa"/>
        </w:tblCellMar>
      </w:tblPr>
      <w:tblGrid>
        <w:gridCol w:w="611"/>
        <w:gridCol w:w="344"/>
        <w:gridCol w:w="346"/>
        <w:gridCol w:w="196"/>
        <w:gridCol w:w="691"/>
        <w:gridCol w:w="109"/>
        <w:gridCol w:w="109"/>
        <w:gridCol w:w="109"/>
        <w:gridCol w:w="109"/>
        <w:gridCol w:w="196"/>
        <w:gridCol w:w="691"/>
        <w:gridCol w:w="109"/>
        <w:gridCol w:w="109"/>
        <w:gridCol w:w="109"/>
        <w:gridCol w:w="109"/>
        <w:gridCol w:w="210"/>
        <w:gridCol w:w="210"/>
        <w:gridCol w:w="496"/>
        <w:gridCol w:w="109"/>
        <w:gridCol w:w="109"/>
        <w:gridCol w:w="109"/>
        <w:gridCol w:w="236"/>
        <w:gridCol w:w="714"/>
        <w:gridCol w:w="131"/>
        <w:gridCol w:w="109"/>
        <w:gridCol w:w="109"/>
        <w:gridCol w:w="109"/>
        <w:gridCol w:w="263"/>
        <w:gridCol w:w="930"/>
        <w:gridCol w:w="146"/>
        <w:gridCol w:w="109"/>
        <w:gridCol w:w="109"/>
        <w:gridCol w:w="109"/>
        <w:gridCol w:w="283"/>
        <w:gridCol w:w="283"/>
        <w:gridCol w:w="669"/>
        <w:gridCol w:w="109"/>
        <w:gridCol w:w="109"/>
        <w:gridCol w:w="109"/>
        <w:gridCol w:w="109"/>
        <w:gridCol w:w="109"/>
        <w:gridCol w:w="161"/>
      </w:tblGrid>
      <w:tr>
        <w:trPr/>
        <w:tc>
          <w:tcPr>
            <w:tcW w:w="6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706" w:type="dxa"/>
            <w:gridSpan w:val="6"/>
            <w:tcBorders/>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706" w:type="dxa"/>
            <w:gridSpan w:val="6"/>
            <w:tcBorders/>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 except %s)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2026 Currency Impact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Constant Currency % Change </w:t>
            </w:r>
            <w:r>
              <w:rPr>
                <w:rFonts w:ascii="Arial;sans-serif" w:hAnsi="Arial;sans-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Developed Markets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China</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JANZ</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Emerging Markets </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3,696.7 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revenues </w:t>
            </w:r>
            <w:r>
              <w:rPr>
                <w:rFonts w:ascii="Arial;sans-serif" w:hAnsi="Arial;sans-serif"/>
                <w:b w:val="false"/>
                <w:color w:val="000000"/>
                <w:sz w:val="10"/>
              </w:rPr>
              <w:t>(3)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Consolidated total revenues</w:t>
            </w:r>
            <w:r>
              <w:rPr>
                <w:color w:val="000000"/>
              </w:rPr>
              <w:t xml:space="preserve"> </w:t>
            </w:r>
            <w:r>
              <w:rPr>
                <w:rFonts w:ascii="Arial;sans-serif" w:hAnsi="Arial;sans-serif"/>
                <w:b w:val="false"/>
                <w:color w:val="000000"/>
                <w:sz w:val="10"/>
              </w:rPr>
              <w:t>(4)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3,707.5 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706" w:type="dxa"/>
            <w:gridSpan w:val="6"/>
            <w:tcBorders/>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706" w:type="dxa"/>
            <w:gridSpan w:val="6"/>
            <w:tcBorders/>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 except %s)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2026 Currency Impact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Constant Currency % Change </w:t>
            </w:r>
            <w:r>
              <w:rPr>
                <w:rFonts w:ascii="Arial;sans-serif" w:hAnsi="Arial;sans-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Developed Markets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China</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JANZ</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Emerging Markets </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7,044.7 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revenues </w:t>
            </w:r>
            <w:r>
              <w:rPr>
                <w:rFonts w:ascii="Arial;sans-serif" w:hAnsi="Arial;sans-serif"/>
                <w:b w:val="false"/>
                <w:color w:val="000000"/>
                <w:sz w:val="10"/>
              </w:rPr>
              <w:t>(3)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Consolidated total revenues </w:t>
            </w:r>
            <w:r>
              <w:rPr>
                <w:rFonts w:ascii="Arial;sans-serif" w:hAnsi="Arial;sans-serif"/>
                <w:b w:val="false"/>
                <w:color w:val="000000"/>
                <w:sz w:val="10"/>
              </w:rPr>
              <w:t>(4)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(211.1)</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7,062.7 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Arial;sans-serif" w:hAnsi="Arial;sans-serif"/>
          <w:b w:val="false"/>
          <w:color w:val="000000"/>
          <w:sz w:val="12"/>
        </w:rPr>
        <w:t>(1)    </w:t>
      </w:r>
      <w:r>
        <w:rPr>
          <w:rFonts w:ascii="Arial;sans-serif" w:hAnsi="Arial;sans-serif"/>
          <w:b w:val="false"/>
          <w:color w:val="000000"/>
          <w:sz w:val="18"/>
        </w:rPr>
        <w:t xml:space="preserve">Currency impact is shown as unfavorable (favorable). </w:t>
      </w:r>
    </w:p>
    <w:p>
      <w:pPr>
        <w:pStyle w:val="TextBody"/>
        <w:bidi w:val="0"/>
        <w:spacing w:lineRule="auto" w:line="288" w:before="0" w:after="60"/>
        <w:ind w:left="0" w:right="0" w:hanging="360"/>
        <w:jc w:val="both"/>
        <w:rPr/>
      </w:pPr>
      <w:r>
        <w:rPr>
          <w:rFonts w:ascii="Arial;sans-serif" w:hAnsi="Arial;sans-serif"/>
          <w:b w:val="false"/>
          <w:color w:val="000000"/>
          <w:sz w:val="12"/>
        </w:rPr>
        <w:t>(2)    </w:t>
      </w:r>
      <w:r>
        <w:rPr>
          <w:rFonts w:ascii="Arial;sans-serif" w:hAnsi="Arial;sans-serif"/>
          <w:b w:val="false"/>
          <w:color w:val="000000"/>
          <w:sz w:val="18"/>
        </w:rPr>
        <w:t xml:space="preserve">The constant currency percentage change is derived by translating net sales or revenues for the current period at prior year comparative period exchange rates, and in doing so shows the percentage change from 2026 constant currency net sales or revenues to the corresponding amount in the prior year. </w:t>
      </w:r>
    </w:p>
    <w:p>
      <w:pPr>
        <w:pStyle w:val="TextBody"/>
        <w:bidi w:val="0"/>
        <w:spacing w:lineRule="auto" w:line="288" w:before="0" w:after="60"/>
        <w:ind w:left="0" w:right="0" w:hanging="360"/>
        <w:jc w:val="both"/>
        <w:rPr/>
      </w:pPr>
      <w:r>
        <w:rPr>
          <w:rFonts w:ascii="Arial;sans-serif" w:hAnsi="Arial;sans-serif"/>
          <w:b w:val="false"/>
          <w:color w:val="000000"/>
          <w:sz w:val="12"/>
        </w:rPr>
        <w:t>(3)</w:t>
      </w:r>
      <w:r>
        <w:rPr>
          <w:rFonts w:ascii="Arial;sans-serif" w:hAnsi="Arial;sans-serif"/>
          <w:b w:val="false"/>
          <w:color w:val="000000"/>
          <w:sz w:val="18"/>
        </w:rPr>
        <w:t>For the three months ended June 30, 2026, other revenues in Developed Markets, JANZ, and Emerging Markets were approximately $9.3 million, $0.1 million, and $1.5 million, respectively. For the six months ended June 30, 2026, other revenues in Developed Markets, JANZ, and Emerging Markets were approximately $14.5 million, $0.2 million, and $3.5 million, respectively.</w:t>
      </w:r>
    </w:p>
    <w:p>
      <w:pPr>
        <w:pStyle w:val="TextBody"/>
        <w:bidi w:val="0"/>
        <w:spacing w:lineRule="auto" w:line="288" w:before="0" w:after="60"/>
        <w:ind w:left="0" w:right="0" w:hanging="360"/>
        <w:jc w:val="both"/>
        <w:rPr/>
      </w:pPr>
      <w:r>
        <w:rPr>
          <w:rFonts w:ascii="Arial;sans-serif" w:hAnsi="Arial;sans-serif"/>
          <w:b w:val="false"/>
          <w:color w:val="000000"/>
          <w:sz w:val="12"/>
        </w:rPr>
        <w:t>(4)</w:t>
      </w:r>
      <w:r>
        <w:rPr>
          <w:rFonts w:ascii="Arial;sans-serif" w:hAnsi="Arial;sans-serif"/>
          <w:b w:val="false"/>
          <w:color w:val="000000"/>
          <w:sz w:val="18"/>
        </w:rPr>
        <w:t>Amounts exclude intersegment revenue which eliminates on a consolidated basis.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Reconciliation of Statements of Operations Line Items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(Unaudited)</w:t>
      </w:r>
    </w:p>
    <w:tbl>
      <w:tblPr>
        <w:tblW w:w="9902" w:type="dxa"/>
        <w:jc w:val="left"/>
        <w:tblInd w:w="0" w:type="dxa"/>
        <w:tblLayout w:type="fixed"/>
        <w:tblCellMar>
          <w:top w:w="28" w:type="dxa"/>
          <w:left w:w="28" w:type="dxa"/>
          <w:bottom w:w="28" w:type="dxa"/>
          <w:right w:w="28" w:type="dxa"/>
        </w:tblCellMar>
      </w:tblPr>
      <w:tblGrid>
        <w:gridCol w:w="1559"/>
        <w:gridCol w:w="1366"/>
        <w:gridCol w:w="1379"/>
        <w:gridCol w:w="196"/>
        <w:gridCol w:w="691"/>
        <w:gridCol w:w="256"/>
        <w:gridCol w:w="109"/>
        <w:gridCol w:w="109"/>
        <w:gridCol w:w="109"/>
        <w:gridCol w:w="196"/>
        <w:gridCol w:w="691"/>
        <w:gridCol w:w="256"/>
        <w:gridCol w:w="109"/>
        <w:gridCol w:w="109"/>
        <w:gridCol w:w="109"/>
        <w:gridCol w:w="196"/>
        <w:gridCol w:w="691"/>
        <w:gridCol w:w="256"/>
        <w:gridCol w:w="109"/>
        <w:gridCol w:w="109"/>
        <w:gridCol w:w="109"/>
        <w:gridCol w:w="196"/>
        <w:gridCol w:w="691"/>
        <w:gridCol w:w="301"/>
      </w:tblGrid>
      <w:tr>
        <w:trPr/>
        <w:tc>
          <w:tcPr>
            <w:tcW w:w="15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 except %s)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cost of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4,342.3 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accounting amortization and other related items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(1,181.3)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divestiture-related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special items, including restructuring related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cost of sales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1,553.7 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2,988.4 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Adjusted gross profit </w:t>
            </w:r>
            <w:r>
              <w:rPr>
                <w:rFonts w:ascii="Arial;sans-serif" w:hAnsi="Arial;sans-serif"/>
                <w:b w:val="false"/>
                <w:color w:val="000000"/>
                <w:sz w:val="10"/>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Adjusted gross margin </w:t>
            </w:r>
            <w:r>
              <w:rPr>
                <w:rFonts w:ascii="Arial;sans-serif" w:hAnsi="Arial;sans-serif"/>
                <w:b w:val="false"/>
                <w:color w:val="000000"/>
                <w:sz w:val="10"/>
              </w:rPr>
              <w:t>(a)</w:t>
            </w:r>
          </w:p>
        </w:tc>
        <w:tc>
          <w:tcPr>
            <w:tcW w:w="8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72" w:type="dxa"/>
        <w:jc w:val="center"/>
        <w:tblInd w:w="0" w:type="dxa"/>
        <w:tblLayout w:type="fixed"/>
        <w:tblCellMar>
          <w:top w:w="28" w:type="dxa"/>
          <w:left w:w="28" w:type="dxa"/>
          <w:bottom w:w="28" w:type="dxa"/>
          <w:right w:w="28" w:type="dxa"/>
        </w:tblCellMar>
      </w:tblPr>
      <w:tblGrid>
        <w:gridCol w:w="1091"/>
        <w:gridCol w:w="958"/>
        <w:gridCol w:w="965"/>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301"/>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 except %s)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R&amp;D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divestiture-related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special items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R&amp;D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R&amp;D as % of total revenues</w:t>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523" w:type="dxa"/>
        <w:jc w:val="center"/>
        <w:tblInd w:w="0" w:type="dxa"/>
        <w:tblLayout w:type="fixed"/>
        <w:tblCellMar>
          <w:top w:w="28" w:type="dxa"/>
          <w:left w:w="28" w:type="dxa"/>
          <w:bottom w:w="28" w:type="dxa"/>
          <w:right w:w="28" w:type="dxa"/>
        </w:tblCellMar>
      </w:tblPr>
      <w:tblGrid>
        <w:gridCol w:w="1108"/>
        <w:gridCol w:w="972"/>
        <w:gridCol w:w="980"/>
        <w:gridCol w:w="196"/>
        <w:gridCol w:w="691"/>
        <w:gridCol w:w="256"/>
        <w:gridCol w:w="109"/>
        <w:gridCol w:w="109"/>
        <w:gridCol w:w="109"/>
        <w:gridCol w:w="196"/>
        <w:gridCol w:w="556"/>
        <w:gridCol w:w="256"/>
        <w:gridCol w:w="109"/>
        <w:gridCol w:w="109"/>
        <w:gridCol w:w="109"/>
        <w:gridCol w:w="196"/>
        <w:gridCol w:w="691"/>
        <w:gridCol w:w="256"/>
        <w:gridCol w:w="109"/>
        <w:gridCol w:w="109"/>
        <w:gridCol w:w="109"/>
        <w:gridCol w:w="196"/>
        <w:gridCol w:w="691"/>
        <w:gridCol w:w="301"/>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 except %s)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SG&amp;A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Deduct:</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divestiture-related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special items and reclassifications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SG&amp;A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SG&amp;A as % of total revenues</w:t>
            </w:r>
          </w:p>
        </w:tc>
        <w:tc>
          <w:tcPr>
            <w:tcW w:w="8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tbl>
      <w:tblPr>
        <w:tblW w:w="8744" w:type="dxa"/>
        <w:jc w:val="center"/>
        <w:tblInd w:w="0" w:type="dxa"/>
        <w:tblLayout w:type="fixed"/>
        <w:tblCellMar>
          <w:top w:w="28" w:type="dxa"/>
          <w:left w:w="28" w:type="dxa"/>
          <w:bottom w:w="28" w:type="dxa"/>
          <w:right w:w="28" w:type="dxa"/>
        </w:tblCellMar>
      </w:tblPr>
      <w:tblGrid>
        <w:gridCol w:w="1353"/>
        <w:gridCol w:w="1189"/>
        <w:gridCol w:w="1192"/>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total operating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 (Deduct):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and other contingencies,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R&amp;D adjustments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SG&amp;A adjustments </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goodwill adjustments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total operating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Adjusted earnings from operations </w:t>
            </w:r>
            <w:r>
              <w:rPr>
                <w:rFonts w:ascii="Arial;sans-serif" w:hAnsi="Arial;sans-serif"/>
                <w:b w:val="false"/>
                <w:color w:val="000000"/>
                <w:sz w:val="10"/>
              </w:rPr>
              <w:t>(b)</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2,051.1 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1,804.6 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19" w:type="dxa"/>
        <w:jc w:val="center"/>
        <w:tblInd w:w="0" w:type="dxa"/>
        <w:tblLayout w:type="fixed"/>
        <w:tblCellMar>
          <w:top w:w="28" w:type="dxa"/>
          <w:left w:w="28" w:type="dxa"/>
          <w:bottom w:w="28" w:type="dxa"/>
          <w:right w:w="28" w:type="dxa"/>
        </w:tblCellMar>
      </w:tblPr>
      <w:tblGrid>
        <w:gridCol w:w="1577"/>
        <w:gridCol w:w="1384"/>
        <w:gridCol w:w="1388"/>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 (Deduct):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of contingent consideration liability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premiums and discounts on long-term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special items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interest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248" w:type="dxa"/>
        <w:jc w:val="center"/>
        <w:tblInd w:w="0" w:type="dxa"/>
        <w:tblLayout w:type="fixed"/>
        <w:tblCellMar>
          <w:top w:w="28" w:type="dxa"/>
          <w:left w:w="28" w:type="dxa"/>
          <w:bottom w:w="28" w:type="dxa"/>
          <w:right w:w="28" w:type="dxa"/>
        </w:tblCellMar>
      </w:tblPr>
      <w:tblGrid>
        <w:gridCol w:w="1664"/>
        <w:gridCol w:w="1461"/>
        <w:gridCol w:w="1465"/>
        <w:gridCol w:w="196"/>
        <w:gridCol w:w="541"/>
        <w:gridCol w:w="109"/>
        <w:gridCol w:w="109"/>
        <w:gridCol w:w="109"/>
        <w:gridCol w:w="109"/>
        <w:gridCol w:w="196"/>
        <w:gridCol w:w="556"/>
        <w:gridCol w:w="109"/>
        <w:gridCol w:w="109"/>
        <w:gridCol w:w="109"/>
        <w:gridCol w:w="109"/>
        <w:gridCol w:w="196"/>
        <w:gridCol w:w="541"/>
        <w:gridCol w:w="109"/>
        <w:gridCol w:w="109"/>
        <w:gridCol w:w="109"/>
        <w:gridCol w:w="109"/>
        <w:gridCol w:w="196"/>
        <w:gridCol w:w="556"/>
        <w:gridCol w:w="109"/>
        <w:gridCol w:w="109"/>
        <w:gridCol w:w="154"/>
      </w:tblGrid>
      <w:tr>
        <w:trPr/>
        <w:tc>
          <w:tcPr>
            <w:tcW w:w="16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other (income) expense,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 (Deduct):</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adjustments on non-marketable equity investments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adjustments on marketable equity investments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divestitures of businesses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items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other income,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68" w:type="dxa"/>
        <w:jc w:val="left"/>
        <w:tblInd w:w="0" w:type="dxa"/>
        <w:tblLayout w:type="fixed"/>
        <w:tblCellMar>
          <w:top w:w="28" w:type="dxa"/>
          <w:left w:w="28" w:type="dxa"/>
          <w:bottom w:w="28" w:type="dxa"/>
          <w:right w:w="28" w:type="dxa"/>
        </w:tblCellMar>
      </w:tblPr>
      <w:tblGrid>
        <w:gridCol w:w="1227"/>
        <w:gridCol w:w="1077"/>
        <w:gridCol w:w="1086"/>
        <w:gridCol w:w="196"/>
        <w:gridCol w:w="556"/>
        <w:gridCol w:w="256"/>
        <w:gridCol w:w="109"/>
        <w:gridCol w:w="109"/>
        <w:gridCol w:w="109"/>
        <w:gridCol w:w="196"/>
        <w:gridCol w:w="631"/>
        <w:gridCol w:w="256"/>
        <w:gridCol w:w="109"/>
        <w:gridCol w:w="109"/>
        <w:gridCol w:w="109"/>
        <w:gridCol w:w="196"/>
        <w:gridCol w:w="691"/>
        <w:gridCol w:w="256"/>
        <w:gridCol w:w="109"/>
        <w:gridCol w:w="109"/>
        <w:gridCol w:w="109"/>
        <w:gridCol w:w="196"/>
        <w:gridCol w:w="766"/>
        <w:gridCol w:w="301"/>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i/>
                <w:color w:val="000000"/>
                <w:sz w:val="16"/>
              </w:rPr>
            </w:pPr>
            <w:r>
              <w:rPr>
                <w:rFonts w:ascii="Arial;sans-serif" w:hAnsi="Arial;sans-serif"/>
                <w:b/>
                <w:i/>
                <w:color w:val="000000"/>
                <w:sz w:val="16"/>
              </w:rPr>
              <w:t>(In millions, except %s)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(3,314.1)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pre-tax non-GAAP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earnings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income tax provision (benefit)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tax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income tax provision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effective tax rate</w:t>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0" w:after="60"/>
        <w:ind w:left="0" w:right="0" w:hanging="360"/>
        <w:jc w:val="both"/>
        <w:rPr/>
      </w:pPr>
      <w:r>
        <w:rPr>
          <w:rFonts w:ascii="Arial;sans-serif" w:hAnsi="Arial;sans-serif"/>
          <w:b w:val="false"/>
          <w:color w:val="000000"/>
          <w:sz w:val="10"/>
        </w:rPr>
        <w:t>(a)</w:t>
      </w:r>
      <w:r>
        <w:rPr>
          <w:rFonts w:ascii="Arial;sans-serif" w:hAnsi="Arial;sans-serif"/>
          <w:b w:val="false"/>
          <w:color w:val="000000"/>
          <w:sz w:val="16"/>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pStyle w:val="TextBody"/>
        <w:bidi w:val="0"/>
        <w:spacing w:lineRule="auto" w:line="288" w:before="0" w:after="60"/>
        <w:ind w:left="0" w:right="0" w:hanging="360"/>
        <w:jc w:val="both"/>
        <w:rPr/>
      </w:pPr>
      <w:r>
        <w:rPr>
          <w:rFonts w:ascii="Arial;sans-serif" w:hAnsi="Arial;sans-serif"/>
          <w:b w:val="false"/>
          <w:color w:val="000000"/>
          <w:sz w:val="10"/>
        </w:rPr>
        <w:t>(b)</w:t>
      </w:r>
      <w:r>
        <w:rPr>
          <w:rFonts w:ascii="Arial;sans-serif" w:hAnsi="Arial;sans-serif"/>
          <w:b w:val="false"/>
          <w:color w:val="000000"/>
          <w:sz w:val="16"/>
        </w:rPr>
        <w:t xml:space="preserve">U.S. GAAP earnings from operations is calculated as U.S. GAAP gross profit less U.S. GAAP total operating expenses. Adjusted earnings from operations is calculated as adjusted gross profit less adjusted total operating expenses.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68" w:before="0" w:after="120"/>
        <w:jc w:val="left"/>
        <w:rPr>
          <w:rFonts w:ascii="Arial;sans-serif" w:hAnsi="Arial;sans-serif"/>
          <w:b/>
          <w:color w:val="000000"/>
          <w:sz w:val="20"/>
        </w:rPr>
      </w:pPr>
      <w:r>
        <w:rPr>
          <w:rFonts w:ascii="Arial;sans-serif" w:hAnsi="Arial;sans-serif"/>
          <w:b/>
          <w:color w:val="000000"/>
          <w:sz w:val="20"/>
        </w:rPr>
        <w:t>Reconciliation of Estimated 2026 U.S. GAAP Net Cash Provided by Operating Activities to Free Cash Flow as of August 6, 2026</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reconciliation of the estimated 2026 U.S. GAAP Net Cash provided by Operating Activities to Free Cash Flow is presented below:</w:t>
      </w:r>
    </w:p>
    <w:tbl>
      <w:tblPr>
        <w:tblW w:w="7979" w:type="dxa"/>
        <w:jc w:val="left"/>
        <w:tblInd w:w="0" w:type="dxa"/>
        <w:tblLayout w:type="fixed"/>
        <w:tblCellMar>
          <w:top w:w="28" w:type="dxa"/>
          <w:left w:w="28" w:type="dxa"/>
          <w:bottom w:w="28" w:type="dxa"/>
          <w:right w:w="28" w:type="dxa"/>
        </w:tblCellMar>
      </w:tblPr>
      <w:tblGrid>
        <w:gridCol w:w="2371"/>
        <w:gridCol w:w="2081"/>
        <w:gridCol w:w="2087"/>
        <w:gridCol w:w="422"/>
        <w:gridCol w:w="422"/>
        <w:gridCol w:w="596"/>
      </w:tblGrid>
      <w:tr>
        <w:trPr/>
        <w:tc>
          <w:tcPr>
            <w:tcW w:w="237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Estimated U.S. GAAP Net Cash provided by Operating Activities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$1,900 - $2,100</w:t>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$(350) - $(450)</w:t>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Free Cash Flow </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$1,450 - $1,750</w:t>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 Estimated Transaction-related and Restructuring-related Costs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~$600</w:t>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Free Cash Flow Excluding Transaction-related and Restructuring-related Costs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$2,050 - $2,350</w:t>
            </w:r>
          </w:p>
        </w:tc>
      </w:tr>
    </w:tbl>
    <w:p>
      <w:pPr>
        <w:pStyle w:val="TextBody"/>
        <w:bidi w:val="0"/>
        <w:spacing w:before="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Reconciliation of Estimated 2026 U.S. GAAP Net Cash Provided by Operating Activities to Free Cash Flow as of May 7, 2026 </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reconciliation of the estimated 2026 U.S. GAAP Net Cash provided by Operating Activities to Free Cash Flow is presented below:</w:t>
      </w:r>
    </w:p>
    <w:tbl>
      <w:tblPr>
        <w:tblW w:w="7979" w:type="dxa"/>
        <w:jc w:val="left"/>
        <w:tblInd w:w="0" w:type="dxa"/>
        <w:tblLayout w:type="fixed"/>
        <w:tblCellMar>
          <w:top w:w="28" w:type="dxa"/>
          <w:left w:w="28" w:type="dxa"/>
          <w:bottom w:w="28" w:type="dxa"/>
          <w:right w:w="28" w:type="dxa"/>
        </w:tblCellMar>
      </w:tblPr>
      <w:tblGrid>
        <w:gridCol w:w="2369"/>
        <w:gridCol w:w="2082"/>
        <w:gridCol w:w="2088"/>
        <w:gridCol w:w="422"/>
        <w:gridCol w:w="422"/>
        <w:gridCol w:w="596"/>
      </w:tblGrid>
      <w:tr>
        <w:trPr/>
        <w:tc>
          <w:tcPr>
            <w:tcW w:w="236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Estimated U.S. GAAP Net Cash provided by Operating Activities </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$1,700 - $2,000</w:t>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$(350) - $(450)</w:t>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Free Cash Flow </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$1,250 - $1,650</w:t>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 Estimated Transaction-related and Restructuring-related Costs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~$700</w:t>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Free Cash Flow Excluding Transaction-related and Restructuring-related Costs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$1,950 - $2,350</w:t>
            </w:r>
          </w:p>
        </w:tc>
      </w:tr>
    </w:tbl>
    <w:p>
      <w:pPr>
        <w:pStyle w:val="TextBody"/>
        <w:bidi w:val="0"/>
        <w:spacing w:before="0" w:after="120"/>
        <w:jc w:val="left"/>
        <w:rPr/>
      </w:pPr>
      <w:r>
        <w:rPr/>
      </w:r>
    </w:p>
    <w:p>
      <w:pPr>
        <w:pStyle w:val="TextBody"/>
        <w:bidi w:val="0"/>
        <w:spacing w:before="0" w:after="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Gross Leverage Ratio</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Gross Leverage Ratio is the ratio of Viatris’ total debt at notional amounts at June 30, 2026 to the sum of Viatris’ adjusted EBITDA for the quarters ended September 30, 2025, December 31, 2025, March 31, 2026 and June 30, 2026.</w:t>
      </w:r>
    </w:p>
    <w:tbl>
      <w:tblPr>
        <w:tblW w:w="10205" w:type="dxa"/>
        <w:jc w:val="left"/>
        <w:tblInd w:w="0" w:type="dxa"/>
        <w:tblLayout w:type="fixed"/>
        <w:tblCellMar>
          <w:top w:w="28" w:type="dxa"/>
          <w:left w:w="28" w:type="dxa"/>
          <w:bottom w:w="28" w:type="dxa"/>
          <w:right w:w="28" w:type="dxa"/>
        </w:tblCellMar>
      </w:tblPr>
      <w:tblGrid>
        <w:gridCol w:w="967"/>
        <w:gridCol w:w="729"/>
        <w:gridCol w:w="735"/>
        <w:gridCol w:w="256"/>
        <w:gridCol w:w="930"/>
        <w:gridCol w:w="132"/>
        <w:gridCol w:w="109"/>
        <w:gridCol w:w="109"/>
        <w:gridCol w:w="109"/>
        <w:gridCol w:w="251"/>
        <w:gridCol w:w="912"/>
        <w:gridCol w:w="129"/>
        <w:gridCol w:w="109"/>
        <w:gridCol w:w="109"/>
        <w:gridCol w:w="109"/>
        <w:gridCol w:w="225"/>
        <w:gridCol w:w="818"/>
        <w:gridCol w:w="116"/>
        <w:gridCol w:w="109"/>
        <w:gridCol w:w="109"/>
        <w:gridCol w:w="109"/>
        <w:gridCol w:w="217"/>
        <w:gridCol w:w="791"/>
        <w:gridCol w:w="112"/>
        <w:gridCol w:w="109"/>
        <w:gridCol w:w="109"/>
        <w:gridCol w:w="109"/>
        <w:gridCol w:w="250"/>
        <w:gridCol w:w="1033"/>
        <w:gridCol w:w="294"/>
      </w:tblGrid>
      <w:tr>
        <w:trPr/>
        <w:tc>
          <w:tcPr>
            <w:tcW w:w="96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w:t>
            </w:r>
          </w:p>
        </w:tc>
      </w:tr>
      <w:tr>
        <w:trPr/>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 except ratio)</w:t>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4,395.5 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debt balances: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including current portion</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13,348.6 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 and other current obligations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13,348.6 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 (deduct):</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on various debt issuances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(423.7)</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fees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at notional amounts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12,948.0 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debt to adjusted EBITDA</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x</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Long-term Gross Leverage Target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stated forward-looking non-GAAP financial measure of long-term gross leverage target range of 2.8x – 3.2x, is based on the ratio of (i) targeted notional gross debt and (ii) targeted Adjusted EBITDA. However, the Company has not quantified future amounts to develop this target but has stated its goal to manage notional gross debt and Adjusted EBITDA over time in order to generally maintain or reach the target. This target does not reflect Company guidance.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Reconciliation of U.S. GAAP Net (Loss) Earnings to EBITDA and Adjusted EBITDA – Last Twelve Months</w:t>
      </w:r>
    </w:p>
    <w:tbl>
      <w:tblPr>
        <w:tblW w:w="10205" w:type="dxa"/>
        <w:jc w:val="left"/>
        <w:tblInd w:w="0" w:type="dxa"/>
        <w:tblLayout w:type="fixed"/>
        <w:tblCellMar>
          <w:top w:w="28" w:type="dxa"/>
          <w:left w:w="28" w:type="dxa"/>
          <w:bottom w:w="28" w:type="dxa"/>
          <w:right w:w="28" w:type="dxa"/>
        </w:tblCellMar>
      </w:tblPr>
      <w:tblGrid>
        <w:gridCol w:w="1752"/>
        <w:gridCol w:w="1171"/>
        <w:gridCol w:w="1175"/>
        <w:gridCol w:w="271"/>
        <w:gridCol w:w="986"/>
        <w:gridCol w:w="140"/>
        <w:gridCol w:w="109"/>
        <w:gridCol w:w="109"/>
        <w:gridCol w:w="109"/>
        <w:gridCol w:w="265"/>
        <w:gridCol w:w="962"/>
        <w:gridCol w:w="136"/>
        <w:gridCol w:w="109"/>
        <w:gridCol w:w="109"/>
        <w:gridCol w:w="109"/>
        <w:gridCol w:w="230"/>
        <w:gridCol w:w="835"/>
        <w:gridCol w:w="118"/>
        <w:gridCol w:w="109"/>
        <w:gridCol w:w="109"/>
        <w:gridCol w:w="109"/>
        <w:gridCol w:w="219"/>
        <w:gridCol w:w="798"/>
        <w:gridCol w:w="166"/>
      </w:tblGrid>
      <w:tr>
        <w:trPr/>
        <w:tc>
          <w:tcPr>
            <w:tcW w:w="175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4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GAAP net (loss) earnings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 (deduct) adjustments:</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expense </w:t>
            </w:r>
            <w:r>
              <w:rPr>
                <w:rFonts w:ascii="Arial;sans-serif" w:hAnsi="Arial;sans-serif"/>
                <w:b w:val="false"/>
                <w:color w:val="000000"/>
                <w:sz w:val="12"/>
              </w:rPr>
              <w:t>(a)</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Depreciation and amortization </w:t>
            </w:r>
            <w:r>
              <w:rPr>
                <w:rFonts w:ascii="Arial;sans-serif" w:hAnsi="Arial;sans-serif"/>
                <w:b w:val="false"/>
                <w:color w:val="000000"/>
                <w:sz w:val="12"/>
              </w:rPr>
              <w:t>(b)</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 (deduct) adjustments:</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Litigation settlements and other contingencies, net</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divestitures of businesses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acquisition and divestiture-related and other special items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8404</Words>
  <Characters>47216</Characters>
  <CharactersWithSpaces>54649</CharactersWithSpaces>
  <Paragraphs>1665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