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250190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November 7, 2022, Viatris Inc. (“Viatris”) issued a press release announcing two acquisitions and its plan to provide a strategic update on its February 2022 investor event in a conference call and live webcast on that date. A copy of the press release is attached hereto as Exhibit 99.1 and is incorporated herein by reference.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Viatris’ Executive Chairman provided a “State of the Union” message during the conference call and live webcast providing, among other things, a strategic update on its February 2022 investor event. The script of the Executive Chairman’s “State of the Union” message is attached hereto as Exhibit 99.2 and is incorporated herein by reference.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Exhibits 99.1 and 99.2)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ectPr>
          <w:pgSz w:w="11900" w:h="16838" w:orient="portrait"/>
          <w:cols w:equalWidth="0" w:num="1">
            <w:col w:w="10960"/>
          </w:cols>
          <w:pgMar w:left="440" w:top="293" w:right="49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1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Viatris press release announcing two acquisitions and its plan to provide a strategic update on its February 2022 investor event,</w:t>
            </w:r>
          </w:p>
        </w:tc>
      </w:tr>
      <w:tr>
        <w:trPr>
          <w:trHeight w:val="196"/>
        </w:trPr>
        <w:tc>
          <w:tcPr>
            <w:tcW w:w="1460" w:type="dxa"/>
            <w:vAlign w:val="bottom"/>
          </w:tcPr>
          <w:p>
            <w:pPr>
              <w:spacing w:after="0"/>
              <w:rPr>
                <w:sz w:val="17"/>
                <w:szCs w:val="17"/>
                <w:color w:val="auto"/>
              </w:rPr>
            </w:pPr>
          </w:p>
        </w:tc>
        <w:tc>
          <w:tcPr>
            <w:tcW w:w="54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dated November 7, 2022 in a conference call and live webcast on that date.</w:t>
            </w:r>
          </w:p>
        </w:tc>
        <w:tc>
          <w:tcPr>
            <w:tcW w:w="3740" w:type="dxa"/>
            <w:vAlign w:val="bottom"/>
            <w:gridSpan w:val="3"/>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89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The script of Viatris’ Executive Chairman’s “State of the Union” message from the conference call and live webcast held on</w:t>
            </w:r>
          </w:p>
        </w:tc>
        <w:tc>
          <w:tcPr>
            <w:tcW w:w="20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60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November 7, 2022 providing a strategic update on its February 2022 investor event.</w:t>
            </w:r>
          </w:p>
        </w:tc>
        <w:tc>
          <w:tcPr>
            <w:tcW w:w="3100" w:type="dxa"/>
            <w:vAlign w:val="bottom"/>
            <w:gridSpan w:val="2"/>
          </w:tcPr>
          <w:p>
            <w:pPr>
              <w:spacing w:after="0"/>
              <w:rPr>
                <w:sz w:val="17"/>
                <w:szCs w:val="17"/>
                <w:color w:val="auto"/>
              </w:rPr>
            </w:pPr>
          </w:p>
        </w:tc>
      </w:tr>
      <w:tr>
        <w:trPr>
          <w:trHeight w:val="34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ectPr>
          <w:pgSz w:w="11900" w:h="16838" w:orient="portrait"/>
          <w:cols w:equalWidth="0" w:num="1">
            <w:col w:w="10604"/>
          </w:cols>
          <w:pgMar w:left="436" w:top="293" w:right="85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Sanjeev Narula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4592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Viatris Announces Two Acquisitions to Create What it Expects to be a Leading Ophthalmology Franchise; Plans to Provide Strategic Update on its February 2022 Investor Event</w:t>
      </w:r>
    </w:p>
    <w:p>
      <w:pPr>
        <w:spacing w:after="0" w:line="62"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Expects Biocon Biologics Transaction to Close Shortly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Intends to Begin Executing on Stock Repurchase Program</w:t>
      </w:r>
    </w:p>
    <w:p>
      <w:pPr>
        <w:spacing w:after="0" w:line="130" w:lineRule="exact"/>
        <w:rPr>
          <w:rFonts w:ascii="Times New Roman" w:cs="Times New Roman" w:eastAsia="Times New Roman" w:hAnsi="Times New Roman"/>
          <w:sz w:val="18"/>
          <w:szCs w:val="18"/>
          <w:color w:val="auto"/>
        </w:rPr>
      </w:pPr>
    </w:p>
    <w:p>
      <w:pPr>
        <w:ind w:left="960" w:right="2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Enters Agreements to Acquire Oyster Point Pharma and Famy Life Sciences for Aggregate of $700-$750 Million in Cash; Expects to Close in Q1 2023</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Expects Combination of Acquisitions and Share Repurchases to be Accretive to Adjusted EPS in 2023 on a Standalone Basis</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Anticipates Acquisitions Will Have the Potential to Add at Least $1 Billion in Net Sales and at Least $500 Million in Adjusted EBITDA by 2028</w:t>
      </w:r>
    </w:p>
    <w:p>
      <w:pPr>
        <w:spacing w:after="0" w:line="63" w:lineRule="exact"/>
        <w:rPr>
          <w:rFonts w:ascii="Times New Roman" w:cs="Times New Roman" w:eastAsia="Times New Roman" w:hAnsi="Times New Roman"/>
          <w:sz w:val="18"/>
          <w:szCs w:val="18"/>
          <w:color w:val="auto"/>
        </w:rPr>
      </w:pPr>
    </w:p>
    <w:p>
      <w:pPr>
        <w:ind w:left="960" w:right="18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Reaffirms Total Pre-Tax Proceeds Expected from Biocon Transaction and Certain Non-Core Asset Divestitures to be up to Approximately $9 Billion</w:t>
      </w:r>
    </w:p>
    <w:p>
      <w:pPr>
        <w:spacing w:after="0" w:line="63" w:lineRule="exact"/>
        <w:rPr>
          <w:rFonts w:ascii="Times New Roman" w:cs="Times New Roman" w:eastAsia="Times New Roman" w:hAnsi="Times New Roman"/>
          <w:sz w:val="18"/>
          <w:szCs w:val="18"/>
          <w:color w:val="auto"/>
        </w:rPr>
      </w:pPr>
    </w:p>
    <w:p>
      <w:pPr>
        <w:ind w:left="960" w:right="20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Provides Financial Targets for 2024 to 2028, Including Top-Line Total Revenues CAGR of ~3%, Adjusted EBITDA CAGR of ~4-5%, and Adjusted EPS CAGR of ~Mid-Teens</w:t>
      </w:r>
    </w:p>
    <w:p>
      <w:pPr>
        <w:spacing w:after="0" w:line="63" w:lineRule="exact"/>
        <w:rPr>
          <w:rFonts w:ascii="Times New Roman" w:cs="Times New Roman" w:eastAsia="Times New Roman" w:hAnsi="Times New Roman"/>
          <w:sz w:val="18"/>
          <w:szCs w:val="18"/>
          <w:color w:val="auto"/>
        </w:rPr>
      </w:pPr>
    </w:p>
    <w:p>
      <w:pPr>
        <w:ind w:left="960" w:right="200" w:hanging="424"/>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Reiterates Commitment to Maintaining its Investment Grade Rating; Continues to Expect to Fully Meet Phase 1 Financial Commitments by End of 2023, Including Reducing its Gross Leverage Ratio to Approximately 3x</w:t>
      </w:r>
    </w:p>
    <w:p>
      <w:pPr>
        <w:spacing w:after="0" w:line="156"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PITTSBURGH – November 7, 2022 – </w:t>
      </w: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VTRS), a global healthcare company, today announced that it intends to create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ophthalmology franchise by acquiring Oyster Point Pharma and Famy Life Sciences and that it will provide a strategic update on its February 2022 Investor Event in a conference call and live webcast today at 8:30 a.m. ET.</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terms of a definitive agreement, Viatris has agreed to acquire Oyster Point for $11 per share in cash upfront through a tender offer. In addition, each Oyster Point stockholder will receive one non-tradeable contingent value right, representing up to an additional $2 per share contingent upon Oyster Point’s achieving certain metrics based on full year 2022 performance.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Viatris is targeting to close the acquisition of Oyster Point in Q1 2023, subject to customary closing conditions, including receipt of regulatory approval, and tender acceptance of more than 50% of Oyster Point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Concurrently, the Company also expects to acquire Famy Life Sciences, which has a complementary ophthalmology portfolio.</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anticipates these acquisitions have the potential to add at least $1 billion in sales by 2028. As a result of the expected strong top-line growth, the Company anticipates it will also add at least $500 million in adjusted EBITDA by 2028.</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Together, the two acquisitions have an aggregate purchase price of approximately $700-$750 million which Viatris expects to fund with cash on hand.</w:t>
      </w:r>
    </w:p>
    <w:p>
      <w:pPr>
        <w:spacing w:after="0" w:line="22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Ophthalmology is one of the key therapeutic areas of focus that the Company identified in February. With the combination of Viatris’ global commercial footprint, R&amp;D and regulatory capabilities and supply chain, along with Oyster Point’s deep knowledge of the ophthalmology space from a clinical, medical, regulatory and commercial perspective—including a commercial asset, Tyrvaya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for the treatment of dry eye disease— and Famy Life Science’s Phase III-ready pipeline, the Company believes it has the foundation to create a leading global ophthalmology franchise, accelerating efforts to address the unmet needs of patients with ophthalmic disease and the eye care professionals who treat them. The ophthalmology franchise will function as a separate division within the company and will be led by current Oyster Point CEO, Jeff Nau Ph.D. upon the closing of the transaction.</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Viatris Executive Chairman Robert J. Coury said: “Two years into our journey as Viatris, I am extremely pleased with the strength and execution of our business. After seven straight quarters of delivering strong results, we are well on our way to completing all Phase 1 commitments and can now turn our focus to setting up for Phase 2 — 2024 and beyond. We are pleased to announce this morning our agreements to acquire two high quality businesses to form a new ophthalmology franchise within Viatris. Oyster Point, under the leadership of Dr. Jeff Nau, has a well-respected reputation within the ophthalmology space, and we look forward to having Jeff join the Viatris management team as leader of our ophthalmology franchise following the closing of the transactions. In addition to discussing these acquisitions, I look forward to sharing more updates to our February 2022 Investor Event during our conference call at 8:30 a.m.”</w:t>
      </w:r>
    </w:p>
    <w:p>
      <w:pPr>
        <w:spacing w:after="0" w:line="189"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Viatris CEO Michael Goettler said: “We’ve been talking about the potential power of our Global Healthcare Gateway since we launched Viatris, that is why I am especially excited that the two ophthalmology acquisitions we announced today came about directly as the result of the Global Healthcare Gateway. These acquisitions bring us an innovative growth asset, Tyrvaya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five additional Phase III or Phase III-ready programs that give us a significant head-start in creating a leading ophthalmology franchise.”</w:t>
      </w:r>
    </w:p>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Oyster Point CEO Jeff Nau</w:t>
      </w:r>
      <w:r>
        <w:rPr>
          <w:rFonts w:ascii="Times New Roman" w:cs="Times New Roman" w:eastAsia="Times New Roman" w:hAnsi="Times New Roman"/>
          <w:sz w:val="18"/>
          <w:szCs w:val="18"/>
          <w:u w:val="single" w:color="auto"/>
          <w:color w:val="auto"/>
        </w:rPr>
        <w:t>, Ph.D.</w:t>
      </w:r>
      <w:r>
        <w:rPr>
          <w:rFonts w:ascii="Times New Roman" w:cs="Times New Roman" w:eastAsia="Times New Roman" w:hAnsi="Times New Roman"/>
          <w:sz w:val="18"/>
          <w:szCs w:val="18"/>
          <w:color w:val="auto"/>
        </w:rPr>
        <w:t xml:space="preserve"> said: “When we started Oyster Point Pharma in 2017, we embarked on a journey to build a leading company within the eye care space. Building on our success in the U.S. market, we are excited to join Viatris to now bring the strengths of Oyster Point to help build a leading global ophthalmology business. We believe that together we will meaningfully shape the future of eye care to address the unmet needs of patients with ophthalmic disease and the eye care professionals who take care of them.”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Viatris will host a conference call and live webcast today at 8:30 a.m. ET with Executive Chairman Robert J. Coury, Chief Executive Officer Michael Goettler, President Rajiv Malik, Chief Financial Officer Sanjeev Narula and Oyster Point CEO Jeffrey Nau, Ph.D.</w:t>
      </w:r>
    </w:p>
    <w:p>
      <w:pPr>
        <w:spacing w:after="0" w:line="15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Investors and the general public can listen to the live webcast at </w:t>
      </w:r>
      <w:r>
        <w:rPr>
          <w:rFonts w:ascii="Times New Roman" w:cs="Times New Roman" w:eastAsia="Times New Roman" w:hAnsi="Times New Roman"/>
          <w:sz w:val="18"/>
          <w:szCs w:val="18"/>
          <w:b w:val="1"/>
          <w:bCs w:val="1"/>
          <w:u w:val="single" w:color="auto"/>
          <w:color w:val="auto"/>
        </w:rPr>
        <w:t>investor.viatris.com</w:t>
      </w:r>
      <w:r>
        <w:rPr>
          <w:rFonts w:ascii="Times New Roman" w:cs="Times New Roman" w:eastAsia="Times New Roman" w:hAnsi="Times New Roman"/>
          <w:sz w:val="18"/>
          <w:szCs w:val="18"/>
          <w:color w:val="auto"/>
        </w:rPr>
        <w:t xml:space="preserve"> or by calling 800.225.9448 or 203.518.9708 for international callers (Conference ID: VTRSQ322). The “Viatris Q3 Earnings Presentation”, which will be referenced during the call, can also be found at </w:t>
      </w:r>
      <w:r>
        <w:rPr>
          <w:rFonts w:ascii="Times New Roman" w:cs="Times New Roman" w:eastAsia="Times New Roman" w:hAnsi="Times New Roman"/>
          <w:sz w:val="18"/>
          <w:szCs w:val="18"/>
          <w:b w:val="1"/>
          <w:bCs w:val="1"/>
          <w:u w:val="single" w:color="auto"/>
          <w:color w:val="auto"/>
        </w:rPr>
        <w:t>investor.viatris.com</w:t>
      </w:r>
      <w:r>
        <w:rPr>
          <w:rFonts w:ascii="Times New Roman" w:cs="Times New Roman" w:eastAsia="Times New Roman" w:hAnsi="Times New Roman"/>
          <w:sz w:val="18"/>
          <w:szCs w:val="18"/>
          <w:color w:val="auto"/>
        </w:rPr>
        <w:t>. An archived replay of the webcast will be available following the live event and can be accessed at the same location for 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Advisors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Citigroup Global Markets Inc. is providing strategic advice and acting as financial advisor to the Company in relation to the planned acquisition of Oyster Point Pharma, Inc. Outside legal counsel is being provided by Cravath, Swaine &amp; Moore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Viatris</w:t>
      </w:r>
    </w:p>
    <w:p>
      <w:pPr>
        <w:spacing w:after="0" w:line="12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u w:val="single" w:color="auto"/>
          <w:color w:val="auto"/>
        </w:rPr>
        <w:t>Viatris Inc.</w:t>
      </w:r>
      <w:r>
        <w:rPr>
          <w:rFonts w:ascii="Times New Roman" w:cs="Times New Roman" w:eastAsia="Times New Roman" w:hAnsi="Times New Roman"/>
          <w:sz w:val="18"/>
          <w:szCs w:val="18"/>
          <w:color w:val="auto"/>
        </w:rPr>
        <w:t xml:space="preserve"> (NASDAQ: VTRS) is a global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 portfolio of biosimilars and a variety of over-the-counter consumer products. With approximately 37,000 colleagues globally, Viatris is headquartered in the U.S., with global centers in Pittsburgh, Shanghai and Hyderabad, India. Learn more at viatris.com and investor.viatris.com, and connect with us on Twitter at @ViatrisInc, LinkedIn and YouTube.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Private Securities Litigation Reform Act of 1995. Such forward-looking statements may include, without limitation, 2022 financial guidance; our outlooks and expectations with respect to the end of our Phase I strategy in 2023 and our Phase II strategy in 2024-2028 and their related goals, targets, forecasts, objectives and commitments (together, the “Phase I and II Outlooks”); expects Biocon Biologics transaction to close shortly; intends to begin executing on stock repurchase program; enters agreements to acquire Oyster Point Pharma and Famy Life Sciences for aggregate of $700-$750 million in cash; expects to close in Q1 2023; expects combination of acquisitions and share repurchases to be accretive to adjusted EPS in 2023 on a standalone basis; anticipates acquisitions will have the potential to add at least $1 billion in net sales and at least $500 million in adjusted EBITDA by 2028; reaffirms total pre-tax proceeds expected from Biocon Transaction and certain non-core asset divestitures to be up to approximately $9 billion; provides financial targets for 2024 to 2028, including top-line total revenues CAGR of ~3%, adjusted EBITDA CAGR of ~4-5%, and adjusted EPS CAGR of ~mid-teens; reiterates commitment to maintaining its investment grade rating; continues to expect to fully meet Phase 1 financial commitments by end of 2023, including reducing its gross leverage ratio to approximately 3x; it intends to create an ophthalmology franchise by acquiring Oyster Point Pharma and Famy Life Sciences; Viatris is targeting to close the acquisition of Oyster Point in Q1 2023, subject to customary closing conditions, including receipt of regulatory approval, and tender acceptance of more than 50% of Oyster Point shares; the Company also expects to acquire Famy Life Sciences, which has a complementary ophthalmology portfolio; after seven straight quarters of delivering strong results, we are well on our way to completing all Phase 1 commitments and can now turn our focus to setting up for Phase 2—2024 and beyond; these acquisitions bring us an innovative growth asset, Tyrvaya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five additional Phase III or Phase III-ready programs that give us a significant head-start in creating a leading ophthalmology franchise; statements about the</w:t>
      </w:r>
    </w:p>
    <w:p>
      <w:pPr>
        <w:sectPr>
          <w:pgSz w:w="11900" w:h="16838" w:orient="portrait"/>
          <w:cols w:equalWidth="0" w:num="1">
            <w:col w:w="10980"/>
          </w:cols>
          <w:pgMar w:left="440" w:top="266" w:right="479" w:bottom="1440" w:gutter="0" w:footer="0" w:header="0"/>
        </w:sectPr>
      </w:pPr>
    </w:p>
    <w:bookmarkStart w:id="7" w:name="page8"/>
    <w:bookmarkEnd w:id="7"/>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proposed transaction in which Viatris will, through a wholly-owned subsidiary, acquire all of the outstanding shares of Oyster Point Pharma Inc. (“Oyster Point”) through a tender offer; statements about the transaction pursuant to which Mylan N.V. (“Mylan”) combined with Pfizer Inc.’s Upjohn business (the “Upjohn Business”) in a Reverse Morris Trust transaction (the “Combination”) and Upjohn Inc. became the parent entity of the combined Upjohn Business and Mylan business and was renamed “Viatris Inc.” (“Viatris” or the “Company”), the benefits and synergies of the Combination or our global restructuring program, the Company’s strategic initiatives, including but not limited to potential divestitures and recently announced acquisitions,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be unable to achieve expected benefits, synergies and operating efficiencies in connection with the Combination or its global restructuring program within the expected timeframe or at all; the pending Biocon Biologics Transaction and other strategic initiatives, including potential divestitures, may not achieve their intended benefits; operational or financial difficulties or losses associated with the Company’s reliance on agreements with Pfizer in connection with the Combination, including with respect to transition services;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w:t>
      </w:r>
    </w:p>
    <w:p>
      <w:pPr>
        <w:sectPr>
          <w:pgSz w:w="11900" w:h="16838" w:orient="portrait"/>
          <w:cols w:equalWidth="0" w:num="1">
            <w:col w:w="11000"/>
          </w:cols>
          <w:pgMar w:left="440" w:top="270" w:right="459" w:bottom="1440" w:gutter="0" w:footer="0" w:header="0"/>
        </w:sectPr>
      </w:pPr>
    </w:p>
    <w:bookmarkStart w:id="8" w:name="page9"/>
    <w:bookmarkEnd w:id="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Part I, Item 1A in the Company’s Annual Report on Form 10-K for the year ended December 31, 2021,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other filings with the SEC. Viatris undertakes no obligation to update any statements herein for revisions or changes after the date of this release other than as required by law.</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particular, certain statements in this release relate to the Phase I and II Outlooks, including but not limited to providing financial targets for Phase 2 (2024 to 2028), including top-line total revenues CAGR of ~3%, adjusted EBITDA CAGR of ~4-5% and adjusted EPS CAGR of ~mid-teens, expecting total pre-tax proceeds expected from the Biocon Biologics Transaction and certain non-core asset divestitures to be up to approximately $9 billion, anticipating combined assets from the two transactions announced today to have the potential to add at least $1 billion in net sales and at least</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$500 million in adjusted EBITDA by 2028, and our gross leverage ratio target. Viatris believes that the assumptions used as a basis for the Phase I and II Outlooks are reasonable based on the information available to management at this time. However, this information is not fact, and you are cautioned not to place undue reliance on any such information. While certain of these statements might use language that imply a level of certainty about the likelihood that Viatris will attain the Phase I and II Outlooks, it is possible that Viatris will not attain them in the timeframe noted or at all. The Phase I and Phase II Outlooks reflect assumptions as to certain business decisions that are subject to change. Important factors that may affect actual results and cause the Phase I and II Outlooks not to be achieved, or that may change the underlying variables and assumptions on which the Phase I and II Outlooks were based and cause the Phase I and II Outlooks to differ materially, include, but are not limited to, risks and uncertainties relating to our planned acquisitions and divestitures, including whether such transactions are completed on the expected timelines or at all, failure to achieve the anticipated benefits of any acquisitions or divestitures, failure to receive the anticipated cash proceeds of any divestitures, inability to manage base business erosion, failure to bring new products to market on the expected timeframes or at all, failure to execute stock repurchases consistent with current expectations, stock price volatility, higher than anticipated SG&amp;A, gross margins and R&amp;D spend, industry performance, interest rate volatility, foreign exchange rates, tax rates, the regulatory environment and general business and economic conditions, as well as those set forth in the second paragraph of this “Forward Looking Statements” slide. In addition, although certain of the outlooks are presented with numerical specificity, they are still forward-looking statements that involve inherent risks and uncertainties. Further, the Phase I and II Outlooks cover multiple years and such information by its nature becomes less reliable with each successive year. Accordingly, there can be no assurance that any aspect of the Phase I and II Outlooks will be realized or that actual results will not differ materially. Therefore, you should construe these statements regarding the Phase I and II Outlooks only as goals, targets and objectives rather than promises of future performance or absolute statements.</w:t>
      </w:r>
    </w:p>
    <w:p>
      <w:pPr>
        <w:sectPr>
          <w:pgSz w:w="11900" w:h="16838" w:orient="portrait"/>
          <w:cols w:equalWidth="0" w:num="1">
            <w:col w:w="11000"/>
          </w:cols>
          <w:pgMar w:left="440" w:top="270" w:right="45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Financial Measures</w:t>
      </w:r>
    </w:p>
    <w:p>
      <w:pPr>
        <w:spacing w:after="0" w:line="12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EBITDA, free cash flow, adjusted EPS and gross leverage ratio target are presented in order to supplement investors’ and other readers’ understanding and assessment of the financial performance of Viatris. Free cash flow refers to U.S. GAAP net cash provided by operating activities, less capital expenditures. Adjusted diluted earnings per share (“adjusted EPS”) refers to adjusted net earnings divided by the weighted average diluted shares outstanding for the relevant period. For the third quarter of 2022, Viatris calculated adjusted net earnings as U.S. GAAP net earnings (loss) adjusted for purchase accounting related amortization, litigation settlements and other contingencies, net, interest expense, acquisition related cost, restructuring related costs, share-based compensation expense, other special items included in cost of sales, SG&amp;A expense and other (income) expense, net, and the tax effect of the above items and other income tax related items. For the third quarter of 2022, Viatris calculated adjusted EBITDA as U.S. GAAP net earnings (loss) adjusted for income tax provision (benefit), interest expense and depreciation and amortization (to get to EBITDA) and further adjusted for share-based compensation expense, litigation settlements and other contingencies, net and restructuring, acquisition related and other special items.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release on our website at https://investor.viatris.com/financial-information/non-gaap-reconciliations, and investors and other readers should consider non-GAAP measures only as supplements to, not as substitutes for or as superior measures to, the measures of financial performance prepared in accordance with U.S. GAAP.</w:t>
      </w:r>
    </w:p>
    <w:p>
      <w:pPr>
        <w:spacing w:after="0" w:line="2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Phase II Outlook</w:t>
      </w:r>
    </w:p>
    <w:p>
      <w:pPr>
        <w:spacing w:after="0" w:line="121"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Company is not providing forward-looking information for U.S. GAAP net earnings (loss), U.S. GAAP earnings per share (“U.S. GAAP EPS”) and U.S. GAAP net cash provided by operating activities or a quantitative reconciliation of its Phase II adjusted EBITDA, adjusted EPS and free cash flow outlooks or expectations to their most directly comparable U.S. GAAP measures, U.S. GAAP net earnings (loss), U.S. GAAP EPS and U.S. GAAP net cash provided by operating activities, respectively,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relevant periods.</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Gross Leverage Target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stated forward-looking non-GAAP financial measure of long-term gross leverage target of 3.0x, with a range of 2.8x – 3.2x, is based on the ratio of</w:t>
      </w:r>
    </w:p>
    <w:p>
      <w:pPr>
        <w:spacing w:after="0" w:line="27" w:lineRule="exact"/>
        <w:rPr>
          <w:sz w:val="20"/>
          <w:szCs w:val="20"/>
          <w:color w:val="auto"/>
        </w:rPr>
      </w:pPr>
    </w:p>
    <w:p>
      <w:pPr>
        <w:ind w:left="4" w:right="120" w:hanging="4"/>
        <w:spacing w:after="0" w:line="255"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notional gross debt and (ii) targeted Adjusted EBITDA. However, the Company has not quantified future amounts to develop this target but has stated its goal to manage notional gross debt and adjusted earnings and adjusted EBITDA over time in order to generally maintain or reach the target. This target does not reflect Company guidance.</w:t>
      </w:r>
    </w:p>
    <w:p>
      <w:pPr>
        <w:sectPr>
          <w:pgSz w:w="11900" w:h="16838" w:orient="portrait"/>
          <w:cols w:equalWidth="0" w:num="1">
            <w:col w:w="11004"/>
          </w:cols>
          <w:pgMar w:left="436" w:top="266" w:right="45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tender offer for the outstanding shares of Oyster Point common stock referenced in this communication has not yet commenced. This document is for informational purposes only and it is neither an offer to purchase nor a solicitation of an offer to sell shares of Oyster Point’s common stock, nor is it a substitute for the tender offer materials that Viatris and Oyster Point will file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on Schedule TO. At the time any such tender offer is commenced, Viatris will file a Tender Offer Statement, containing an offer to purchase, a form of letter of transmittal and other related tender offer documents with the SEC, and Oyster Point will file a Solicitation/Recommendation Statement relating to such tender offer with the SEC. </w:t>
      </w:r>
      <w:r>
        <w:rPr>
          <w:rFonts w:ascii="Times New Roman" w:cs="Times New Roman" w:eastAsia="Times New Roman" w:hAnsi="Times New Roman"/>
          <w:sz w:val="18"/>
          <w:szCs w:val="18"/>
          <w:b w:val="1"/>
          <w:bCs w:val="1"/>
          <w:color w:val="auto"/>
        </w:rPr>
        <w:t>Oyster Point’s stockholders are strongly advised to read these tender offer materials carefully and in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entirety when they become available, as they may be amended from time to time, because they will contain important information about such tender offer that Oyster Point’s stockholders should consider prior to making any decisions with respect to such tender offer. </w:t>
      </w:r>
      <w:r>
        <w:rPr>
          <w:rFonts w:ascii="Times New Roman" w:cs="Times New Roman" w:eastAsia="Times New Roman" w:hAnsi="Times New Roman"/>
          <w:sz w:val="18"/>
          <w:szCs w:val="18"/>
          <w:color w:val="auto"/>
        </w:rPr>
        <w:t>Once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of Oyster Point will be able to obtain a free copy of these documents at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1980" w:type="dxa"/>
            <w:vAlign w:val="bottom"/>
          </w:tcPr>
          <w:p>
            <w:pPr>
              <w:spacing w:after="0"/>
              <w:rPr>
                <w:sz w:val="24"/>
                <w:szCs w:val="24"/>
                <w:color w:val="auto"/>
              </w:rPr>
            </w:pPr>
          </w:p>
        </w:tc>
        <w:tc>
          <w:tcPr>
            <w:tcW w:w="242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+1.724.514.1968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Bill Szablewski</w:t>
            </w:r>
          </w:p>
        </w:tc>
      </w:tr>
      <w:tr>
        <w:trPr>
          <w:trHeight w:val="194"/>
        </w:trPr>
        <w:tc>
          <w:tcPr>
            <w:tcW w:w="37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Communications@viatris.com</w:t>
            </w:r>
          </w:p>
        </w:tc>
        <w:tc>
          <w:tcPr>
            <w:tcW w:w="4220" w:type="dxa"/>
            <w:vAlign w:val="bottom"/>
            <w:gridSpan w:val="2"/>
          </w:tcPr>
          <w:p>
            <w:pPr>
              <w:ind w:left="1980"/>
              <w:spacing w:after="0" w:line="194" w:lineRule="exact"/>
              <w:rPr>
                <w:sz w:val="20"/>
                <w:szCs w:val="20"/>
                <w:color w:val="auto"/>
              </w:rPr>
            </w:pPr>
            <w:r>
              <w:rPr>
                <w:rFonts w:ascii="Times New Roman" w:cs="Times New Roman" w:eastAsia="Times New Roman" w:hAnsi="Times New Roman"/>
                <w:sz w:val="18"/>
                <w:szCs w:val="18"/>
                <w:color w:val="auto"/>
              </w:rPr>
              <w:t>+1.412.707.2866</w:t>
            </w:r>
          </w:p>
        </w:tc>
        <w:tc>
          <w:tcPr>
            <w:tcW w:w="180" w:type="dxa"/>
            <w:vAlign w:val="bottom"/>
          </w:tcPr>
          <w:p>
            <w:pPr>
              <w:spacing w:after="0"/>
              <w:rPr>
                <w:sz w:val="16"/>
                <w:szCs w:val="16"/>
                <w:color w:val="auto"/>
              </w:rPr>
            </w:pPr>
          </w:p>
        </w:tc>
      </w:tr>
      <w:tr>
        <w:trPr>
          <w:trHeight w:val="196"/>
        </w:trPr>
        <w:tc>
          <w:tcPr>
            <w:tcW w:w="20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InvestorRelations@viatris.com</w:t>
            </w:r>
          </w:p>
        </w:tc>
        <w:tc>
          <w:tcPr>
            <w:tcW w:w="180" w:type="dxa"/>
            <w:vAlign w:val="bottom"/>
          </w:tcPr>
          <w:p>
            <w:pPr>
              <w:spacing w:after="0"/>
              <w:rPr>
                <w:sz w:val="17"/>
                <w:szCs w:val="17"/>
                <w:color w:val="auto"/>
              </w:rPr>
            </w:pPr>
          </w:p>
        </w:tc>
      </w:tr>
      <w:tr>
        <w:trPr>
          <w:trHeight w:val="196"/>
        </w:trPr>
        <w:tc>
          <w:tcPr>
            <w:tcW w:w="3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Jennifer Mauer</w:t>
            </w:r>
          </w:p>
        </w:tc>
        <w:tc>
          <w:tcPr>
            <w:tcW w:w="1980" w:type="dxa"/>
            <w:vAlign w:val="bottom"/>
          </w:tcPr>
          <w:p>
            <w:pPr>
              <w:spacing w:after="0"/>
              <w:rPr>
                <w:sz w:val="17"/>
                <w:szCs w:val="17"/>
                <w:color w:val="auto"/>
              </w:rPr>
            </w:pPr>
          </w:p>
        </w:tc>
        <w:tc>
          <w:tcPr>
            <w:tcW w:w="24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William.Szablewski@viatris.com</w:t>
            </w:r>
          </w:p>
        </w:tc>
      </w:tr>
      <w:tr>
        <w:trPr>
          <w:trHeight w:val="196"/>
        </w:trPr>
        <w:tc>
          <w:tcPr>
            <w:tcW w:w="20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Jennifer.Mauer@viatris.com</w:t>
            </w:r>
          </w:p>
        </w:tc>
        <w:tc>
          <w:tcPr>
            <w:tcW w:w="1700" w:type="dxa"/>
            <w:vAlign w:val="bottom"/>
            <w:gridSpan w:val="2"/>
          </w:tcPr>
          <w:p>
            <w:pPr>
              <w:spacing w:after="0"/>
              <w:rPr>
                <w:sz w:val="17"/>
                <w:szCs w:val="17"/>
                <w:color w:val="auto"/>
              </w:rPr>
            </w:pPr>
          </w:p>
        </w:tc>
        <w:tc>
          <w:tcPr>
            <w:tcW w:w="19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34"/>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Matt Klein</w:t>
            </w:r>
          </w:p>
        </w:tc>
        <w:tc>
          <w:tcPr>
            <w:tcW w:w="1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376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Matthew.Klein@viatris.com</w:t>
            </w:r>
          </w:p>
        </w:tc>
        <w:tc>
          <w:tcPr>
            <w:tcW w:w="19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53"/>
        </w:trPr>
        <w:tc>
          <w:tcPr>
            <w:tcW w:w="2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11" w:name="page12"/>
    <w:bookmarkEnd w:id="11"/>
    <w:p>
      <w:pPr>
        <w:ind w:left="10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Script of Viatris’ Executive Chairman’s “State of the Union” message from the conference call and live webcast held at 8:30am November 7, 2022, providing a strategic update on Viatris’ February 2022 investor event.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jc w:val="both"/>
        <w:ind w:right="360"/>
        <w:spacing w:after="0" w:line="289" w:lineRule="auto"/>
        <w:rPr>
          <w:sz w:val="20"/>
          <w:szCs w:val="20"/>
          <w:color w:val="auto"/>
        </w:rPr>
      </w:pPr>
      <w:r>
        <w:rPr>
          <w:rFonts w:ascii="Times New Roman" w:cs="Times New Roman" w:eastAsia="Times New Roman" w:hAnsi="Times New Roman"/>
          <w:sz w:val="17"/>
          <w:szCs w:val="17"/>
          <w:color w:val="auto"/>
        </w:rPr>
        <w:t>Good morning – almost two years ago today, we brought together two great complementary organizations to form a new company, Viatris, with the purpose of creating a sustainable global healthcare leader. Under the leadership of our board of directors along with management, we laid out a very clear and deliberate strategy to build a highly diversified company with multiple capabilities spanning numerous geographies and therapeutic areas.</w:t>
      </w:r>
    </w:p>
    <w:p>
      <w:pPr>
        <w:spacing w:after="0" w:line="1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that time, we established a two-phased roadmap that detailed and emphasized our strategic priorities to deliver value to our shareholders. Phase 1 has always been designed as our setup phase for Viatris – it is about building a rock-solid foundation – setting us up for Phase 2, which is expected to be a period of renewed growth and leadership in our sector.</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Up until now, we have been laser-focused on executing on Phase 1 – consisting of the years 2021 through 2023. In doing so, our priorities have been clear: integrate the two organizations, generate $1 billion in cost synergies, de-leverage the balance sheet, pay down at least $6.5 billion in debt, reduce our gross leverage to our long-term target ratio of 3x, and maintain our investment grade credit rating, all while returning capital to shareholders. Today, here’s where we stand:</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we continue to execute on our integration plans and are well on track to capturing at least $1 billion of cost synergies by the end of Phase 1.</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Second, we continue to exercise our financial discipline and intend to keep our investment grade credit rating.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2" w:name="page13"/>
    <w:bookmarkEnd w:id="1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we paid down $4.2 billion in debt since the beginning of 2021 and are on track to paying down at least $6.5 billion by the end of Phase 1.</w:t>
      </w:r>
    </w:p>
    <w:p>
      <w:pPr>
        <w:spacing w:after="0" w:line="117"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And lastly, we returned capital to our shareholders beginning in 2021 with our inaugural dividend, growing the dividend by 9% in 2022 given our strong cash flow generation, and plan to add to such return through the execution of our share repurchase program.</w:t>
      </w:r>
    </w:p>
    <w:p>
      <w:pPr>
        <w:spacing w:after="0" w:line="162" w:lineRule="exact"/>
        <w:rPr>
          <w:sz w:val="20"/>
          <w:szCs w:val="20"/>
          <w:color w:val="auto"/>
        </w:rPr>
      </w:pPr>
    </w:p>
    <w:p>
      <w:pPr>
        <w:ind w:left="4" w:right="420" w:hanging="4"/>
        <w:spacing w:after="0" w:line="261" w:lineRule="auto"/>
        <w:tabs>
          <w:tab w:leader="none" w:pos="22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this while delivering on our seventh straight quarter of strong operating results despite many industry headwinds, including inflationary pressures and a negative impact that we estimate to be approximately $1.3 billion year over year for 2022 to the top-line as a result of the material effects of adverse foreign exchange movements. We anticipate that Viatris’s second full year results will only further demonstrate the strength and robustness of our business.</w:t>
      </w:r>
    </w:p>
    <w:p>
      <w:pPr>
        <w:spacing w:after="0" w:line="180"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This past February, we announced a strategically important transaction with Biocon Biologics regarding our biosimilars franchise, which we anticipate will close shortly. We also reported strong results on our first year of operations, as well as announced, after careful analysis, the economics and proceeds that we anticipate receiving through other potential divestitures. I will give more detail and speak more about these potential divestitures shortly.</w:t>
      </w:r>
    </w:p>
    <w:p>
      <w:pPr>
        <w:spacing w:after="0" w:line="180"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But first, while we will remain therapeutic agnostic overall, we announced this morning two acquisitions consistent with one of our previously announced therapeutic areas of emphasis – ophthalmology. We anticipate the combined assets of these acquisitions to add to the top-line immediately and grow in the strong double-digits from there, potentially reaching to at least $1 billion in sales by 2028. As a result of the expected strong top-line growth, we anticipate these acquisitions will also add at least $500 million in adjusted EBITDA by 2028. The aggregate purchase price for the acquisitions is approximately $700-750 million, which we expect to fund with cash-on-hand upon closing. Michael and Rajiv will discuss more about this in their prepared remarks.</w:t>
      </w:r>
    </w:p>
    <w:p>
      <w:pPr>
        <w:spacing w:after="0" w:line="12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4"/>
          </w:cols>
          <w:pgMar w:left="436" w:top="270" w:right="539" w:bottom="1440" w:gutter="0" w:footer="0" w:header="0"/>
        </w:sectPr>
      </w:pPr>
    </w:p>
    <w:bookmarkStart w:id="13" w:name="page14"/>
    <w:bookmarkEnd w:id="1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Furthermore, given that we believe that our shares are significantly undervalued, our view is that, in addition to investing in growth assets, repurchasing our shares is another one of the best uses of our cash. Therefore, we intend to increase our return of capital to shareholders not only through the continuation of our dividend, but also, following the receipt of the proceeds of the Biocon Biologics transaction, we intend to begin executing in 2023 on the $1 billion stock repurchase program authorized by our board of directors earlier this year.</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now with almost two years of operations under our belt, we are even more confident in the strength of our platform and can more fully address a number of important questions that we have received from investors since our last Investor Update. These include:</w:t>
      </w:r>
    </w:p>
    <w:p>
      <w:pPr>
        <w:spacing w:after="0" w:line="67" w:lineRule="exact"/>
        <w:rPr>
          <w:sz w:val="20"/>
          <w:szCs w:val="20"/>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details on our planned divestitures;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of our base business post Phase 1;</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allocation priorities and plans for Phase 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we will return our business back to growth; and lastly,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Confidence in our ability to ultimately execute on all the actions we have outlined today.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Planned Divestitures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start with our announced divestitures.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February, management provided commentary with respect to our planned divestitures. We currently expect approximately $5 to 6 billion in pre-tax proceeds in addition to the proceeds expected from the sale of our biosimilars business. In order to fully address the stability and outlook of our current base business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14" w:name="page15"/>
    <w:bookmarkEnd w:id="14"/>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Phase 2 (2024 and beyond), I will identify for you additional detail on the planned assets to be divested. It is important to note that these identified assets, which once were core assets to us in the past based on where we were in our business lifecycle then, but have been determined not to be core assets today based on where we are taking Viatris on a go-forward basis — which is continuing to move up the value chain. Similar to our biosimilars transaction, we believe some additional benefits of divesting these non-core assets are reduced SG&amp;A cost, reduced capital expenditures, and the aggregate average gross margin profile of these assets is lower than the company’s current gross margin as a whole.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non-core assets that have been identified and that we intend to divest are as follows:</w:t>
      </w:r>
    </w:p>
    <w:p>
      <w:pPr>
        <w:spacing w:after="0" w:line="131" w:lineRule="exact"/>
        <w:rPr>
          <w:sz w:val="20"/>
          <w:szCs w:val="20"/>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OTC business;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women’s health care business;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Active Pharmaceutical Ingredients (API) business while retaining some selective development API capabilities; and lastly</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geographic markets that were part of the combination with the Upjohn business that are smaller in nature and in which we had no established infrastructure prior to or following the transaction.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to complete these planned divestitures by the end of 2023, and also expect the proceeds to provide additional significant financial flexibility for both our Phase 1 and Phase 2 commitments.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440" w:top="270" w:right="5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Stability and Outlook of Our Current Base Business</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Now that I have addressed our divestiture plans, let me provide some additional detail on the outlook of our current base business in Phase 2. My comments will refer to the base business from that point going forward but before any positive impact of the two acquisitions we announced this morning unless otherwise indicated.</w:t>
      </w:r>
    </w:p>
    <w:p>
      <w:pPr>
        <w:spacing w:after="0" w:line="17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We believe that our base business will be well-positioned to deliver 1% organic top-line growth long-term. This is supported primarily by our strong internal organic pipeline for our new product launches. We expect our strong pipeline alone to more than offset our annual base business erosion, which we now expect to be 2-3% beginning in Phase 2 vs. previous forecasts of 4-5% that we modeled for Phase 1. Rajiv will provide more details later.</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Additionally, when including the potential financial impact of the two acquisitions announced this morning, which we expect will only be additive to our growth, we are targeting during Phase 2 a top-line total revenues CAGR of approximately 3%, adjusted EBITDA CAGR of approximately 4-5%, and </w:t>
      </w:r>
      <w:r>
        <w:rPr>
          <w:rFonts w:ascii="Times New Roman" w:cs="Times New Roman" w:eastAsia="Times New Roman" w:hAnsi="Times New Roman"/>
          <w:sz w:val="18"/>
          <w:szCs w:val="18"/>
          <w:u w:val="single" w:color="auto"/>
          <w:color w:val="auto"/>
        </w:rPr>
        <w:t>MOST</w:t>
      </w:r>
      <w:r>
        <w:rPr>
          <w:rFonts w:ascii="Times New Roman" w:cs="Times New Roman" w:eastAsia="Times New Roman" w:hAnsi="Times New Roman"/>
          <w:sz w:val="18"/>
          <w:szCs w:val="18"/>
          <w:color w:val="auto"/>
        </w:rPr>
        <w:t xml:space="preserve"> importantly, an adjusted EPS CAGR of approximately mid-teens. Note that while these CAGRs include the acquisitions announced this morning, they do not take into consideration the positive impact of any future business development or M&amp;A. These targets reflect our commitment to executing and delivering growth to our business only using the assets that we already have in-house, a continuation of paying down debt and thereby decreasing net interest expenses, and most importantly, returning capital to shareholders through our anticipated future share repurchases, which I will discuss shortly.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6" w:name="page17"/>
    <w:bookmarkEnd w:id="16"/>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modeling purposes, you should consider two adjustments in exchange for the additional $8 to $9 billion of aggregate pre-tax proceeds we anticipate to receive by the end of 2023 or shortly thereafter from all of our divestitures including of our biosimilars business. Therefore, as we enter Phase 2 beginning in 2024, you should think about making the following adjustments from where we see ourselves for 2022:</w:t>
      </w:r>
    </w:p>
    <w:p>
      <w:pPr>
        <w:spacing w:after="0" w:line="81" w:lineRule="exact"/>
        <w:rPr>
          <w:sz w:val="20"/>
          <w:szCs w:val="20"/>
          <w:color w:val="auto"/>
        </w:rPr>
      </w:pPr>
    </w:p>
    <w:p>
      <w:pPr>
        <w:ind w:left="960" w:right="340" w:hanging="532"/>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of $2.1 billion in revenues and $700 million in adjusted EBITDA to reflect the four planned divestitures just mentioned including our biosimilars business.</w:t>
      </w:r>
    </w:p>
    <w:p>
      <w:pPr>
        <w:spacing w:after="0" w:line="67" w:lineRule="exact"/>
        <w:rPr>
          <w:rFonts w:ascii="Times New Roman" w:cs="Times New Roman" w:eastAsia="Times New Roman" w:hAnsi="Times New Roman"/>
          <w:sz w:val="18"/>
          <w:szCs w:val="18"/>
          <w:color w:val="auto"/>
        </w:rPr>
      </w:pPr>
    </w:p>
    <w:p>
      <w:pPr>
        <w:ind w:left="960" w:right="320" w:hanging="532"/>
        <w:spacing w:after="0" w:line="289" w:lineRule="auto"/>
        <w:tabs>
          <w:tab w:leader="none" w:pos="9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adjustment of approximately $300 million in increased R&amp;D expenses, partly due to the impact of the recent SEC guidelines for licensing deals that were previously excluded from adjusted EBITDA but will be included in the future. Also in that number are some continuing development expenses for the two acquisitions announced this morning which will drive our continued longer-term growth.</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Although we are not giving any official guidance today beyond 2022, these adjustments have taken into consideration the remaining actions that need to be taken on our divestitures as well as other expected pushes and pulls in 2023 as we re-shape and re-base Viatris.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Capital Allocation Priorities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turning to our future capital allocation priorities, for Phase 2 beginning in 2024, we expect the re-shaped and re-based Viatris to generate at least</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$2.3 billion of free cash flows per year, excluding transaction costs and taxes, of which we intend to earmark approximately 50% annually to be returned to shareholders in the form of dividends and future share repurchases. With the remaining approximately 50%, we intend to identify and be able to re-invest further into our business organically and inorganically with value-creating, financially accretive bolt-on transactions and other potential transactions that fit the mold of what we announced today.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7" w:name="page18"/>
    <w:bookmarkEnd w:id="17"/>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very excited as we begin to approach the end of Phase 1 and enter Phase 2 of our strategic plan. After reporting on seven straight strong quarters, we are hopeful that the market will increasingly begin to recognize the value of our strong balance sheet, our ability to generate strong cash flows, our ability to return capital to shareholders through our dividend, and especially now with our commitment to future share repurchase plans given the tremendous under-valuation in our security shown by our current P/E multiple.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Adding to the Growth of the Base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Now, in terms of adding to the growth of our base business, when we laid out our strategic vision at our February Investor Event, we discussed business development in the areas of ophthalmology, GI, and dermatology as an important, complementary vehicle to drive inorganic growth for the company. As Michael and Rajiv will elaborate later, we believe that the acquisitions of Oyster Point and Famy Life Sciences are excellent examples that will establish for Viatris a strong foundation for a leading ophthalmology franchise. We expect these acquisitions over time to be substantially additive to both our top line and bottom line and, on a standalone basis, when combined with our commitment to begin repurchasing our shares, we expect these acquisitions be adjusted EPS accretive in 2023.</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 would like to personally welcome Dr. Jeffrey Nau, CEO of Oyster Point Pharma, who upon closing will become the newest member of the Viatris management team, and who will be introducing himself and speaking to you shortly. Dr. Nau will be leading our new ophthalmology franchise at Viatris along with his talented and seasoned management team. We have been keenly impressed by Jeff and his team’s accomplishments, and especially by Jeff’s leadership and vision. We are confident that their talent and expertise will be a great asset to Viatris following the closing of the acquisition of Oyster Point Pharma and the complementary acquisition of Famy Life Sciences.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Confidence and Visibility</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terms of the confidence in our ability to execute on all the actions that we have just detailed, when you consider the tremendous operational and financial progress that we have made over the past two years, despite a challenging external backdrop, there is no stronger testament to our entire Company’s ability and capabilities to successfully execute on all facets of our plan than delivering the consistent results that we have. Another notable achievement in our continuing successful integration is having been able to exit substantially all transition services with Pfizer last month. And for all this, the Board of Directors would like to thank the senior management team and all of our approximately 37,000 employees around the globe for their unwavering commitment, dedication, and performance especially during some of the toughest years in this industry, including taking on the global fight against COVID.</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Before I conclude my prepared remarks, I would like to provide to the broader investment community a few items from our perspective that might be self-evident but underappreciated:</w:t>
      </w:r>
    </w:p>
    <w:p>
      <w:pPr>
        <w:spacing w:after="0" w:line="67" w:lineRule="exact"/>
        <w:rPr>
          <w:sz w:val="20"/>
          <w:szCs w:val="20"/>
          <w:color w:val="auto"/>
        </w:rPr>
      </w:pPr>
    </w:p>
    <w:p>
      <w:pPr>
        <w:ind w:left="960" w:hanging="532"/>
        <w:spacing w:after="0" w:line="25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truly differentiated our company is amongst many of our peers. I believe that it sometimes gets lost on the investment community that we are no longer just a U.S. generics and specialty pharmaceutical company that is materially exposed to all the volatility and the level of erosion that exists in the U.S. market. In fact, only approximately $1.8 billion out of an estimated $16.5 billion of estimated sales in 2022 will represent total sales of our generics in the U.S. We have deliberately taken steps to minimize such exposure by de-risking our business model in the United States through geographical expansion and also by moving up the value chain with more highly complex products in the United States and elsewhere where our products would be differentiated and with a better financial analog.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9" w:name="page20"/>
    <w:bookmarkEnd w:id="19"/>
    <w:p>
      <w:pPr>
        <w:ind w:left="960" w:right="4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Viatris is the only U.S. company with an investment grade credit rating amongst our peers, which we believe is significant and meaningful especially in today’s environment.</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one of the strongest balance sheets among our peers and significant cash flows, we have significant financial flexibility, which we believe positions us to be able to quickly adapt and adjust to the ever-changing global healthcare environment.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of the lowest gross leverage ratios among our peers.</w:t>
      </w:r>
    </w:p>
    <w:p>
      <w:pPr>
        <w:spacing w:after="0" w:line="130" w:lineRule="exact"/>
        <w:rPr>
          <w:rFonts w:ascii="Times New Roman" w:cs="Times New Roman" w:eastAsia="Times New Roman" w:hAnsi="Times New Roman"/>
          <w:sz w:val="18"/>
          <w:szCs w:val="18"/>
          <w:color w:val="auto"/>
        </w:rPr>
      </w:pPr>
    </w:p>
    <w:p>
      <w:pPr>
        <w:ind w:left="960" w:right="56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returning a quantum of capital to shareholders through what we believe is an attractive dividend and soon through share repurchases.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continue to look at opportunities to add or even further unlock value when and where we see opportunities.</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lastly, we represent a unique opportunity for the investment community to participate in what we expect to soon be a strong adjusted earnings per share growth story.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Simply put, once our business is re-based, we feel very confident in our future prospects for where we believe we will be able to deliver top-line growth, adjusted EBITDA growth, and adjusted EPS growth. And with our significant cash flow generation, we expect to be able to return capital to shareholders through dividends and share repurchases.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that, and before I turn the call over to Michael, Rajiv and Sanjeev, I would like to note that, following the call today, we will be commencing our annual shareholder outreach program so please look forward to hearing from us in the coming weeks.</w:t>
      </w:r>
    </w:p>
    <w:p>
      <w:pPr>
        <w:spacing w:after="0" w:line="162" w:lineRule="exact"/>
        <w:rPr>
          <w:sz w:val="20"/>
          <w:szCs w:val="20"/>
          <w:color w:val="auto"/>
        </w:rPr>
      </w:pPr>
    </w:p>
    <w:p>
      <w:pPr>
        <w:jc w:val="center"/>
        <w:ind w:right="200"/>
        <w:spacing w:after="0" w:line="454" w:lineRule="auto"/>
        <w:rPr>
          <w:sz w:val="20"/>
          <w:szCs w:val="20"/>
          <w:color w:val="auto"/>
        </w:rPr>
      </w:pPr>
      <w:r>
        <w:rPr>
          <w:rFonts w:ascii="Times New Roman" w:cs="Times New Roman" w:eastAsia="Times New Roman" w:hAnsi="Times New Roman"/>
          <w:sz w:val="18"/>
          <w:szCs w:val="18"/>
          <w:color w:val="auto"/>
        </w:rPr>
        <w:t>Thank you for your interest in Viatris. I look forward to answering your questions during our Q&amp;A period. I will now turn the call over to Michael. 10</w:t>
      </w:r>
    </w:p>
    <w:p>
      <w:pPr>
        <w:sectPr>
          <w:pgSz w:w="11900" w:h="16838" w:orient="portrait"/>
          <w:cols w:equalWidth="0" w:num="1">
            <w:col w:w="10800"/>
          </w:cols>
          <w:pgMar w:left="440" w:top="270"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Looking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Private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Reform Act of 1995. Such forward-looking statements may include, without limitation, 2022 financial guidance; our outlooks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expectations with respect to the end of our Phase I strategy in 2023 and our Phase II strategy in 2024-2028 and their related goals, targets, forecasts,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objectives and commitments (together, the “Phase I and II Outlooks”); Phase 1 has always been designed as our setup phase for Viatris – it is about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a rock-solid foundation – setting us up for Phase 2, which is expected to be a period of renewed growth and leadership in our sector; our Phase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priorities have been clear: integrate the two organizations, generate $1 billion in cost synergies, de-leverage the balance sheet, pay down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billion in debt, reduce our gross leverage to our long-term target ratio of 3x, and maintain our investment grade credit rating, all while returning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to shareholders; on track to capturing at least $1 billion of cost synergies by the end of Phase 1; on track to paying down at least $6.5 billion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end of Phase 1; anticipate that Viatris’ second full year results will only further demonstrate the strength and robustness of our business; anticipate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Biocon Biologics transaction to close shortly; intends to begin executing on stock repurchase program; enter agreements to acquire Oyster Point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Famy Life Sciences for aggregate of $700-$750 million in cash; expects to close in Q1 2023; expects combination of acquisitions and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to be accretive to adjusted EPS in 2023; anticipates acquisitions will have the potential to add at least $1 billion in net sales and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million in adjusted EBITDA by 2028; expects approximately $5 to 6 billion in pre-tax proceeds in addition to the proceeds expected from the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biosimilars business; divesting additional non-core assets, including: OTC business, women’s health care business, API business while retaining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selective development API capabilities, and lastly certain geographic markets that were part of the combination with the Upjohn business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in nature and in which we had no established infrastructure prior to or following the transaction; expect to complete these planned divestitures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end of 2023, and also expect the proceeds to provide additional significant financial flexibility for both our Phase 1 and Phase 2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 that our base business will be well-positioned to deliver 1% organic top-line growth long-term; expect our strong pipeline alone to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our annual base business erosion, which we now expect to be 2-3% beginning in Phase 2 vs. previous forecasts of 4-5% that we modeled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1; provides financial targets for 2024 to 2028, including top-line total revenues CAGR of approximately ~3%, adjusted EBITDA CAGR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~4-5%, and adjusted EPS CAGR of approximately ~mid-teens; continues to expect to fully meet Phase 1 financial commitments by 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2023, including reducing its gross leverage ratio to approximately 3x; expect to receive an additional $8 to $9 billion of aggregate pre-tax proceeds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end of 2023 from all divestitures, including the biosimilars business; as we enter Phase 2 beginning in 2024, you should think about making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adjustments from where we see ourselves for 2022: an adjustment of $2.1 billion in revenues and $700 million in adjusted EBITDA to reflect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four planned divestitures just mentioned including our biosimilars business and an adjustment of approximately $300 million in increased R&amp;D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partly due to the impact of the recent SEC guidelines for licensing deals that were previously excluded from adjusted EBITDA but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future; we expect the re-shaped and re-based Viatris to generate at least $2.3 billion of free cash flows per year, excluding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taxes, of which we intend to earmark approximately 50% annually to be returned to shareholders in the form of dividends and future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and with the remaining approximately 50%, we intend to identify and be able to re-invest further into our business organically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inorganically with value-creating, financially accretive bolt-on</w:t>
      </w:r>
    </w:p>
    <w:p>
      <w:pPr>
        <w:sectPr>
          <w:pgSz w:w="11900" w:h="16838" w:orient="portrait"/>
          <w:cols w:equalWidth="0" w:num="1">
            <w:col w:w="11000"/>
          </w:cols>
          <w:pgMar w:left="440" w:top="266"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and other potential transactions that fit the mold of what we announced today; only approximately $1.8 billion out of an estimated</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$16.5 billion of estimated sales in 2022 will represent total sales of our generics in the U.S; we will be returning a quantum of capital to shareholders through what we believe is an attractive dividend and soon through share repurchases; we represent a unique opportunity for the investment community to participate in what we expect to soon be a strong adjusted earnings per share growth story; statements about the proposed transaction in which Viatris will, through a wholly-owned subsidiary, acquire all of the outstanding shares of Oyster Point Pharma Inc. (“Oyster Point”) through a tender offer; statements about the transaction pursuant to which Mylan N.V. (“Mylan”) combined with Pfizer Inc.’s Upjohn business (the “Upjohn Business”) in a Reverse Morris Trust transaction (the “Combination”) and Upjohn Inc. became the parent entity of the combined Upjohn Business and Mylan business and was renamed “Viatris Inc.” (“Viatris” or the “Company”), the benefits and synergies of the Combination or our global restructuring program, the Company’s strategic initiatives, including but not limited to potential divestitures and recently announced acquisitions,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w:t>
      </w:r>
    </w:p>
    <w:p>
      <w:pPr>
        <w:spacing w:after="0" w:line="19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be unable to achieve expected benefits, synergies and operating efficiencies in connection with the Combination or its global restructuring program within the expected timeframe or at all; the pending Biocon Biologics Transaction and other strategic initiatives, including potential divestitures, may not achieve their intended benefits; operational or financial difficulties or losses associated with the Company’s reliance on agreements with Pfizer in connection with the Combination, including with respect to transition services;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w:t>
      </w:r>
    </w:p>
    <w:p>
      <w:pPr>
        <w:sectPr>
          <w:pgSz w:w="11900" w:h="16838" w:orient="portrait"/>
          <w:cols w:equalWidth="0" w:num="1">
            <w:col w:w="11000"/>
          </w:cols>
          <w:pgMar w:left="440" w:top="270" w:right="459" w:bottom="1440" w:gutter="0" w:footer="0" w:header="0"/>
        </w:sectPr>
      </w:pPr>
    </w:p>
    <w:bookmarkStart w:id="23" w:name="page24"/>
    <w:bookmarkEnd w:id="23"/>
    <w:p>
      <w:pPr>
        <w:ind w:right="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Part I, Item 1A in the Company’s Annual Report on Form 10-K for the year ended December 31, 2021,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other filings with the SEC. Viatris undertakes no obligation to update any statements herein for revisions or changes after the date of this release other than as required by law.</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particular, certain statements in this release relate to the Phase I and II Outlooks, including but not limited to providing financial targets for Phase 2 (2024 to 2028), including top-line total revenues CAGR of approximately ~3%, adjusted EBITDA CAGR of approximately ~4-5% and adjusted EPS CAGR of approximately ~mid-teens, expecting approximately $5 to 6 billion in pre-tax proceeds in addition to the proceeds expected from the sale of our biosimilars business; additional benefits of divesting these non-core assets are reduced SG&amp;A cost, reduced capital expenditures, and the aggregate average gross margin profile of these assets is lower than the company’s current gross margin as a whole, expect to receive an additional $8 to $9 billion of aggregate pre-tax proceeds by the end of 2023 from all divestitures, including the biosimilars business, anticipating combined assets from the two transactions announced today to have the potential to add at least $1 billion in net sales and at least $500 million in adjusted EBITDA by 2028, and our gross leverage ratio target. Viatris believes that the assumptions used as a basis for the Phase I and II Outlooks are reasonable based on the information available to management at this time. However, this information is not fact, and you are cautioned not to place undue reliance on any such information. While certain of these statements might use language that imply a level of certainty about the likelihood that Viatris will attain the Phase I and II Outlooks, it is possible that Viatris will not attain them in the timeframe noted or at all. The Phase I and Phase II Outlooks reflect assumptions as to certain business decisions that are subject to change. Important factors that may affect actual results and cause the Phase I and II Outlooks not to be achieved, or that may change the underlying variables and assumptions on which the Phase I and II Outlooks were based and cause the Phase I and II Outlooks to differ materially, include, but are not limited to, risks and uncertainties relating to our planned acquisitions and divestitures, including whether such transactions are completed on the expected timelines or at all, failure to achieve the anticipated benefits of any acquisitions or divestitures, failure to receive the anticipated cash proceeds of any divestitures, inability to manage base business erosion, failure to bring new products to market on the expected timeframes or at all, failure to execute stock repurchases</w:t>
      </w:r>
    </w:p>
    <w:p>
      <w:pPr>
        <w:sectPr>
          <w:pgSz w:w="11900" w:h="16838" w:orient="portrait"/>
          <w:cols w:equalWidth="0" w:num="1">
            <w:col w:w="10960"/>
          </w:cols>
          <w:pgMar w:left="440" w:top="270" w:right="499" w:bottom="1440" w:gutter="0" w:footer="0" w:header="0"/>
        </w:sectPr>
      </w:pPr>
    </w:p>
    <w:bookmarkStart w:id="24" w:name="page25"/>
    <w:bookmarkEnd w:id="24"/>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consistent with current expectations, stock price volatility, higher than anticipated SG&amp;A, gross margins and R&amp;D spend, industry performance, interest rate volatility, foreign exchange rates, tax rates, the regulatory environment and general business and economic conditions, as well as those set forth in the second paragraph of this “Forward Looking Statements” slide. In addition, although certain of the outlooks are presented with numerical specificity, they are still forward-looking statements that involve inherent risks and uncertainties. Further, the Phase I and II Outlooks cover multiple years and such information by its nature becomes less reliable with each successive year. Accordingly, there can be no assurance that any aspect of the Phase I and II Outlooks will be realized or that actual results will not differ materially. Therefore, you should construe these statements regarding the Phase I and II Outlooks only as goals, targets and objectives rather than promises of future performance or absolute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EBITDA, free cash flow, adjusted EPS and gross leverage ratio target are presented in order to supplement investors’ and other readers’ understanding and assessment of the financial performance of Viatris. Free cash flow refers to U.S. GAAP net cash provided by operating activities, less capital expenditures. Adjusted diluted earnings per share (“adjusted EPS”) refers to adjusted net earnings divided by the weighted average diluted shares outstanding for the relevant period. For the third quarter of 2022, Viatris calculated adjusted net earnings as U.S. GAAP net earnings (loss) adjusted for purchase accounting related amortization, litigation settlements and other contingencies, net, interest expense, acquisition related cost, restructuring related costs, share-based compensation expense, other special items included in cost of sales, SG&amp;A expense and other (income) expense, net, and the tax effect of the above items and other income tax related items. For the third quarter of 2022, Viatris calculated adjusted EBITDA as U.S. GAAP net earnings (loss) adjusted for income tax provision (benefit), interest expense and depreciation and amortization (to get to EBITDA) and further adjusted for share-based compensation expense, litigation settlements and other contingencies, net and restructuring, acquisition related and other special items.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release on our website at https://investor.viatris.com/financial-information/non-gaap-reconciliations, and investors and other readers should consider non-GAAP measures only as supplements to, not as substitutes for or as superior measures to, the measures of financial performance prepared in accordance with U.S. GAAP.</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II Outlook</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not providing forward-looking information for U.S. GAAP net earnings (loss), U.S. GAAP earnings per share (“U.S. GAAP EPS”) and U.S. GAAP net cash provided by operating activities or a quantitative reconciliation of its Phase II adjusted EBITDA, adjusted EPS and free cash flow outlooks or expectations to their most directly comparable U.S. GAAP measures, U.S. GAAP net earnings (loss), U.S. GAAP EPS and U.S. GAAP net cash provided by operating activities, respectively, because it is unable to predict with reasonable certainty the ultimate outcome of certain significant items, including integration and acquisition-related expenses, restructuring expenses, asset impairments, litigation settlements and other</w:t>
      </w:r>
    </w:p>
    <w:p>
      <w:pPr>
        <w:sectPr>
          <w:pgSz w:w="11900" w:h="16838" w:orient="portrait"/>
          <w:cols w:equalWidth="0" w:num="1">
            <w:col w:w="11000"/>
          </w:cols>
          <w:pgMar w:left="440" w:top="270" w:right="459" w:bottom="1440" w:gutter="0" w:footer="0" w:header="0"/>
        </w:sectPr>
      </w:pPr>
    </w:p>
    <w:bookmarkStart w:id="25" w:name="page26"/>
    <w:bookmarkEnd w:id="25"/>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contingencies, such as changes to contingent consideration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relevant periods.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Gross Leverage Target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stated forward-looking non-GAAP financial measure of long-term gross leverage target of 3.0x, with a range of 2.8x – 3.2x, is based on the ratio of</w:t>
      </w:r>
    </w:p>
    <w:p>
      <w:pPr>
        <w:spacing w:after="0" w:line="27" w:lineRule="exact"/>
        <w:rPr>
          <w:sz w:val="20"/>
          <w:szCs w:val="20"/>
          <w:color w:val="auto"/>
        </w:rPr>
      </w:pPr>
    </w:p>
    <w:p>
      <w:pPr>
        <w:ind w:left="4" w:right="80" w:hanging="4"/>
        <w:spacing w:after="0" w:line="255"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notional gross debt and (ii) targeted Adjusted EBITDA. However, the Company has not quantified future amounts to develop this target but has stated its goal to manage notional gross debt and adjusted earnings and adjusted EBITDA over time in order to generally maintain or reach the target. This target does not reflect Company guidance.</w:t>
      </w:r>
    </w:p>
    <w:p>
      <w:pPr>
        <w:spacing w:after="0" w:line="39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tender offer for the outstanding shares of Oyster Point common stock referenced in this communication has not yet commenced. This document is for informational purposes only and it is neither an offer to purchase nor a solicitation of an offer to sell shares of Oyster Point’s common stock, nor is it a substitute for the tender offer materials that Viatris and Oyster Point will file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on Schedule TO. At the time any such tender offer is commenced, Viatris will file a Tender Offer Statement, containing an offer to purchase, a form of letter of transmittal and other related tender offer documents with the SEC, and Oyster Point will file a Solicitation/Recommendation Statement relating to such tender offer with the SEC. </w:t>
      </w:r>
      <w:r>
        <w:rPr>
          <w:rFonts w:ascii="Times New Roman" w:cs="Times New Roman" w:eastAsia="Times New Roman" w:hAnsi="Times New Roman"/>
          <w:sz w:val="18"/>
          <w:szCs w:val="18"/>
          <w:b w:val="1"/>
          <w:bCs w:val="1"/>
          <w:color w:val="auto"/>
        </w:rPr>
        <w:t>Oyster Point’s stockholders are strongly advised to read these tender offer materials carefully and in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entirety when they become available, as they may be amended from time to time, because they will contain important information about such tender offer that Oyster Point’s stockholders should consider prior to making any decisions with respect to such tender offer. </w:t>
      </w:r>
      <w:r>
        <w:rPr>
          <w:rFonts w:ascii="Times New Roman" w:cs="Times New Roman" w:eastAsia="Times New Roman" w:hAnsi="Times New Roman"/>
          <w:sz w:val="18"/>
          <w:szCs w:val="18"/>
          <w:color w:val="auto"/>
        </w:rPr>
        <w:t>Once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of Oyster Point will be able to obtain a free copy of these documents at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sectPr>
      <w:pgSz w:w="11900" w:h="16838" w:orient="portrait"/>
      <w:cols w:equalWidth="0" w:num="1">
        <w:col w:w="10964"/>
      </w:cols>
      <w:pgMar w:left="436"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2022-11-07T08:10:49Z</dcterms:created>
  <dcterms:modified xsi:type="dcterms:W3CDTF">2022-11-07T08:10:49Z</dcterms:modified>
</cp:coreProperties>
</file>