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-226060</wp:posOffset>
            </wp:positionV>
            <wp:extent cx="125095" cy="1250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2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18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0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5196205</wp:posOffset>
            </wp:positionH>
            <wp:positionV relativeFrom="paragraph">
              <wp:posOffset>-599440</wp:posOffset>
            </wp:positionV>
            <wp:extent cx="56515" cy="6127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3910965</wp:posOffset>
            </wp:positionH>
            <wp:positionV relativeFrom="paragraph">
              <wp:posOffset>-599440</wp:posOffset>
            </wp:positionV>
            <wp:extent cx="56515" cy="6127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24765</wp:posOffset>
            </wp:positionV>
            <wp:extent cx="6999605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9605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520"/>
            <w:col w:w="8400"/>
          </w:cols>
          <w:pgMar w:left="460" w:top="213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Ni Xiangyang (Sean)</w:t>
        </w:r>
      </w:hyperlink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11/23/2022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760" w:firstLine="4"/>
        <w:spacing w:after="0" w:line="268" w:lineRule="auto"/>
        <w:tabs>
          <w:tab w:leader="none" w:pos="13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President, Greater China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4" w:space="720"/>
            <w:col w:w="3356"/>
          </w:cols>
          <w:pgMar w:left="460" w:top="213" w:right="359" w:bottom="1440" w:gutter="0" w:footer="0" w:header="0"/>
          <w:type w:val="continuous"/>
        </w:sectPr>
      </w:pPr>
    </w:p>
    <w:p>
      <w:pPr>
        <w:spacing w:after="0" w:line="9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CANONSBURG  PA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15317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jc w:val="right"/>
              <w:ind w:righ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11/23/2022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29,815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40,136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11/23/2022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1,829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41,965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11/25/2022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89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12,800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10.9547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29,165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jc w:val="center"/>
              <w:ind w:lef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29,815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4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11/23/2022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64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29,815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1,828.4301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Equivalent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42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11/23/2022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4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1,828.4301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-1947545</wp:posOffset>
            </wp:positionV>
            <wp:extent cx="28575" cy="1953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5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60" w:hanging="4"/>
        <w:spacing w:after="0" w:line="257" w:lineRule="auto"/>
        <w:tabs>
          <w:tab w:leader="none" w:pos="16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Fractional shares have been rounded up in connection with the settlement described in footnote 4 pursuant to the terms of the restricted stock unit (RSU) award agreement under the Viatris Inc. 2020 Stock Incentive Plan.</w:t>
      </w:r>
    </w:p>
    <w:p>
      <w:pPr>
        <w:spacing w:after="0" w:line="173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Shares sold to satisfy the tax liability associated with the vesting and settlement of the RSUs granted on November 23, 2020 and the related dividend equivalent units (DEUs).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RSU represents the right to receive one share of common stock of Viatris Inc. (Viatris). These RSUs vested in full on November 23, 2022.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DEUs that accrued with respect to the 29,815 RSUs previously granted on November 23, 2020 and vested on the same schedule as the underlying RSUs.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3" w:right="35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Kevin Macikowski,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4191635</wp:posOffset>
            </wp:positionH>
            <wp:positionV relativeFrom="paragraph">
              <wp:posOffset>-6350</wp:posOffset>
            </wp:positionV>
            <wp:extent cx="133223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4191635</wp:posOffset>
            </wp:positionH>
            <wp:positionV relativeFrom="paragraph">
              <wp:posOffset>-13335</wp:posOffset>
            </wp:positionV>
            <wp:extent cx="44386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11/25/2022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635</wp:posOffset>
            </wp:positionV>
            <wp:extent cx="46037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7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3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hanging="4"/>
        <w:spacing w:after="0" w:line="321" w:lineRule="auto"/>
        <w:tabs>
          <w:tab w:leader="none" w:pos="17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48812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2022-11-25T15:27:08Z</dcterms:created>
  <dcterms:modified xsi:type="dcterms:W3CDTF">2022-11-25T15:27:08Z</dcterms:modified>
</cp:coreProperties>
</file>