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637540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594995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420" w:right="280" w:hanging="394"/>
        <w:spacing w:after="0" w:line="235"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420" w:right="260" w:hanging="394"/>
        <w:spacing w:after="0" w:line="235"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from_____________to___________</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001-39695</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VIATRIS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180"/>
          </w:cols>
          <w:pgMar w:left="320" w:top="1075" w:right="399" w:bottom="1440" w:gutter="0" w:footer="0" w:header="0"/>
        </w:sectPr>
      </w:pPr>
    </w:p>
    <w:p>
      <w:pPr>
        <w:spacing w:after="0" w:line="124"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2">
            <w:col w:w="7360" w:space="720"/>
            <w:col w:w="3100"/>
          </w:cols>
          <w:pgMar w:left="320" w:top="1075" w:right="399" w:bottom="1440" w:gutter="0" w:footer="0" w:header="0"/>
          <w:type w:val="continuous"/>
        </w:sectPr>
      </w:pPr>
    </w:p>
    <w:p>
      <w:pPr>
        <w:jc w:val="center"/>
        <w:ind w:right="1540"/>
        <w:spacing w:after="0"/>
        <w:rPr>
          <w:sz w:val="20"/>
          <w:szCs w:val="20"/>
          <w:color w:val="auto"/>
        </w:rPr>
      </w:pPr>
      <w:r>
        <w:rPr>
          <w:rFonts w:ascii="Arial" w:cs="Arial" w:eastAsia="Arial" w:hAnsi="Arial"/>
          <w:sz w:val="14"/>
          <w:szCs w:val="14"/>
          <w:i w:val="1"/>
          <w:iCs w:val="1"/>
          <w:color w:val="auto"/>
        </w:rPr>
        <w:t>(State or other jurisdiction</w:t>
      </w:r>
    </w:p>
    <w:p>
      <w:pPr>
        <w:jc w:val="center"/>
        <w:ind w:right="154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i w:val="1"/>
          <w:iCs w:val="1"/>
          <w:color w:val="auto"/>
        </w:rPr>
        <w:t>(I.R.S. Employer</w:t>
      </w:r>
    </w:p>
    <w:p>
      <w:pPr>
        <w:jc w:val="center"/>
        <w:ind w:right="2140"/>
        <w:spacing w:after="0"/>
        <w:rPr>
          <w:sz w:val="20"/>
          <w:szCs w:val="20"/>
          <w:color w:val="auto"/>
        </w:rPr>
      </w:pPr>
      <w:r>
        <w:rPr>
          <w:rFonts w:ascii="Arial" w:cs="Arial" w:eastAsia="Arial" w:hAnsi="Arial"/>
          <w:sz w:val="13"/>
          <w:szCs w:val="13"/>
          <w:i w:val="1"/>
          <w:iCs w:val="1"/>
          <w:color w:val="auto"/>
        </w:rPr>
        <w:t>Identification No.)</w:t>
      </w:r>
    </w:p>
    <w:p>
      <w:pPr>
        <w:spacing w:after="0" w:line="122" w:lineRule="exact"/>
        <w:rPr>
          <w:sz w:val="24"/>
          <w:szCs w:val="24"/>
          <w:color w:val="auto"/>
        </w:rPr>
      </w:pPr>
    </w:p>
    <w:p>
      <w:pPr>
        <w:sectPr>
          <w:pgSz w:w="11900" w:h="16838" w:orient="portrait"/>
          <w:cols w:equalWidth="0" w:num="2">
            <w:col w:w="7260" w:space="720"/>
            <w:col w:w="3200"/>
          </w:cols>
          <w:pgMar w:left="320" w:top="1075"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(724) 514-1800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1075" w:right="399" w:bottom="1440" w:gutter="0" w:footer="0" w:header="0"/>
          <w:type w:val="continuous"/>
        </w:sectPr>
      </w:pPr>
    </w:p>
    <w:p>
      <w:pPr>
        <w:spacing w:after="0" w:line="131"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54" w:lineRule="exact"/>
        <w:rPr>
          <w:sz w:val="24"/>
          <w:szCs w:val="24"/>
          <w:color w:val="auto"/>
        </w:rPr>
      </w:pPr>
    </w:p>
    <w:p>
      <w:pPr>
        <w:sectPr>
          <w:pgSz w:w="11900" w:h="16838" w:orient="portrait"/>
          <w:cols w:equalWidth="0" w:num="3">
            <w:col w:w="3980" w:space="720"/>
            <w:col w:w="2180" w:space="720"/>
            <w:col w:w="3580"/>
          </w:cols>
          <w:pgMar w:left="320" w:top="1075" w:right="39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1075" w:right="399" w:bottom="1440" w:gutter="0" w:footer="0" w:header="0"/>
          <w:type w:val="continuous"/>
        </w:sectPr>
      </w:pPr>
    </w:p>
    <w:p>
      <w:pPr>
        <w:spacing w:after="0" w:line="27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left="20" w:right="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780"/>
        <w:spacing w:after="0"/>
        <w:rPr>
          <w:sz w:val="20"/>
          <w:szCs w:val="20"/>
          <w:color w:val="auto"/>
        </w:rPr>
      </w:pPr>
      <w:r>
        <w:rPr>
          <w:rFonts w:ascii="Arial" w:cs="Arial" w:eastAsia="Arial" w:hAnsi="Arial"/>
          <w:sz w:val="17"/>
          <w:szCs w:val="17"/>
          <w:color w:val="auto"/>
        </w:rPr>
        <w:t>The number of shares of common stock outstanding, par value $0.01 per share, of the registrant as of May 5, 2021 was 1,208,655,503.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116205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1075" w:right="3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2021</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r>
      <w:tr>
        <w:trPr>
          <w:trHeight w:val="215"/>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00" w:type="dxa"/>
            <w:vAlign w:val="bottom"/>
            <w:gridSpan w:val="9"/>
          </w:tcPr>
          <w:p>
            <w:pPr>
              <w:jc w:val="center"/>
              <w:ind w:right="178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340" w:type="dxa"/>
            <w:vAlign w:val="bottom"/>
            <w:gridSpan w:val="10"/>
          </w:tcPr>
          <w:p>
            <w:pPr>
              <w:spacing w:after="0" w:line="190"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Condensed Consolidated Statements of Operations — Three Months Ended March 31, 2021 and </w:t>
              </w:r>
            </w:hyperlink>
            <w:r>
              <w:rPr>
                <w:rFonts w:ascii="Arial" w:cs="Arial" w:eastAsia="Arial" w:hAnsi="Arial"/>
                <w:sz w:val="18"/>
                <w:szCs w:val="18"/>
                <w:color w:val="0000FF"/>
                <w:w w:val="89"/>
              </w:rPr>
              <w:t>2020</w:t>
            </w:r>
          </w:p>
        </w:tc>
        <w:tc>
          <w:tcPr>
            <w:tcW w:w="1320" w:type="dxa"/>
            <w:vAlign w:val="bottom"/>
            <w:gridSpan w:val="3"/>
          </w:tcPr>
          <w:p>
            <w:pPr>
              <w:spacing w:after="0"/>
              <w:rPr>
                <w:sz w:val="16"/>
                <w:szCs w:val="16"/>
                <w:color w:val="auto"/>
              </w:rPr>
            </w:pPr>
          </w:p>
        </w:tc>
        <w:tc>
          <w:tcPr>
            <w:tcW w:w="980" w:type="dxa"/>
            <w:vAlign w:val="bottom"/>
            <w:gridSpan w:val="4"/>
          </w:tcPr>
          <w:p>
            <w:pPr>
              <w:jc w:val="right"/>
              <w:ind w:righ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3"/>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 xml:space="preserve">Condensed Consolidated Statements of Comprehensive Loss — Three Months Ended March 31, </w:t>
              </w:r>
            </w:hyperlink>
            <w:r>
              <w:rPr>
                <w:rFonts w:ascii="Arial" w:cs="Arial" w:eastAsia="Arial" w:hAnsi="Arial"/>
                <w:sz w:val="18"/>
                <w:szCs w:val="18"/>
                <w:color w:val="0000FF"/>
                <w:w w:val="96"/>
              </w:rPr>
              <w:t xml:space="preserve">2021 </w:t>
            </w:r>
            <w:hyperlink w:anchor="page6">
              <w:r>
                <w:rPr>
                  <w:rFonts w:ascii="Arial" w:cs="Arial" w:eastAsia="Arial" w:hAnsi="Arial"/>
                  <w:sz w:val="18"/>
                  <w:szCs w:val="18"/>
                  <w:color w:val="0000FF"/>
                  <w:w w:val="96"/>
                </w:rPr>
                <w:t>and 2020</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6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Balance Sheets — March 31, 2021 and December 31, </w:t>
              </w:r>
            </w:hyperlink>
            <w:r>
              <w:rPr>
                <w:rFonts w:ascii="Arial" w:cs="Arial" w:eastAsia="Arial" w:hAnsi="Arial"/>
                <w:sz w:val="18"/>
                <w:szCs w:val="18"/>
                <w:color w:val="0000FF"/>
              </w:rPr>
              <w:t>2020</w:t>
            </w:r>
          </w:p>
        </w:tc>
        <w:tc>
          <w:tcPr>
            <w:tcW w:w="600" w:type="dxa"/>
            <w:vAlign w:val="bottom"/>
          </w:tcPr>
          <w:p>
            <w:pPr>
              <w:spacing w:after="0"/>
              <w:rPr>
                <w:sz w:val="18"/>
                <w:szCs w:val="18"/>
                <w:color w:val="auto"/>
              </w:rPr>
            </w:pPr>
          </w:p>
        </w:tc>
        <w:tc>
          <w:tcPr>
            <w:tcW w:w="9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3"/>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Statements of Equity — Three Months Ended March 31, 2021 and </w:t>
              </w:r>
            </w:hyperlink>
            <w:r>
              <w:rPr>
                <w:rFonts w:ascii="Arial" w:cs="Arial" w:eastAsia="Arial" w:hAnsi="Arial"/>
                <w:sz w:val="18"/>
                <w:szCs w:val="18"/>
                <w:color w:val="0000FF"/>
              </w:rPr>
              <w:t>2020</w:t>
            </w:r>
          </w:p>
        </w:tc>
        <w:tc>
          <w:tcPr>
            <w:tcW w:w="9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11"/>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 xml:space="preserve">Condensed Consolidated Statements of Cash Flows — Three Months Ended March 31, 2021 and </w:t>
              </w:r>
            </w:hyperlink>
            <w:r>
              <w:rPr>
                <w:rFonts w:ascii="Arial" w:cs="Arial" w:eastAsia="Arial" w:hAnsi="Arial"/>
                <w:sz w:val="18"/>
                <w:szCs w:val="18"/>
                <w:color w:val="0000FF"/>
                <w:w w:val="89"/>
              </w:rPr>
              <w:t>2020</w:t>
            </w:r>
          </w:p>
        </w:tc>
        <w:tc>
          <w:tcPr>
            <w:tcW w:w="12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7"/>
                <w:szCs w:val="17"/>
                <w:color w:val="0000FF"/>
                <w:w w:val="73"/>
              </w:rPr>
            </w:pPr>
            <w:hyperlink w:anchor="page9">
              <w:r>
                <w:rPr>
                  <w:rFonts w:ascii="Arial" w:cs="Arial" w:eastAsia="Arial" w:hAnsi="Arial"/>
                  <w:sz w:val="17"/>
                  <w:szCs w:val="17"/>
                  <w:color w:val="0000FF"/>
                  <w:w w:val="73"/>
                </w:rPr>
                <w:t>10</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0" w:type="dxa"/>
            <w:vAlign w:val="bottom"/>
            <w:gridSpan w:val="1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12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gridSpan w:val="3"/>
          </w:tcPr>
          <w:p>
            <w:pPr>
              <w:jc w:val="right"/>
              <w:ind w:right="20"/>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11</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60" w:type="dxa"/>
            <w:vAlign w:val="bottom"/>
            <w:gridSpan w:val="1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Management’s Discussion and Analysis of Financial Condition and Results of Operations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8"/>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Quantitative and Qualitative Disclosures About Market Risk</w:t>
              </w:r>
            </w:hyperlink>
          </w:p>
        </w:tc>
        <w:tc>
          <w:tcPr>
            <w:tcW w:w="222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gridSpan w:val="3"/>
          </w:tcPr>
          <w:p>
            <w:pPr>
              <w:jc w:val="right"/>
              <w:ind w:right="20"/>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65</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6"/>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Controls and Procedures</w:t>
              </w:r>
            </w:hyperlink>
          </w:p>
        </w:tc>
        <w:tc>
          <w:tcPr>
            <w:tcW w:w="432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gridSpan w:val="3"/>
          </w:tcPr>
          <w:p>
            <w:pPr>
              <w:jc w:val="right"/>
              <w:ind w:right="20"/>
              <w:spacing w:after="0"/>
              <w:rPr>
                <w:rFonts w:ascii="Arial" w:cs="Arial" w:eastAsia="Arial" w:hAnsi="Arial"/>
                <w:sz w:val="17"/>
                <w:szCs w:val="17"/>
                <w:color w:val="0000FF"/>
                <w:w w:val="73"/>
              </w:rPr>
            </w:pPr>
            <w:hyperlink w:anchor="page65">
              <w:r>
                <w:rPr>
                  <w:rFonts w:ascii="Arial" w:cs="Arial" w:eastAsia="Arial" w:hAnsi="Arial"/>
                  <w:sz w:val="17"/>
                  <w:szCs w:val="17"/>
                  <w:color w:val="0000FF"/>
                  <w:w w:val="73"/>
                </w:rPr>
                <w:t>65</w:t>
              </w:r>
            </w:hyperlink>
          </w:p>
        </w:tc>
      </w:tr>
      <w:tr>
        <w:trPr>
          <w:trHeight w:val="51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9"/>
          </w:tcPr>
          <w:p>
            <w:pPr>
              <w:jc w:val="center"/>
              <w:ind w:right="180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5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660" w:type="dxa"/>
            <w:vAlign w:val="bottom"/>
            <w:gridSpan w:val="13"/>
          </w:tcPr>
          <w:p>
            <w:pPr>
              <w:spacing w:after="0" w:line="190" w:lineRule="exact"/>
              <w:rPr>
                <w:rFonts w:ascii="Arial" w:cs="Arial" w:eastAsia="Arial" w:hAnsi="Arial"/>
                <w:sz w:val="18"/>
                <w:szCs w:val="18"/>
                <w:color w:val="0000FF"/>
              </w:rPr>
            </w:pPr>
            <w:hyperlink w:anchor="page66">
              <w:r>
                <w:rPr>
                  <w:rFonts w:ascii="Arial" w:cs="Arial" w:eastAsia="Arial" w:hAnsi="Arial"/>
                  <w:sz w:val="18"/>
                  <w:szCs w:val="18"/>
                  <w:color w:val="0000FF"/>
                </w:rPr>
                <w:t>Legal Proceedings</w:t>
              </w:r>
            </w:hyperlink>
          </w:p>
        </w:tc>
        <w:tc>
          <w:tcPr>
            <w:tcW w:w="980" w:type="dxa"/>
            <w:vAlign w:val="bottom"/>
            <w:gridSpan w:val="4"/>
          </w:tcPr>
          <w:p>
            <w:pPr>
              <w:jc w:val="right"/>
              <w:ind w:right="20"/>
              <w:spacing w:after="0" w:line="190"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66">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734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gridSpan w:val="3"/>
          </w:tcPr>
          <w:p>
            <w:pPr>
              <w:jc w:val="right"/>
              <w:ind w:right="20"/>
              <w:spacing w:after="0"/>
              <w:rPr>
                <w:rFonts w:ascii="Arial" w:cs="Arial" w:eastAsia="Arial" w:hAnsi="Arial"/>
                <w:sz w:val="17"/>
                <w:szCs w:val="17"/>
                <w:color w:val="0000FF"/>
                <w:w w:val="73"/>
              </w:rPr>
            </w:pPr>
            <w:hyperlink w:anchor="page66">
              <w:r>
                <w:rPr>
                  <w:rFonts w:ascii="Arial" w:cs="Arial" w:eastAsia="Arial" w:hAnsi="Arial"/>
                  <w:sz w:val="17"/>
                  <w:szCs w:val="17"/>
                  <w:color w:val="0000FF"/>
                  <w:w w:val="73"/>
                </w:rPr>
                <w:t>67</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760" w:type="dxa"/>
            <w:vAlign w:val="bottom"/>
            <w:gridSpan w:val="11"/>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Exhibits</w:t>
              </w:r>
            </w:hyperlink>
          </w:p>
        </w:tc>
        <w:tc>
          <w:tcPr>
            <w:tcW w:w="300" w:type="dxa"/>
            <w:vAlign w:val="bottom"/>
          </w:tcPr>
          <w:p>
            <w:pPr>
              <w:spacing w:after="0"/>
              <w:rPr>
                <w:sz w:val="24"/>
                <w:szCs w:val="24"/>
                <w:color w:val="auto"/>
              </w:rPr>
            </w:pPr>
          </w:p>
        </w:tc>
        <w:tc>
          <w:tcPr>
            <w:tcW w:w="776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gridSpan w:val="3"/>
          </w:tcPr>
          <w:p>
            <w:pPr>
              <w:jc w:val="right"/>
              <w:ind w:right="20"/>
              <w:spacing w:after="0"/>
              <w:rPr>
                <w:rFonts w:ascii="Arial" w:cs="Arial" w:eastAsia="Arial" w:hAnsi="Arial"/>
                <w:sz w:val="17"/>
                <w:szCs w:val="17"/>
                <w:color w:val="0000FF"/>
                <w:w w:val="73"/>
              </w:rPr>
            </w:pPr>
            <w:hyperlink w:anchor="page67">
              <w:r>
                <w:rPr>
                  <w:rFonts w:ascii="Arial" w:cs="Arial" w:eastAsia="Arial" w:hAnsi="Arial"/>
                  <w:sz w:val="17"/>
                  <w:szCs w:val="17"/>
                  <w:color w:val="0000FF"/>
                  <w:w w:val="73"/>
                </w:rPr>
                <w:t>68</w:t>
              </w:r>
            </w:hyperlink>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540" w:type="dxa"/>
            <w:vAlign w:val="bottom"/>
            <w:gridSpan w:val="2"/>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gridSpan w:val="3"/>
          </w:tcPr>
          <w:p>
            <w:pPr>
              <w:jc w:val="right"/>
              <w:ind w:right="20"/>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69</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43"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2003 Long-Term Incentive Plan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2020 Form 10-K</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annual report on Form 10-K for the fiscal year ended December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2020,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information to investors - EBITDA (defined below) is further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Adjusted 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9"/>
              </w:rPr>
              <w:t>adjusted for share-based compensation expense, litigation settlements,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contingencies, net, restructuring and other special items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Abbreviated 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Active pharmaceutical ingredients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Codification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Update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Biogen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Biogen MA Inc. and Biogen International GmbH,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Business Combination Agreement, dated as of July 29, 2019, as amended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Business Combination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from time to time, among Viatris, Mylan, Pfizer and certain of their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Appeals Tribunal</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CJEU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Court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Used to define the three equity method investments the Company has 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clean energy investments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limited liability companies that own refined coal production plants whose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activities qualify for income tax credits under Section 45 of the Code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and Markets Authority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U.S. Internal Revenue Code of 1986,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Combination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Refers to Mylan combining with Pfizer's Upjohn Business in a Reverse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Trust transaction to form Viatris on November 16, 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The $1.65 billion unsecured commercial paper program entered into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Commercial Paper Program</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November 16, 2020 by Viatris, as issuer, Mylan Inc.,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Inc. and Mylan II B.V., as guarantors, and certain dealers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Commission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Novel coronavirus disease of 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DCGI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Drug Controller General of India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Developed Markets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North America and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Distribution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Pfizer's distribution to Pfizer stockholders all the issued and outstanding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 of Upjohn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Department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provide information to investors - U.S. GAAP net earnings (loss) adjusted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1"/>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1"/>
              </w:rPr>
              <w:t>Viatris’ business segment that includes, but is not limited to, our operations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Emerging Markets segment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primarily in the following markets: Parts of Asia, the Middle East, South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Central America, Africa, and Eastern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Form 10-Q</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This quarterly report on Form 10-Q for the quarterly period ended March</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Greater China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China, Taiwan and Hong Kong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 drugs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 Partes review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Internal Revenue Service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JANZ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Japan, Australia and New Zealand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London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Lilly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Under our Term Loan Agreement and Revolving Facility, the maximum</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consolidated leverage ratio financial covenant requiring maintenance of 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7"/>
              </w:rPr>
              <w:t>maximum ratio of consolidated total indebtedness as of the end of any</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quarter to consolidated EBITDA for the trailing four quarters as defined in</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 leverage ratio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related credit agreements from time to time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Multidistrict litigation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Pharmaceutical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and its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Mylan II, B.V.; a company incorporated under the laws of the Netherlands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II</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an indirect wholly owned subsidiary of Viatris, in which legacy Mylan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merged with and into</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4.200% Senior Notes due 2023, 4.550% Senior Notes due 2028,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0"/>
              </w:rPr>
              <w:t>5.400% Senior Notes due 2043 and 5.200% Senior Notes due 2048 issued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by Mylan Inc., which are fully and unconditionally guaranteed on a senior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Inc. Senior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unsecured basis by Mylan II B.V., Viatris Inc. and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Note Securitization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note securitization facility entered into in August 2020 for borrowings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 to $200 million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Over-the-counter</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Pfizer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2020 Stock Incentive Plan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PMS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Pharmascience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Patent Trial and Appeal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1"/>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Receivables Facility</w:t>
            </w: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7"/>
              </w:rPr>
              <w:t>The $400 million accounts receivable entered into in August 2020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expiring in April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Pfizer’s proprietary dry powder inhaler delivery platform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The revolving credit facility available pursuant to the revolving credit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agreement, dated as of June 16, 2020, by and among Viatris, certain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Revolving Facility</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lenders and issuing banks from time to time party thereto and Bank of</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America, N.A., as 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Racketeer Influenced and Corrupt Organizations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restricted stock awards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Company’s nonvested restricted stock and restricted stock unit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including PSUs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Sanofi-Aventis U.S.,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Appreciation Rights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 and Distribution Agreement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Southern District of New York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Securities and Exchange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Act of 1933,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Senior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Utah Senior Notes and the Mylan Inc. Senior Notes,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Pfizer's transfer to Upjohn of substantially all the assets and 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comprising the Upjohn Business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The $600 million delayed draw term loan credit agreement, dated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Term Loan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June 16, 2020 by and among Viatris, Mizuho Bank, Ltd. and MUFG Bank,</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Ltd., as 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Teva Pharmaceutical Industries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Transition service agreements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Upjohn Inc., a wholly owned subsidiary of Pfizer prior to the Distribution,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that combined with Mylan and was renamed Viatris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Business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that, in connection with the Combination, was separated from Pfizer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combined with Mylan to form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3.150% Senior Notes due 2021, 3.950% Senior Notes due 2026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5.250% Senior Notes due 2046 issued by Utah Acquisition Sub, which are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Senior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fully and unconditionally guaranteed on a senior unsecured basis by Mylan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 Viatris Inc. and 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Viatris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Inc., formerly known as Upjohn Inc. prior to the completion of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2"/>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per share amounts)</w:t>
      </w:r>
    </w:p>
    <w:p>
      <w:pPr>
        <w:spacing w:after="0" w:line="162"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23495</wp:posOffset>
            </wp:positionV>
            <wp:extent cx="1594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2,588.2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2,619.2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(Loss) 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earnings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16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15944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Change in unrecognized gain (loss) and prior service cost related to defined benefit plans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(loss) on derivatives in cash flow hedging relationships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unrecognized gain on derivatives in net investment hedging relationships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gain on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700" w:type="dxa"/>
            <w:vAlign w:val="bottom"/>
          </w:tcPr>
          <w:p>
            <w:pPr>
              <w:ind w:left="48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(667.1)</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8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ind w:left="9180"/>
        <w:spacing w:after="0"/>
        <w:tabs>
          <w:tab w:leader="none" w:pos="104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20"/>
          </w:cols>
          <w:pgMar w:left="320" w:top="118" w:right="359" w:bottom="1440"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680" w:right="380" w:hanging="201"/>
        <w:spacing w:after="0" w:line="273"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2" w:lineRule="exact"/>
        <w:rPr>
          <w:sz w:val="20"/>
          <w:szCs w:val="20"/>
          <w:color w:val="auto"/>
        </w:rPr>
      </w:pPr>
    </w:p>
    <w:p>
      <w:pPr>
        <w:ind w:left="240" w:right="1120"/>
        <w:spacing w:after="0" w:line="266" w:lineRule="auto"/>
        <w:rPr>
          <w:sz w:val="20"/>
          <w:szCs w:val="20"/>
          <w:color w:val="auto"/>
        </w:rPr>
      </w:pPr>
      <w:r>
        <w:rPr>
          <w:rFonts w:ascii="Arial" w:cs="Arial" w:eastAsia="Arial" w:hAnsi="Arial"/>
          <w:sz w:val="18"/>
          <w:szCs w:val="18"/>
          <w:color w:val="auto"/>
        </w:rPr>
        <w:t>Property, plant and equipment, net Intangible assets, net Goodwill</w:t>
      </w:r>
    </w:p>
    <w:p>
      <w:pPr>
        <w:ind w:left="240"/>
        <w:spacing w:after="0"/>
        <w:rPr>
          <w:sz w:val="20"/>
          <w:szCs w:val="20"/>
          <w:color w:val="auto"/>
        </w:rPr>
      </w:pPr>
      <w:r>
        <w:rPr>
          <w:rFonts w:ascii="Arial" w:cs="Arial" w:eastAsia="Arial" w:hAnsi="Arial"/>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161290</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4220" w:type="dxa"/>
        <w:tblCellMar>
          <w:top w:w="0" w:type="dxa"/>
          <w:left w:w="0" w:type="dxa"/>
          <w:bottom w:w="0" w:type="dxa"/>
          <w:right w:w="0" w:type="dxa"/>
        </w:tblCellMar>
      </w:tblPr>
      <w:tr>
        <w:trPr>
          <w:trHeight w:val="223"/>
        </w:trPr>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844.4</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4,843.8</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5,471.9</w:t>
            </w:r>
          </w:p>
        </w:tc>
      </w:tr>
      <w:tr>
        <w:trPr>
          <w:trHeight w:val="231"/>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w:t>
            </w:r>
          </w:p>
        </w:tc>
      </w:tr>
      <w:tr>
        <w:trPr>
          <w:trHeight w:val="222"/>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12,867.5</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3,459.9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29,683.2</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12,347.0</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2,147.9</w:t>
            </w:r>
          </w:p>
        </w:tc>
      </w:tr>
      <w:tr>
        <w:trPr>
          <w:trHeight w:val="231"/>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r>
      <w:tr>
        <w:trPr>
          <w:trHeight w:val="223"/>
        </w:trPr>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61,553.0</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-1508125</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-1216660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-916305</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-624840</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-334010</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-16510</wp:posOffset>
            </wp:positionV>
            <wp:extent cx="71151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42" w:lineRule="exact"/>
        <w:rPr>
          <w:sz w:val="20"/>
          <w:szCs w:val="20"/>
          <w:color w:val="auto"/>
        </w:rPr>
      </w:pPr>
    </w:p>
    <w:p>
      <w:pPr>
        <w:sectPr>
          <w:pgSz w:w="11900" w:h="16838" w:orient="portrait"/>
          <w:cols w:equalWidth="0" w:num="2">
            <w:col w:w="3780" w:space="720"/>
            <w:col w:w="67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8"/>
        </w:trPr>
        <w:tc>
          <w:tcPr>
            <w:tcW w:w="870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1,904.2</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1,100.9</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r>
      <w:tr>
        <w:trPr>
          <w:trHeight w:val="228"/>
        </w:trPr>
        <w:tc>
          <w:tcPr>
            <w:tcW w:w="8700" w:type="dxa"/>
            <w:vAlign w:val="bottom"/>
          </w:tcPr>
          <w:p>
            <w:pPr>
              <w:ind w:left="460"/>
              <w:spacing w:after="0"/>
              <w:rPr>
                <w:sz w:val="20"/>
                <w:szCs w:val="20"/>
                <w:color w:val="auto"/>
              </w:rPr>
            </w:pPr>
            <w:r>
              <w:rPr>
                <w:rFonts w:ascii="Arial" w:cs="Arial" w:eastAsia="Arial" w:hAnsi="Arial"/>
                <w:sz w:val="18"/>
                <w:szCs w:val="18"/>
                <w:color w:val="auto"/>
              </w:rPr>
              <w:t>Current portion of long-term debt and other long-term obligations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2,308.5</w:t>
            </w:r>
          </w:p>
        </w:tc>
      </w:tr>
      <w:tr>
        <w:trPr>
          <w:trHeight w:val="231"/>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4,960.7</w:t>
            </w:r>
          </w:p>
        </w:tc>
      </w:tr>
      <w:tr>
        <w:trPr>
          <w:trHeight w:val="222"/>
        </w:trPr>
        <w:tc>
          <w:tcPr>
            <w:tcW w:w="87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10,562.9</w:t>
            </w:r>
          </w:p>
        </w:tc>
      </w:tr>
      <w:tr>
        <w:trPr>
          <w:trHeight w:val="231"/>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22,429.2</w:t>
            </w:r>
          </w:p>
        </w:tc>
      </w:tr>
      <w:tr>
        <w:trPr>
          <w:trHeight w:val="228"/>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3,123.7</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w:t>
            </w:r>
          </w:p>
        </w:tc>
      </w:tr>
      <w:tr>
        <w:trPr>
          <w:trHeight w:val="222"/>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38,598.9</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Viatris Inc. shareholders’ equity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par value $0.01 per share as of March 31, 2021 and December 31, 2020: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700" w:type="dxa"/>
            <w:vAlign w:val="bottom"/>
          </w:tcPr>
          <w:p>
            <w:pPr>
              <w:ind w:left="340"/>
              <w:spacing w:after="0"/>
              <w:rPr>
                <w:sz w:val="20"/>
                <w:szCs w:val="20"/>
                <w:color w:val="auto"/>
              </w:rPr>
            </w:pPr>
            <w:r>
              <w:rPr>
                <w:rFonts w:ascii="Arial" w:cs="Arial" w:eastAsia="Arial" w:hAnsi="Arial"/>
                <w:sz w:val="18"/>
                <w:szCs w:val="18"/>
                <w:color w:val="auto"/>
              </w:rPr>
              <w:t>Shares authorized: 3,000,000,000 as of March 31, 2021 and December 31, 2020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1,208,530,970 and 1,206,895,644 as of March 31, 2021 and December 31, 2020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8"/>
        </w:trPr>
        <w:tc>
          <w:tcPr>
            <w:tcW w:w="870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18,438.8</w:t>
            </w:r>
          </w:p>
        </w:tc>
      </w:tr>
      <w:tr>
        <w:trPr>
          <w:trHeight w:val="231"/>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5,361.2</w:t>
            </w:r>
          </w:p>
        </w:tc>
      </w:tr>
      <w:tr>
        <w:trPr>
          <w:trHeight w:val="228"/>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22,954.1</w:t>
            </w:r>
          </w:p>
        </w:tc>
      </w:tr>
      <w:tr>
        <w:trPr>
          <w:trHeight w:val="237"/>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61,553.0</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amounts)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7"/>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6"/>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Paid-In</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Borders>
              <w:bottom w:val="single" w:sz="8" w:color="auto"/>
            </w:tcBorders>
            <w:gridSpan w:val="6"/>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4"/>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w:t>
            </w:r>
          </w:p>
        </w:tc>
        <w:tc>
          <w:tcPr>
            <w:tcW w:w="20" w:type="dxa"/>
            <w:vAlign w:val="bottom"/>
          </w:tcPr>
          <w:p>
            <w:pPr>
              <w:spacing w:after="0"/>
              <w:rPr>
                <w:sz w:val="8"/>
                <w:szCs w:val="8"/>
                <w:color w:val="auto"/>
              </w:rPr>
            </w:pP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1,206,895,644</w:t>
            </w:r>
          </w:p>
        </w:tc>
        <w:tc>
          <w:tcPr>
            <w:tcW w:w="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$18,438.8</w:t>
            </w: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$ 5,361.2</w:t>
            </w: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3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$22,954.1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(1,037.6)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1,635,326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0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00" w:type="dxa"/>
            <w:vAlign w:val="bottom"/>
          </w:tcPr>
          <w:p>
            <w:pPr>
              <w:spacing w:after="0"/>
              <w:rPr>
                <w:sz w:val="15"/>
                <w:szCs w:val="15"/>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restart"/>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0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1,208,530,970</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18,464.6</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$ 4,323.6</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$21,414.7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7"/>
          </w:tcPr>
          <w:p>
            <w:pPr>
              <w:ind w:left="260"/>
              <w:spacing w:after="0"/>
              <w:rPr>
                <w:sz w:val="20"/>
                <w:szCs w:val="20"/>
                <w:color w:val="auto"/>
              </w:rPr>
            </w:pPr>
            <w:r>
              <w:rPr>
                <w:rFonts w:ascii="Arial" w:cs="Arial" w:eastAsia="Arial" w:hAnsi="Arial"/>
                <w:sz w:val="14"/>
                <w:szCs w:val="14"/>
                <w:b w:val="1"/>
                <w:bCs w:val="1"/>
                <w:color w:val="auto"/>
              </w:rPr>
              <w:t xml:space="preserve">Ordinary Shares </w:t>
            </w:r>
            <w:r>
              <w:rPr>
                <w:rFonts w:ascii="Arial" w:cs="Arial" w:eastAsia="Arial" w:hAnsi="Arial"/>
                <w:sz w:val="9"/>
                <w:szCs w:val="9"/>
                <w:b w:val="1"/>
                <w:bCs w:val="1"/>
                <w:color w:val="auto"/>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8"/>
          </w:tcPr>
          <w:p>
            <w:pPr>
              <w:ind w:left="28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tcPr>
          <w:p>
            <w:pPr>
              <w:jc w:val="center"/>
              <w:ind w:right="100"/>
              <w:spacing w:after="0" w:line="54" w:lineRule="exact"/>
              <w:rPr>
                <w:sz w:val="20"/>
                <w:szCs w:val="20"/>
                <w:color w:val="auto"/>
              </w:rPr>
            </w:pPr>
            <w:r>
              <w:rPr>
                <w:rFonts w:ascii="Arial" w:cs="Arial" w:eastAsia="Arial" w:hAnsi="Arial"/>
                <w:sz w:val="6"/>
                <w:szCs w:val="6"/>
                <w:b w:val="1"/>
                <w:bCs w:val="1"/>
                <w:color w:val="auto"/>
              </w:rPr>
              <w:t>Paid-In</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Retained</w:t>
            </w:r>
          </w:p>
        </w:tc>
        <w:tc>
          <w:tcPr>
            <w:tcW w:w="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gridSpan w:val="4"/>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20" w:type="dxa"/>
            <w:vAlign w:val="bottom"/>
          </w:tcPr>
          <w:p>
            <w:pPr>
              <w:spacing w:after="0"/>
              <w:rPr>
                <w:sz w:val="4"/>
                <w:szCs w:val="4"/>
                <w:color w:val="auto"/>
              </w:rPr>
            </w:pPr>
          </w:p>
        </w:tc>
        <w:tc>
          <w:tcPr>
            <w:tcW w:w="80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540,746,871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8"/>
                <w:szCs w:val="18"/>
                <w:color w:val="auto"/>
                <w:w w:val="90"/>
              </w:rPr>
              <w:t>$ 8,643.5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$ 6,031.1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24,598,074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$(999.7)</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(1,797.2)</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8"/>
                <w:szCs w:val="18"/>
                <w:color w:val="auto"/>
                <w:w w:val="87"/>
              </w:rPr>
              <w:t>$11,883.8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795,423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0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00" w:type="dxa"/>
            <w:vAlign w:val="bottom"/>
          </w:tcPr>
          <w:p>
            <w:pPr>
              <w:spacing w:after="0"/>
              <w:rPr>
                <w:sz w:val="15"/>
                <w:szCs w:val="15"/>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restart"/>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541,542,294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3"/>
              <w:spacing w:after="0"/>
              <w:rPr>
                <w:sz w:val="20"/>
                <w:szCs w:val="20"/>
                <w:color w:val="auto"/>
              </w:rPr>
            </w:pPr>
            <w:r>
              <w:rPr>
                <w:rFonts w:ascii="Arial" w:cs="Arial" w:eastAsia="Arial" w:hAnsi="Arial"/>
                <w:sz w:val="18"/>
                <w:szCs w:val="18"/>
                <w:color w:val="auto"/>
                <w:w w:val="90"/>
              </w:rPr>
              <w:t>$ 8,657.9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$ 6,051.9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24,598,074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(999.7)</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r>
              <w:rPr>
                <w:rFonts w:ascii="Arial" w:cs="Arial" w:eastAsia="Arial" w:hAnsi="Arial"/>
                <w:sz w:val="18"/>
                <w:szCs w:val="18"/>
                <w:u w:val="single" w:color="auto"/>
                <w:color w:val="auto"/>
              </w:rPr>
              <w:t>5)</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8"/>
                <w:szCs w:val="18"/>
                <w:color w:val="auto"/>
                <w:w w:val="87"/>
              </w:rPr>
              <w:t>$11,262.7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w:t>
      </w:r>
    </w:p>
    <w:p>
      <w:pPr>
        <w:spacing w:after="0" w:line="3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Ordinary Shares prior to November 16, 2020.</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121"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1594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(loss)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415.0</w:t>
            </w:r>
          </w:p>
        </w:tc>
      </w:tr>
      <w:tr>
        <w:trPr>
          <w:trHeight w:val="230"/>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8700" w:type="dxa"/>
            <w:vAlign w:val="bottom"/>
          </w:tcPr>
          <w:p>
            <w:pPr>
              <w:ind w:left="48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from equity method investments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700" w:type="dxa"/>
            <w:vAlign w:val="bottom"/>
          </w:tcPr>
          <w:p>
            <w:pPr>
              <w:ind w:left="480"/>
              <w:spacing w:after="0"/>
              <w:rPr>
                <w:sz w:val="20"/>
                <w:szCs w:val="20"/>
                <w:color w:val="auto"/>
              </w:rPr>
            </w:pPr>
            <w:r>
              <w:rPr>
                <w:rFonts w:ascii="Arial" w:cs="Arial" w:eastAsia="Arial" w:hAnsi="Arial"/>
                <w:sz w:val="18"/>
                <w:szCs w:val="18"/>
                <w:color w:val="auto"/>
              </w:rPr>
              <w:t>Other non-cash items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7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870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29"/>
        </w:trPr>
        <w:tc>
          <w:tcPr>
            <w:tcW w:w="8700" w:type="dxa"/>
            <w:vAlign w:val="bottom"/>
          </w:tcPr>
          <w:p>
            <w:pPr>
              <w:ind w:left="68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8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received from acquisitions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for product rights and other,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Change in short-term borrowings,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Contingent consideration payments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on cash of changes in exchange rates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spacing w:after="0" w:line="17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These interim financial statements should be read in conjunction with the consolidated financial statements and notes thereto in Viatris’ 2020 Form 10-K. The December 31, 2020 condensed consolidated balance sheet was derived from audited financial statements. In accordance with </w:t>
      </w:r>
      <w:r>
        <w:rPr>
          <w:rFonts w:ascii="Arial" w:cs="Arial" w:eastAsia="Arial" w:hAnsi="Arial"/>
          <w:sz w:val="18"/>
          <w:szCs w:val="18"/>
          <w:i w:val="1"/>
          <w:iCs w:val="1"/>
          <w:color w:val="auto"/>
        </w:rPr>
        <w:t>ASC 805,</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Mylan is considered the accounting acquirer of the Upjohn Business and all historical financial information of the Company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November 16, 2020 represents Mylan’s historical results and the Company’s thereafter. Refer to Note 4 </w:t>
      </w:r>
      <w:r>
        <w:rPr>
          <w:rFonts w:ascii="Arial" w:cs="Arial" w:eastAsia="Arial" w:hAnsi="Arial"/>
          <w:sz w:val="18"/>
          <w:szCs w:val="18"/>
          <w:i w:val="1"/>
          <w:iCs w:val="1"/>
          <w:color w:val="auto"/>
        </w:rPr>
        <w:t>Acquisitions and Other Transactions</w:t>
      </w:r>
      <w:r>
        <w:rPr>
          <w:rFonts w:ascii="Arial" w:cs="Arial" w:eastAsia="Arial" w:hAnsi="Arial"/>
          <w:sz w:val="18"/>
          <w:szCs w:val="18"/>
          <w:color w:val="auto"/>
        </w:rPr>
        <w:t xml:space="preserve"> for additional information.</w:t>
      </w:r>
    </w:p>
    <w:p>
      <w:pPr>
        <w:spacing w:after="0" w:line="18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interim results of operations, comprehensive earnings and cash flows for the three months ended March 31, 2021 are not necessarily indicative of the results to be expected for the full fiscal year or any other future period.</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recognizes revenue in accordance with the ASC 606.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 in the condensed consolidated statements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net sales by product category for each of our reportable segments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 respectively:</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5"/>
              </w:rPr>
              <w:t>Three Months Ended March 31, 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2,724.6</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4,400.1</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5"/>
              </w:rPr>
              <w:t>Three Months Ended March 31, 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253.3</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w:t>
            </w:r>
          </w:p>
        </w:tc>
      </w:tr>
      <w:tr>
        <w:trPr>
          <w:trHeight w:val="21"/>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sales on a consolidated basis for select key products for the three months ended March 31,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Total</w:t>
            </w:r>
          </w:p>
        </w:tc>
      </w:tr>
      <w:tr>
        <w:trPr>
          <w:trHeight w:val="216"/>
        </w:trPr>
        <w:tc>
          <w:tcPr>
            <w:tcW w:w="9660" w:type="dxa"/>
            <w:vAlign w:val="bottom"/>
          </w:tcPr>
          <w:p>
            <w:pPr>
              <w:ind w:left="140"/>
              <w:spacing w:after="0"/>
              <w:rPr>
                <w:sz w:val="20"/>
                <w:szCs w:val="20"/>
                <w:color w:val="auto"/>
              </w:rPr>
            </w:pPr>
            <w:r>
              <w:rPr>
                <w:rFonts w:ascii="Arial" w:cs="Arial" w:eastAsia="Arial" w:hAnsi="Arial"/>
                <w:sz w:val="18"/>
                <w:szCs w:val="18"/>
                <w:b w:val="1"/>
                <w:bCs w:val="1"/>
                <w:color w:val="auto"/>
              </w:rPr>
              <w:t>Select Key Global Products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Lipitor ®</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r>
      <w:tr>
        <w:trPr>
          <w:trHeight w:val="229"/>
        </w:trPr>
        <w:tc>
          <w:tcPr>
            <w:tcW w:w="9660" w:type="dxa"/>
            <w:vAlign w:val="bottom"/>
          </w:tcPr>
          <w:p>
            <w:pPr>
              <w:ind w:left="140"/>
              <w:spacing w:after="0"/>
              <w:rPr>
                <w:sz w:val="20"/>
                <w:szCs w:val="20"/>
                <w:color w:val="auto"/>
              </w:rPr>
            </w:pPr>
            <w:r>
              <w:rPr>
                <w:rFonts w:ascii="Arial" w:cs="Arial" w:eastAsia="Arial" w:hAnsi="Arial"/>
                <w:sz w:val="18"/>
                <w:szCs w:val="18"/>
                <w:color w:val="auto"/>
              </w:rPr>
              <w:t>Norvasc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29"/>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Lyrica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color w:val="auto"/>
              </w:rPr>
              <w:t>Viagra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29"/>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EpiPen® Auto-Injectors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color w:val="auto"/>
              </w:rPr>
              <w:t>Celebrex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Effexor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29"/>
        </w:trPr>
        <w:tc>
          <w:tcPr>
            <w:tcW w:w="9660" w:type="dxa"/>
            <w:vAlign w:val="bottom"/>
          </w:tcPr>
          <w:p>
            <w:pPr>
              <w:ind w:left="140"/>
              <w:spacing w:after="0"/>
              <w:rPr>
                <w:sz w:val="20"/>
                <w:szCs w:val="20"/>
                <w:color w:val="auto"/>
              </w:rPr>
            </w:pPr>
            <w:r>
              <w:rPr>
                <w:rFonts w:ascii="Arial" w:cs="Arial" w:eastAsia="Arial" w:hAnsi="Arial"/>
                <w:sz w:val="18"/>
                <w:szCs w:val="18"/>
                <w:color w:val="auto"/>
              </w:rPr>
              <w:t>Zoloft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Creon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9660" w:type="dxa"/>
            <w:vAlign w:val="bottom"/>
          </w:tcPr>
          <w:p>
            <w:pPr>
              <w:ind w:left="140"/>
              <w:spacing w:after="0"/>
              <w:rPr>
                <w:sz w:val="20"/>
                <w:szCs w:val="20"/>
                <w:color w:val="auto"/>
              </w:rPr>
            </w:pPr>
            <w:r>
              <w:rPr>
                <w:rFonts w:ascii="Arial" w:cs="Arial" w:eastAsia="Arial" w:hAnsi="Arial"/>
                <w:sz w:val="18"/>
                <w:szCs w:val="18"/>
                <w:color w:val="auto"/>
              </w:rPr>
              <w:t>Xalabrands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16"/>
        </w:trPr>
        <w:tc>
          <w:tcPr>
            <w:tcW w:w="9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b w:val="1"/>
                <w:bCs w:val="1"/>
                <w:color w:val="auto"/>
              </w:rPr>
              <w:t>Select Key Segment Products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Amitiza ®</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color w:val="auto"/>
              </w:rPr>
              <w:t>Xanax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Dymista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color w:val="auto"/>
              </w:rPr>
              <w:t>Yupelri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69"/>
        </w:trPr>
        <w:tc>
          <w:tcPr>
            <w:tcW w:w="9660" w:type="dxa"/>
            <w:vAlign w:val="bottom"/>
          </w:tcPr>
          <w:p>
            <w:pPr>
              <w:spacing w:after="0"/>
              <w:rPr>
                <w:sz w:val="20"/>
                <w:szCs w:val="20"/>
                <w:color w:val="auto"/>
              </w:rPr>
            </w:pPr>
            <w:r>
              <w:rPr>
                <w:rFonts w:ascii="Arial" w:cs="Arial" w:eastAsia="Arial" w:hAnsi="Arial"/>
                <w:sz w:val="18"/>
                <w:szCs w:val="18"/>
                <w:color w:val="auto"/>
              </w:rPr>
              <w:t>____________</w:t>
            </w: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ind w:left="660" w:hanging="328"/>
        <w:spacing w:after="0" w:line="232" w:lineRule="auto"/>
        <w:tabs>
          <w:tab w:leader="none" w:pos="6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Company does not disclose net sales for any products considered competitively sensitive.</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Products disclosed may change in future periods, including as a result of seasonality, competition or new product introductions.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 and Accounts Receivable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three months ended March 31, 2021 and 2020, respectively:</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4,424.0</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Gross to net adjustments: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Chargebacks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Rebates, promotional programs and other sales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(845.6)</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Governmental rebate programs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gross to net adjustments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(1,835.8)</w:t>
            </w:r>
          </w:p>
        </w:tc>
      </w:tr>
      <w:tr>
        <w:trPr>
          <w:trHeight w:val="223"/>
        </w:trPr>
        <w:tc>
          <w:tcPr>
            <w:tcW w:w="870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No significant revisions were made to the methodology used in determining these provisions or the nature of the provisions during the three months ended March 31, 2021. Such allowances were comprised of the following at March 31, 2021 and December 31, 2020, respectively:</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March 31, 2021 and December 31, 2020, respectively:</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6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3,891.3</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4,843.8</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$114.5 million and $153.0 million of accounts receivable as of March 31, 2021 and December 31, 2020, respectively, under these factoring arrangements.</w:t>
      </w:r>
    </w:p>
    <w:p>
      <w:pPr>
        <w:spacing w:after="0" w:line="18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Adoption of New Accounting Standards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In January 2020, the FASB issued Accounting Standards Update 2020-01, </w:t>
      </w:r>
      <w:r>
        <w:rPr>
          <w:rFonts w:ascii="Arial" w:cs="Arial" w:eastAsia="Arial" w:hAnsi="Arial"/>
          <w:sz w:val="16"/>
          <w:szCs w:val="16"/>
          <w:i w:val="1"/>
          <w:iCs w:val="1"/>
          <w:color w:val="auto"/>
        </w:rPr>
        <w:t>Clarifying the Interactions Between Topic 321, Topic 323,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815 </w:t>
      </w:r>
      <w:r>
        <w:rPr>
          <w:rFonts w:ascii="Arial" w:cs="Arial" w:eastAsia="Arial" w:hAnsi="Arial"/>
          <w:sz w:val="16"/>
          <w:szCs w:val="16"/>
          <w:color w:val="auto"/>
        </w:rPr>
        <w:t>(“ASU 2020-01”)</w:t>
      </w:r>
      <w:r>
        <w:rPr>
          <w:rFonts w:ascii="Arial" w:cs="Arial" w:eastAsia="Arial" w:hAnsi="Arial"/>
          <w:sz w:val="16"/>
          <w:szCs w:val="16"/>
          <w:i w:val="1"/>
          <w:iCs w:val="1"/>
          <w:color w:val="auto"/>
        </w:rPr>
        <w:t xml:space="preserve">, </w:t>
      </w:r>
      <w:r>
        <w:rPr>
          <w:rFonts w:ascii="Arial" w:cs="Arial" w:eastAsia="Arial" w:hAnsi="Arial"/>
          <w:sz w:val="16"/>
          <w:szCs w:val="16"/>
          <w:color w:val="auto"/>
        </w:rPr>
        <w:t>which clarifies that an entity should consider observable transactions that require it to either apply or discontinue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for the purposes of applying the measurement alternative in accordance with Topic 321 immediately before applying or upon discontinuing the equity method. In addition, ASU 2020-01 states that for the purpose of applying paragraph 815-10-15-141(a)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ASU 2020-01 was effective for fiscal years, and interim periods within those fiscal years, beginning after December 15, 2020. The adoption of this guidance did not have a material impact on the Company’s condensed consolidated financial statements and disclosures.</w:t>
      </w:r>
    </w:p>
    <w:p>
      <w:pPr>
        <w:spacing w:after="0" w:line="16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December 2019, the FASB issued Accounting Standards Update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which is intended to simplify the accounting for income taxes by eliminating certain exceptions and simplifying certain requirements under Topic 740. ASU 2019-12 was effective for fiscal years, and interim periods within those fiscal years, beginning after December 15, 2020. ASU 2019-12 includes an update to previous guidance in situations in which an entity incurs a loss on a year-to-date basis that exceeds the anticipated loss for the year. In these situations, previous guidance stipulated that the income tax benefit was limited to the income tax that would exist on the basis of the year-to-date loss. This represented an exception to the guidance in ASC 740-270, and the provisions of ASU 2019-12 include the elimination of this exception which applied to the financial results of the three months ended March 31, 2021. The Company has applied the provisions of ASU 2019-12 on a prospective basis beginning January 1, 2021. The adoption of this guidance did not have a material impact on the Company’s condensed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Standard Issued Not Yet Adopted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recently issued accounting standard has not been adopted. Refer to Viatris’ 2020 Form 10-K for additional information and its potential impacts.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740" w:type="dxa"/>
            <w:vAlign w:val="bottom"/>
            <w:tcBorders>
              <w:top w:val="single" w:sz="8" w:color="auto"/>
              <w:left w:val="single" w:sz="8" w:color="auto"/>
              <w:bottom w:val="single" w:sz="8" w:color="auto"/>
              <w:right w:val="single" w:sz="8" w:color="auto"/>
            </w:tcBorders>
          </w:tcPr>
          <w:p>
            <w:pPr>
              <w:ind w:left="3740"/>
              <w:spacing w:after="0"/>
              <w:rPr>
                <w:sz w:val="20"/>
                <w:szCs w:val="20"/>
                <w:color w:val="auto"/>
              </w:rPr>
            </w:pPr>
            <w:r>
              <w:rPr>
                <w:rFonts w:ascii="Arial" w:cs="Arial" w:eastAsia="Arial" w:hAnsi="Arial"/>
                <w:sz w:val="18"/>
                <w:szCs w:val="18"/>
                <w:b w:val="1"/>
                <w:bCs w:val="1"/>
                <w:color w:val="auto"/>
              </w:rPr>
              <w:t>Accounting Standard Update</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Effective Date</w:t>
            </w:r>
          </w:p>
        </w:tc>
      </w:tr>
      <w:tr>
        <w:trPr>
          <w:trHeight w:val="223"/>
        </w:trPr>
        <w:tc>
          <w:tcPr>
            <w:tcW w:w="9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 xml:space="preserve">ASU 2020-04: </w:t>
            </w:r>
            <w:r>
              <w:rPr>
                <w:rFonts w:ascii="Arial" w:cs="Arial" w:eastAsia="Arial" w:hAnsi="Arial"/>
                <w:sz w:val="18"/>
                <w:szCs w:val="18"/>
                <w:i w:val="1"/>
                <w:iCs w:val="1"/>
                <w:color w:val="auto"/>
                <w:w w:val="96"/>
              </w:rPr>
              <w:t>Reference Rate Reform (Topic 848) Facilitation of the Effects of Reference Rate Reform on Financial Reporting</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January 1, 2023</w:t>
            </w:r>
          </w:p>
        </w:tc>
      </w:tr>
    </w:tbl>
    <w:p>
      <w:pPr>
        <w:spacing w:after="0" w:line="292" w:lineRule="exact"/>
        <w:rPr>
          <w:sz w:val="20"/>
          <w:szCs w:val="20"/>
          <w:color w:val="auto"/>
        </w:rPr>
      </w:pPr>
    </w:p>
    <w:p>
      <w:pPr>
        <w:ind w:left="340" w:right="7800" w:hanging="332"/>
        <w:spacing w:after="0" w:line="603" w:lineRule="auto"/>
        <w:tabs>
          <w:tab w:leader="none" w:pos="34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Other Transactions </w:t>
      </w:r>
      <w:r>
        <w:rPr>
          <w:rFonts w:ascii="Arial" w:cs="Arial" w:eastAsia="Arial" w:hAnsi="Arial"/>
          <w:sz w:val="15"/>
          <w:szCs w:val="15"/>
          <w:b w:val="1"/>
          <w:bCs w:val="1"/>
          <w:i w:val="1"/>
          <w:iCs w:val="1"/>
          <w:color w:val="auto"/>
        </w:rPr>
        <w:t>Upjohn Business Combination Agreement</w:t>
      </w:r>
    </w:p>
    <w:p>
      <w:pPr>
        <w:spacing w:after="0" w:line="1" w:lineRule="exact"/>
        <w:rPr>
          <w:sz w:val="20"/>
          <w:szCs w:val="20"/>
          <w:color w:val="auto"/>
        </w:rPr>
      </w:pPr>
    </w:p>
    <w:p>
      <w:pPr>
        <w:jc w:val="both"/>
        <w:ind w:right="380" w:firstLine="648"/>
        <w:spacing w:after="0" w:line="301" w:lineRule="auto"/>
        <w:rPr>
          <w:sz w:val="20"/>
          <w:szCs w:val="20"/>
          <w:color w:val="auto"/>
        </w:rPr>
      </w:pPr>
      <w:r>
        <w:rPr>
          <w:rFonts w:ascii="Arial" w:cs="Arial" w:eastAsia="Arial" w:hAnsi="Arial"/>
          <w:sz w:val="16"/>
          <w:szCs w:val="16"/>
          <w:color w:val="auto"/>
        </w:rPr>
        <w:t>On July 29, 2019, Mylan, Pfizer, Upjohn Inc., a wholly-owned subsidiary of Pfizer, and certain other affiliated entities entered into a Business Combination Agreement pursuant to which the Company would combine with the Upjohn Business in a Reverse Morris Trust transaction. The Upjohn Business was a global, primarily off-patent branded and generic established medicines business, which includes 20 primarily off-patent solid oral dose legacy brands, such as Lyrica, Lipitor, Celebrex and Viagra. The Combination was completed on November 16, 2020.</w:t>
      </w:r>
    </w:p>
    <w:p>
      <w:pPr>
        <w:spacing w:after="0" w:line="15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Prior to the Combination and pursuant to a Separation and Distribution Agreement, Pfizer had, among other things, transferred to Viatris substantially all of the assets and liabilities comprising the Upjohn Business (the Separation) and, thereafter, Pfizer had distributed to Pfizer stockholders all of the issued and outstanding shares of Viatris (the Distribution). When the Distribution and Combination were complete, Pfizer stockholders as of the record date of the Distribution owned 57% of the outstanding shares of Viatris common stock and Mylan shareholders as of immediately before the Combination owned 43% of the outstanding shares of Viatris common stock, in each case on a fully diluted basis. Viatris also made a cash payment to Pfizer equal to $12 billion, which was funded with the proceeds of debt incurred by Upjohn prior to the Combination.</w:t>
      </w:r>
    </w:p>
    <w:p>
      <w:pPr>
        <w:spacing w:after="0" w:line="19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The transaction involved multiple legal entity restructuring transactions and a reverse merger acquisition with Viatris representing the legal acquirer and Mylan representing the accounting acquirer of the Upjohn Business. In accordance with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Mylan is considered the accounting acquirer of the Upjohn Business and Viatris applied purchase accounting to the acquired assets and assumed liabilities of the Upjohn Business as of November 16, 2020. The debt incurred by Upjohn prior to the Combination was a liability assumed in purchase accounting. The fair value of the debt as of November 16, 2020 was $13.08 billion.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purchase price consists of the issuance of approximately 689.9 million Viatris shares of common stock at a fair value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$10.73 billion based on the closing price of Mylan’s ordinary shares on November 13, 2020, as reported by the NASDAQ. In accordance with U.S. GAAP,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acquisition method of accounting to account for this transaction. Under the acquisition method of accounting, the assets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assumed in the transaction have been recorded at their respective estimated fair values at the acquisition date. Acquisition related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$602.9 million were incurred during the twelve months ended December 31, 2020, and approximately $59.8 million were incurred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31, 2021. Acquisition related costs were recorded primarily in SG&amp;A in the consolidated statements of operations for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During the three months ended March 31, 2021, adjustments were made to the preliminary purchase price recorded at November 16, 2020. These adjustments are reflected in the values presented below. The preliminary allocation of the $10.73 billion purchase price to the assets acquired and liabilities assumed under the Combination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Preliminary Purchase Price</w:t>
            </w:r>
          </w:p>
        </w:tc>
        <w:tc>
          <w:tcPr>
            <w:tcW w:w="120" w:type="dxa"/>
            <w:vAlign w:val="bottom"/>
          </w:tcPr>
          <w:p>
            <w:pPr>
              <w:spacing w:after="0"/>
              <w:rPr>
                <w:sz w:val="14"/>
                <w:szCs w:val="14"/>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Measurement Period and</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Preliminary Purchase Price</w:t>
            </w:r>
          </w:p>
        </w:tc>
        <w:tc>
          <w:tcPr>
            <w:tcW w:w="0" w:type="dxa"/>
            <w:vAlign w:val="bottom"/>
          </w:tcPr>
          <w:p>
            <w:pPr>
              <w:spacing w:after="0"/>
              <w:rPr>
                <w:sz w:val="1"/>
                <w:szCs w:val="1"/>
                <w:color w:val="auto"/>
              </w:rPr>
            </w:pPr>
          </w:p>
        </w:tc>
      </w:tr>
      <w:tr>
        <w:trPr>
          <w:trHeight w:val="135"/>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Allocation as of December</w:t>
            </w:r>
          </w:p>
        </w:tc>
        <w:tc>
          <w:tcPr>
            <w:tcW w:w="1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Allocation as of March 31,</w:t>
            </w:r>
          </w:p>
        </w:tc>
        <w:tc>
          <w:tcPr>
            <w:tcW w:w="0" w:type="dxa"/>
            <w:vAlign w:val="bottom"/>
          </w:tcPr>
          <w:p>
            <w:pPr>
              <w:spacing w:after="0"/>
              <w:rPr>
                <w:sz w:val="1"/>
                <w:szCs w:val="1"/>
                <w:color w:val="auto"/>
              </w:rPr>
            </w:pPr>
          </w:p>
        </w:tc>
      </w:tr>
      <w:tr>
        <w:trPr>
          <w:trHeight w:val="189"/>
        </w:trPr>
        <w:tc>
          <w:tcPr>
            <w:tcW w:w="5600" w:type="dxa"/>
            <w:vAlign w:val="bottom"/>
            <w:vMerge w:val="continue"/>
          </w:tcPr>
          <w:p>
            <w:pPr>
              <w:spacing w:after="0"/>
              <w:rPr>
                <w:sz w:val="16"/>
                <w:szCs w:val="16"/>
                <w:color w:val="auto"/>
              </w:rPr>
            </w:pPr>
          </w:p>
        </w:tc>
        <w:tc>
          <w:tcPr>
            <w:tcW w:w="1060" w:type="dxa"/>
            <w:vAlign w:val="bottom"/>
          </w:tcPr>
          <w:p>
            <w:pPr>
              <w:ind w:left="560"/>
              <w:spacing w:after="0"/>
              <w:rPr>
                <w:sz w:val="20"/>
                <w:szCs w:val="20"/>
                <w:color w:val="auto"/>
              </w:rPr>
            </w:pPr>
            <w:r>
              <w:rPr>
                <w:rFonts w:ascii="Arial" w:cs="Arial" w:eastAsia="Arial" w:hAnsi="Arial"/>
                <w:sz w:val="14"/>
                <w:szCs w:val="14"/>
                <w:b w:val="1"/>
                <w:bCs w:val="1"/>
                <w:color w:val="auto"/>
                <w:w w:val="88"/>
              </w:rPr>
              <w:t>31, 2020</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w:t>
            </w:r>
          </w:p>
        </w:tc>
        <w:tc>
          <w:tcPr>
            <w:tcW w:w="120" w:type="dxa"/>
            <w:vAlign w:val="bottom"/>
          </w:tcPr>
          <w:p>
            <w:pPr>
              <w:spacing w:after="0"/>
              <w:rPr>
                <w:sz w:val="16"/>
                <w:szCs w:val="16"/>
                <w:color w:val="auto"/>
              </w:rPr>
            </w:pPr>
          </w:p>
        </w:tc>
        <w:tc>
          <w:tcPr>
            <w:tcW w:w="176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2"/>
              </w:rPr>
              <w:t xml:space="preserve">Other Adjustments </w:t>
            </w:r>
            <w:r>
              <w:rPr>
                <w:rFonts w:ascii="Arial" w:cs="Arial" w:eastAsia="Arial" w:hAnsi="Arial"/>
                <w:sz w:val="18"/>
                <w:szCs w:val="18"/>
                <w:b w:val="1"/>
                <w:bCs w:val="1"/>
                <w:color w:val="auto"/>
                <w:w w:val="92"/>
                <w:vertAlign w:val="superscript"/>
              </w:rPr>
              <w:t>(b)</w:t>
            </w:r>
          </w:p>
        </w:tc>
        <w:tc>
          <w:tcPr>
            <w:tcW w:w="220" w:type="dxa"/>
            <w:vAlign w:val="bottom"/>
          </w:tcPr>
          <w:p>
            <w:pPr>
              <w:spacing w:after="0"/>
              <w:rPr>
                <w:sz w:val="16"/>
                <w:szCs w:val="16"/>
                <w:color w:val="auto"/>
              </w:rPr>
            </w:pPr>
          </w:p>
        </w:tc>
        <w:tc>
          <w:tcPr>
            <w:tcW w:w="1560" w:type="dxa"/>
            <w:vAlign w:val="bottom"/>
          </w:tcPr>
          <w:p>
            <w:pPr>
              <w:jc w:val="center"/>
              <w:ind w:right="131"/>
              <w:spacing w:after="0"/>
              <w:rPr>
                <w:sz w:val="20"/>
                <w:szCs w:val="20"/>
                <w:color w:val="auto"/>
              </w:rPr>
            </w:pPr>
            <w:r>
              <w:rPr>
                <w:rFonts w:ascii="Arial" w:cs="Arial" w:eastAsia="Arial" w:hAnsi="Arial"/>
                <w:sz w:val="14"/>
                <w:szCs w:val="14"/>
                <w:b w:val="1"/>
                <w:bCs w:val="1"/>
                <w:color w:val="auto"/>
                <w:w w:val="90"/>
              </w:rPr>
              <w:t>2021 (as adjusted)</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(excluding inventories and net of cash acquired)</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2,588.9</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18,040.0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18,040.0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1,719.6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23"/>
        </w:trPr>
        <w:tc>
          <w:tcPr>
            <w:tcW w:w="5600" w:type="dxa"/>
            <w:vAlign w:val="bottom"/>
          </w:tcPr>
          <w:p>
            <w:pPr>
              <w:ind w:left="240"/>
              <w:spacing w:after="0"/>
              <w:rPr>
                <w:sz w:val="20"/>
                <w:szCs w:val="20"/>
                <w:color w:val="auto"/>
              </w:rPr>
            </w:pPr>
            <w:r>
              <w:rPr>
                <w:rFonts w:ascii="Arial" w:cs="Arial" w:eastAsia="Arial" w:hAnsi="Arial"/>
                <w:sz w:val="18"/>
                <w:szCs w:val="18"/>
                <w:color w:val="auto"/>
              </w:rPr>
              <w:t>Total assets acquired</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29,246.4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29,334.9</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2,848.6</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13,076.2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13,076.2</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1,441.6</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 (net of $415.8 of cash acquired)</w:t>
            </w: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660" w:hanging="328"/>
        <w:spacing w:after="0" w:line="204" w:lineRule="auto"/>
        <w:tabs>
          <w:tab w:leader="none" w:pos="6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As previously reported in Viatris’ 2020 Form 10-K.</w:t>
      </w:r>
    </w:p>
    <w:p>
      <w:pPr>
        <w:spacing w:after="0" w:line="43" w:lineRule="exact"/>
        <w:rPr>
          <w:rFonts w:ascii="Arial" w:cs="Arial" w:eastAsia="Arial" w:hAnsi="Arial"/>
          <w:sz w:val="23"/>
          <w:szCs w:val="23"/>
          <w:color w:val="auto"/>
          <w:vertAlign w:val="superscript"/>
        </w:rPr>
      </w:pPr>
    </w:p>
    <w:p>
      <w:pPr>
        <w:jc w:val="both"/>
        <w:ind w:left="660" w:hanging="328"/>
        <w:spacing w:after="0" w:line="222"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measurement period adjustments are primarily for 1) certain working capital adjustments and an increase in litigation reserves to reflect facts and circumstances that existed as of the date of the Combination and 2) the tax implications of these and other adjustments. These adjustments did not have a significant impact on the Company’s previously reported consolidated financial statements and accordingly, the Company has not retrospectively adjusted those consolidated financial statements.</w:t>
      </w:r>
    </w:p>
    <w:p>
      <w:pPr>
        <w:spacing w:after="0" w:line="191"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working capital components, the valuation of intangible and tangible assets and income taxes.</w:t>
      </w:r>
    </w:p>
    <w:p>
      <w:pPr>
        <w:spacing w:after="0" w:line="188"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The Company recorded a step-up in the fair value of inventory of approximately $1.43 billion. During the three months ended March 31, 2021, the Company recorded amortization of the inventory step-up of approximately $476.4 million, which is included in cost of sales in the condensed consolidated statements of operations. In addition, during the year ended December 31, 2020, a step-up in the fair value of property, plant and equipment of approximately $390.0 million was recognized. The related depreciation is being expensed over a service life of five years for machinery and equipment and between 10 and 20 years for buildings.</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identified intangible assets of $18.04 billion are comprised of product rights and are being amortized over a weighted average useful life of 15 years. Significant assumptions utilized in the valuation of identified intangible assets were based on company specific information and projections which are not observable in the market and are thus considered Level 3 measurements as defined by U.S. GAAP. The goodwill of $1.96 billion arising from the Combination consisted largely of the value of the employee workforce and products to be sold in new markets leveraging the combined entity. In addition, an allocation of the goodwill was assigned to the respective segments. None of the goodwill recognized in this transaction is expected to be deductible for income tax purposes.</w:t>
      </w:r>
    </w:p>
    <w:p>
      <w:pPr>
        <w:spacing w:after="0" w:line="189"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Company recorded a fair value adjustment of approximately $759.4 million related to the long-term debt assumed as part of the acquisition. The fair value of long-term debt as of the Combination date was determined by broker or dealer quotations, which is classified as Level 2 in the fair value hierarchy. The total fair value adjustment is being amortized as a reduction to interest expense over the maturity dates of the related debt instruments.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Financial Results</w:t>
      </w:r>
    </w:p>
    <w:p>
      <w:pPr>
        <w:spacing w:after="0" w:line="212" w:lineRule="exact"/>
        <w:rPr>
          <w:sz w:val="20"/>
          <w:szCs w:val="20"/>
          <w:color w:val="auto"/>
        </w:rPr>
      </w:pPr>
    </w:p>
    <w:p>
      <w:pPr>
        <w:ind w:right="300" w:firstLine="648"/>
        <w:spacing w:after="0" w:line="276" w:lineRule="auto"/>
        <w:rPr>
          <w:sz w:val="20"/>
          <w:szCs w:val="20"/>
          <w:color w:val="auto"/>
        </w:rPr>
      </w:pPr>
      <w:r>
        <w:rPr>
          <w:rFonts w:ascii="Arial" w:cs="Arial" w:eastAsia="Arial" w:hAnsi="Arial"/>
          <w:sz w:val="16"/>
          <w:szCs w:val="16"/>
          <w:color w:val="auto"/>
        </w:rPr>
        <w:t>The following table presents supplemental unaudited pro forma information for the Combination, as if it had occurred on January 1, 2019. The unaudited pro forma results reflect certain adjustments related to past operating performance and acquisition accounting adjustments, such as increased depreciation and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Combination.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5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4,439.4</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60" w:type="dxa"/>
            <w:vAlign w:val="bottom"/>
          </w:tcPr>
          <w:p>
            <w:pPr>
              <w:ind w:left="20"/>
              <w:spacing w:after="0" w:line="203" w:lineRule="exact"/>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9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6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Incentive Plan</w:t>
      </w:r>
    </w:p>
    <w:p>
      <w:pPr>
        <w:spacing w:after="0" w:line="229" w:lineRule="exact"/>
        <w:rPr>
          <w:sz w:val="20"/>
          <w:szCs w:val="20"/>
          <w:color w:val="auto"/>
        </w:rPr>
      </w:pPr>
    </w:p>
    <w:p>
      <w:pPr>
        <w:ind w:right="320" w:firstLine="648"/>
        <w:spacing w:after="0" w:line="271" w:lineRule="auto"/>
        <w:rPr>
          <w:sz w:val="20"/>
          <w:szCs w:val="20"/>
          <w:color w:val="auto"/>
        </w:rPr>
      </w:pPr>
      <w:r>
        <w:rPr>
          <w:rFonts w:ascii="Arial" w:cs="Arial" w:eastAsia="Arial" w:hAnsi="Arial"/>
          <w:sz w:val="17"/>
          <w:szCs w:val="17"/>
          <w:color w:val="auto"/>
        </w:rPr>
        <w:t>Prior to the Distribution, Viatris adopted and Pfizer, in the capacity as Viatris’ sole stockholder at such time approved the Plan which became effective as of the Distribution. In connection with the Combination, as of November 16, 2020, the Company assumed the Mylan N.V. Amended and Restated 2003 Long-Term Incentive Plan, which had previously been approved by Mylan shareholders. The Plan and 2003 LTIP include (i) 72,500,000 shares of common stock authorized for grant pursuant to the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SAR (together, “stock awards”) activity under the Plan and 2003 LTIP: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Stock</w:t>
            </w:r>
          </w:p>
        </w:tc>
        <w:tc>
          <w:tcPr>
            <w:tcW w:w="1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(806,251)</w:t>
            </w:r>
          </w:p>
        </w:tc>
        <w:tc>
          <w:tcPr>
            <w:tcW w:w="40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5,905,480</w:t>
            </w:r>
          </w:p>
        </w:tc>
        <w:tc>
          <w:tcPr>
            <w:tcW w:w="4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March 31, 2021</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line="20" w:lineRule="exact"/>
              <w:rPr>
                <w:sz w:val="1"/>
                <w:szCs w:val="1"/>
                <w:color w:val="auto"/>
              </w:rPr>
            </w:pPr>
          </w:p>
        </w:tc>
      </w:tr>
      <w:tr>
        <w:trPr>
          <w:trHeight w:val="204"/>
        </w:trPr>
        <w:tc>
          <w:tcPr>
            <w:tcW w:w="852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5,789,718</w:t>
            </w:r>
          </w:p>
        </w:tc>
        <w:tc>
          <w:tcPr>
            <w:tcW w:w="4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5,109,921</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As of March 31, 2021, stock awards outstanding, stock awards vested and expected to vest and stock awards exercisable had average remaining contractual terms of 5.3 years, 5.3 years and 4.9 years, respectively. Also, at March 31, 2021, stock awards outstanding, stock awards vested and expected to vest and stock awards exercisable had no aggregate intrinsic values.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the status of the Company’s restricted stock awards as of March 31, 2021 and the changes during the three months ended March 31, 2021 are presented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9,046,055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18,780,730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March 31, 2021, the Company had $232.6 million of total unrecognized compensation expense, net of estimated forfeitures, related to all of its stock-based awards, which we expect to recognize over the remaining weighted average vesting period of 2.1 years. The total intrinsic value of stock awards exercised and restricted stock units released during the three months ended March 31, 2021 and 2020 was $30.8 million and $19.0 million, respectively.</w:t>
      </w:r>
    </w:p>
    <w:p>
      <w:pPr>
        <w:spacing w:after="0" w:line="18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8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8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connection with the Combination, the Company assumed certain post retirement defined benefit pension plans sponsored by Upjohn. The most significant plans include those in Puerto Rico, Ireland and Japan. Upjohn is also the sponsor of one postretirement medical plan in Puerto Rico. As part of the acquisition accounting, the Company has recorded the fair value of these plans using assumptions and accounting policies consistent with those historically utilized by Mylan. Upon completion of the Combination, the excess of projected benefit obligation over the plan assets was recognized as a liability and any existing unrecognized actuarial gains or losses and unrecognized service costs or benefits were eliminated in purchase accounting.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three months ended March 31, 2021 and 2020 were as follows:</w:t>
      </w:r>
    </w:p>
    <w:p>
      <w:pPr>
        <w:spacing w:after="0" w:line="126"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Pension and Other Postretirement</w:t>
      </w:r>
    </w:p>
    <w:p>
      <w:pPr>
        <w:jc w:val="center"/>
        <w:ind w:left="8660"/>
        <w:spacing w:after="0"/>
        <w:rPr>
          <w:sz w:val="20"/>
          <w:szCs w:val="20"/>
          <w:color w:val="auto"/>
        </w:rPr>
      </w:pPr>
      <w:r>
        <w:rPr>
          <w:rFonts w:ascii="Arial" w:cs="Arial" w:eastAsia="Arial" w:hAnsi="Arial"/>
          <w:sz w:val="14"/>
          <w:szCs w:val="14"/>
          <w:b w:val="1"/>
          <w:bCs w:val="1"/>
          <w:color w:val="auto"/>
        </w:rPr>
        <w:t>Benefits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The Company is making the minimum mandatory contributions to its defined benefit pension plans in the U.S. and Puerto Rico for the 2021 plan year. The Company expects to make total benefit payments of approximately $118.9 million from pension and other postretirement benefit plans in 2021. The Company anticipates making contributions to pension and other postretirement benefit plans of approximately $72.4 million in 2021.</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400" w:type="dxa"/>
            <w:vAlign w:val="bottom"/>
          </w:tcPr>
          <w:p>
            <w:pPr>
              <w:jc w:val="center"/>
              <w:ind w:left="3108"/>
              <w:spacing w:after="0"/>
              <w:rPr>
                <w:sz w:val="20"/>
                <w:szCs w:val="20"/>
                <w:color w:val="auto"/>
              </w:rPr>
            </w:pPr>
            <w:r>
              <w:rPr>
                <w:rFonts w:ascii="Arial" w:cs="Arial" w:eastAsia="Arial" w:hAnsi="Arial"/>
                <w:sz w:val="14"/>
                <w:szCs w:val="14"/>
                <w:b w:val="1"/>
                <w:bCs w:val="1"/>
                <w:color w:val="auto"/>
                <w:w w:val="95"/>
              </w:rPr>
              <w:t>March 31,</w:t>
            </w: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440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22"/>
                <w:szCs w:val="22"/>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88"/>
        </w:trPr>
        <w:tc>
          <w:tcPr>
            <w:tcW w:w="74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Available-for-sale fixed income securities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financial instruments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b w:val="1"/>
                <w:bCs w:val="1"/>
                <w:color w:val="auto"/>
              </w:rPr>
              <w:t>Prepaid expenses and other current assets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consist primarily of prepaid rent, insurance and other individually insignificant items.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clean energy investments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allowances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Legal and professional accruals, including litigation accruals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 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 clean energy investments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Fair value of financial instruments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Other current liabilities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obligations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items, including contingencies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Summarized financial information, in the aggregate, for the Company’s three equity method, clean energy investments on a 100% basis for the three months ended March 31, 2021 and 2020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194"/>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non-operating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Company’s net losses from its equity method investments include amortization expense related to the excess of the cost basis of the Company’s investment over the underlying assets of each individual investee. For the three months ended March 31, 2021 and 2020, the Company recognized net losses from equity method investments of $17.9 million and $17.3 million, respectively, which were recognized as a component of other expense, net in the condensed consolidated statements of operations. The Company recognizes the income tax credits and benefits from the clean energy investments as part of its provision for income taxes.</w:t>
      </w:r>
    </w:p>
    <w:p>
      <w:pPr>
        <w:spacing w:after="0" w:line="18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Basic (loss) earnings per share is computed by dividing net (loss) earnings by the weighted average number of shares outstanding during the period. Diluted (loss) earnings per share is computed by dividing net (loss) earnings by the weighted average number of shares outstanding during the period increased by the number of additional shares that would have been outstanding related to potentially dilutive securities or instruments, if the impact is dilutive.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(loss) earnings per share attributable to Viatris Inc.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11"/>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earnings attributable to Viatris Inc. common shareholders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680" w:type="dxa"/>
            <w:vAlign w:val="bottom"/>
          </w:tcPr>
          <w:p>
            <w:pPr>
              <w:ind w:left="220"/>
              <w:spacing w:after="0"/>
              <w:rPr>
                <w:sz w:val="20"/>
                <w:szCs w:val="20"/>
                <w:color w:val="auto"/>
              </w:rPr>
            </w:pPr>
            <w:r>
              <w:rPr>
                <w:rFonts w:ascii="Arial" w:cs="Arial" w:eastAsia="Arial" w:hAnsi="Arial"/>
                <w:sz w:val="18"/>
                <w:szCs w:val="18"/>
                <w:color w:val="auto"/>
              </w:rPr>
              <w:t>Net (loss) earnings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8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 (loss) earnings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earnings attributable to Viatris Inc. common shareholders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680" w:type="dxa"/>
            <w:vAlign w:val="bottom"/>
          </w:tcPr>
          <w:p>
            <w:pPr>
              <w:ind w:left="220"/>
              <w:spacing w:after="0"/>
              <w:rPr>
                <w:sz w:val="20"/>
                <w:szCs w:val="20"/>
                <w:color w:val="auto"/>
              </w:rPr>
            </w:pPr>
            <w:r>
              <w:rPr>
                <w:rFonts w:ascii="Arial" w:cs="Arial" w:eastAsia="Arial" w:hAnsi="Arial"/>
                <w:sz w:val="18"/>
                <w:szCs w:val="18"/>
                <w:color w:val="auto"/>
              </w:rPr>
              <w:t>Net (loss) earnings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8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868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516.4</w:t>
            </w:r>
          </w:p>
        </w:tc>
      </w:tr>
      <w:tr>
        <w:trPr>
          <w:trHeight w:val="22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 and warrants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Total dilutive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517.0</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(loss) earnings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Additional stock awards and restricted stock awards were outstanding during the three months ended March 31, 2021 and 2020, but were not included in the computation of diluted earnings per share for each respective period because the effect would be anti-dilutive. Excluded shares at March 31, 2021 include certain share-based compensation awards whose performance conditions had not been fully met. Such excluded shares and anti-dilutive awards represented 10.9 million shares and 9.6 million shares for the three months ended March 31, 2021 and 2020, respectively.</w:t>
      </w:r>
    </w:p>
    <w:p>
      <w:pPr>
        <w:spacing w:after="0" w:line="17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May 7, 2021, the Company’s Board of Directors declared a quarterly cash dividend of $0.11 per share on the Company’s issued and outstanding common stock. The cash dividend will be payable on June 16, 2021 to shareholders of record as of the close of business on May 24, 2021.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Developed</w:t>
            </w:r>
          </w:p>
        </w:tc>
        <w:tc>
          <w:tcPr>
            <w:tcW w:w="12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Greater China</w:t>
            </w:r>
          </w:p>
        </w:tc>
        <w:tc>
          <w:tcPr>
            <w:tcW w:w="26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JANZ</w:t>
            </w: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Emerging Markets</w:t>
            </w:r>
          </w:p>
        </w:tc>
        <w:tc>
          <w:tcPr>
            <w:tcW w:w="280" w:type="dxa"/>
            <w:vAlign w:val="bottom"/>
          </w:tcPr>
          <w:p>
            <w:pPr>
              <w:spacing w:after="0"/>
              <w:rPr>
                <w:sz w:val="14"/>
                <w:szCs w:val="1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9,569.5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738.3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864.0</w:t>
            </w:r>
          </w:p>
        </w:tc>
        <w:tc>
          <w:tcPr>
            <w:tcW w:w="16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12,732.0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impairment losses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9,184.5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12,347.0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Measurement period adjustments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12,292.3</w:t>
            </w: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components at March 31, 2021 and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Original Cost</w:t>
            </w: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88"/>
        </w:trPr>
        <w:tc>
          <w:tcPr>
            <w:tcW w:w="6040" w:type="dxa"/>
            <w:vAlign w:val="bottom"/>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39,648.8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11,239.9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28,408.9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39,729.5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11,239.9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28,489.6</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2020</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40,404.1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10,801.6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29,602.5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40,484.8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10,801.6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29,683.2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amortizable intangible assets. Other intangible assets consists principally of customer lists and contractual rights.</w:t>
      </w:r>
    </w:p>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Amortization expense, which is classified primarily within cost of sales in the condensed consolidated statements of operations for the three months ended March 31, 2021 and 2020 totaled: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r>
      <w:tr>
        <w:trPr>
          <w:trHeight w:val="194"/>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4"/>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r>
      <w:tr>
        <w:trPr>
          <w:trHeight w:val="230"/>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 impairment charges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 amortization expense (including impairment charges)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On April 30, 2021, the Company completed an agreement to divest a group of OTC products in the U.S. As a result of this transaction, the Company recognized an intangible asset impairment charge of approximately $83.4 million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 amortization expense over the remainder of 2021 and for the years ended December 31, 2022 through 2025 is estimated to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2022</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2,603</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2024</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 and Risk Management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condensed consolidated balance sheets. Any gains or losses on the foreign exchange forward contracts are recognized in earnings in the period incurred in the condensed consolidated statements of operations.</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These contracts are designated as cash flow hedges to manage foreign currency transaction risk and are measured at fair value and reported as current assets or current liabilities on the condensed consolidated balance sheets. Any changes in the fair value of designated cash flow hedges are deferred in AOCE and are reclassified into earnings when the hedged item impacts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Company has designated certain Euro borrowings as a hedge of its investment in certain Euro-functional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borrowings not designated as net investment hedges through certain Euro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the principal amounts of the Company’s outstanding Euro borrowings and the notional amounts of the Euro borrowings designated as net investment hedges: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2"/>
              </w:rPr>
              <w:t>Notional Amount Designated as a Net</w:t>
            </w: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Investment Hedge</w:t>
            </w:r>
          </w:p>
        </w:tc>
        <w:tc>
          <w:tcPr>
            <w:tcW w:w="0" w:type="dxa"/>
            <w:vAlign w:val="bottom"/>
          </w:tcPr>
          <w:p>
            <w:pPr>
              <w:spacing w:after="0"/>
              <w:rPr>
                <w:sz w:val="1"/>
                <w:szCs w:val="1"/>
                <w:color w:val="auto"/>
              </w:rPr>
            </w:pPr>
          </w:p>
        </w:tc>
      </w:tr>
      <w:tr>
        <w:trPr>
          <w:trHeight w:val="144"/>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Principal Amount</w:t>
            </w:r>
          </w:p>
        </w:tc>
        <w:tc>
          <w:tcPr>
            <w:tcW w:w="140" w:type="dxa"/>
            <w:vAlign w:val="bottom"/>
          </w:tcPr>
          <w:p>
            <w:pPr>
              <w:spacing w:after="0"/>
              <w:rPr>
                <w:sz w:val="12"/>
                <w:szCs w:val="12"/>
                <w:color w:val="auto"/>
              </w:rPr>
            </w:pPr>
          </w:p>
        </w:tc>
        <w:tc>
          <w:tcPr>
            <w:tcW w:w="124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100" w:type="dxa"/>
            <w:vAlign w:val="bottom"/>
          </w:tcPr>
          <w:p>
            <w:pPr>
              <w:jc w:val="right"/>
              <w:ind w:right="133"/>
              <w:spacing w:after="0" w:line="14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71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2.250% Euro Senior Notes due 2024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3.125% Euro Senior Notes due 2028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2.125% Euro Senior Notes due 2025</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0.816% Euro Senior Notes due 2022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1.023% Euro Senior Notes due 2024</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1.362% Euro Senior Notes due 2027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1.908% Euro Senior Notes due 2032</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8"/>
        </w:trPr>
        <w:tc>
          <w:tcPr>
            <w:tcW w:w="71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classification and fair values of derivative instruments in our condensed consolidated balance sheets: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20" w:type="dxa"/>
            <w:vAlign w:val="bottom"/>
          </w:tcPr>
          <w:p>
            <w:pPr>
              <w:spacing w:after="0"/>
              <w:rPr>
                <w:sz w:val="17"/>
                <w:szCs w:val="17"/>
                <w:color w:val="auto"/>
              </w:rPr>
            </w:pPr>
          </w:p>
        </w:tc>
        <w:tc>
          <w:tcPr>
            <w:tcW w:w="2620" w:type="dxa"/>
            <w:vAlign w:val="bottom"/>
            <w:tcBorders>
              <w:top w:val="single" w:sz="8" w:color="auto"/>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Liability Derivatives</w:t>
            </w: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4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Balance Sheet</w:t>
            </w: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Balance Sheet Location</w:t>
            </w:r>
          </w:p>
        </w:tc>
        <w:tc>
          <w:tcPr>
            <w:tcW w:w="14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2021 Fair</w:t>
            </w: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5"/>
              </w:rPr>
              <w:t>2021 Fair</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2020 Fair Value</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Location</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2020 Fair Value</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1660" w:type="dxa"/>
            <w:vAlign w:val="bottom"/>
            <w:vMerge w:val="restart"/>
          </w:tcPr>
          <w:p>
            <w:pPr>
              <w:ind w:left="20"/>
              <w:spacing w:after="0"/>
              <w:rPr>
                <w:sz w:val="20"/>
                <w:szCs w:val="20"/>
                <w:color w:val="auto"/>
              </w:rPr>
            </w:pPr>
            <w:r>
              <w:rPr>
                <w:rFonts w:ascii="Arial" w:cs="Arial" w:eastAsia="Arial" w:hAnsi="Arial"/>
                <w:sz w:val="18"/>
                <w:szCs w:val="18"/>
                <w:color w:val="auto"/>
              </w:rPr>
              <w:t>Prepaid expenses &amp;</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restart"/>
          </w:tcPr>
          <w:p>
            <w:pPr>
              <w:ind w:left="20"/>
              <w:spacing w:after="0"/>
              <w:rPr>
                <w:sz w:val="20"/>
                <w:szCs w:val="20"/>
                <w:color w:val="auto"/>
              </w:rPr>
            </w:pPr>
            <w:r>
              <w:rPr>
                <w:rFonts w:ascii="Arial" w:cs="Arial" w:eastAsia="Arial" w:hAnsi="Arial"/>
                <w:sz w:val="18"/>
                <w:szCs w:val="18"/>
                <w:color w:val="auto"/>
                <w:w w:val="90"/>
              </w:rPr>
              <w:t>Other current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120" w:type="dxa"/>
            <w:vAlign w:val="bottom"/>
            <w:vMerge w:val="restart"/>
          </w:tcPr>
          <w:p>
            <w:pPr>
              <w:ind w:left="240"/>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120" w:type="dxa"/>
            <w:vAlign w:val="bottom"/>
            <w:vMerge w:val="continue"/>
          </w:tcPr>
          <w:p>
            <w:pPr>
              <w:spacing w:after="0"/>
              <w:rPr>
                <w:sz w:val="19"/>
                <w:szCs w:val="19"/>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derivatives designated as hedges</w:t>
            </w:r>
          </w:p>
        </w:tc>
        <w:tc>
          <w:tcPr>
            <w:tcW w:w="16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Other current</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4120" w:type="dxa"/>
            <w:vAlign w:val="bottom"/>
            <w:vMerge w:val="continue"/>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derivatives not designated as hedges</w:t>
            </w: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derivatives</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gains/(losses) incurred to hedge or offset operational foreign exchange or interest rate risk: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17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1"/>
                <w:szCs w:val="11"/>
                <w:color w:val="auto"/>
              </w:rPr>
            </w:pPr>
          </w:p>
        </w:tc>
        <w:tc>
          <w:tcPr>
            <w:tcW w:w="1620" w:type="dxa"/>
            <w:vAlign w:val="bottom"/>
            <w:gridSpan w:val="2"/>
          </w:tcPr>
          <w:p>
            <w:pPr>
              <w:jc w:val="center"/>
              <w:ind w:right="12"/>
              <w:spacing w:after="0" w:line="13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2"/>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1"/>
                <w:szCs w:val="11"/>
                <w:color w:val="auto"/>
              </w:rPr>
            </w:pPr>
          </w:p>
        </w:tc>
        <w:tc>
          <w:tcPr>
            <w:tcW w:w="1560" w:type="dxa"/>
            <w:vAlign w:val="bottom"/>
            <w:gridSpan w:val="2"/>
          </w:tcPr>
          <w:p>
            <w:pPr>
              <w:jc w:val="center"/>
              <w:ind w:right="52"/>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1"/>
                <w:szCs w:val="11"/>
                <w:color w:val="auto"/>
              </w:rPr>
            </w:pPr>
          </w:p>
        </w:tc>
        <w:tc>
          <w:tcPr>
            <w:tcW w:w="1620" w:type="dxa"/>
            <w:vAlign w:val="bottom"/>
            <w:gridSpan w:val="2"/>
          </w:tcPr>
          <w:p>
            <w:pPr>
              <w:jc w:val="center"/>
              <w:ind w:right="32"/>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5"/>
                <w:szCs w:val="15"/>
                <w:color w:val="auto"/>
              </w:rPr>
            </w:pPr>
          </w:p>
        </w:tc>
        <w:tc>
          <w:tcPr>
            <w:tcW w:w="156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5"/>
                <w:szCs w:val="15"/>
                <w:color w:val="auto"/>
              </w:rPr>
            </w:pPr>
          </w:p>
        </w:tc>
        <w:tc>
          <w:tcPr>
            <w:tcW w:w="162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tcPr>
          <w:p>
            <w:pPr>
              <w:ind w:left="3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400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9"/>
              </w:rPr>
              <w:t>Derivative Financial Instruments in Fair Value Hedge</w:t>
            </w: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shd w:val="clear" w:color="auto" w:fill="BFE4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FE4FF"/>
          </w:tcPr>
          <w:p>
            <w:pPr>
              <w:jc w:val="right"/>
              <w:ind w:right="17"/>
              <w:spacing w:after="0"/>
              <w:rPr>
                <w:sz w:val="20"/>
                <w:szCs w:val="20"/>
                <w:color w:val="auto"/>
              </w:rPr>
            </w:pPr>
            <w:r>
              <w:rPr>
                <w:rFonts w:ascii="Arial" w:cs="Arial" w:eastAsia="Arial" w:hAnsi="Arial"/>
                <w:sz w:val="18"/>
                <w:szCs w:val="18"/>
                <w:color w:val="auto"/>
              </w:rPr>
              <w:t>— $</w:t>
            </w:r>
          </w:p>
        </w:tc>
        <w:tc>
          <w:tcPr>
            <w:tcW w:w="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BFE4FF"/>
          </w:tcPr>
          <w:p>
            <w:pPr>
              <w:jc w:val="right"/>
              <w:ind w:right="18"/>
              <w:spacing w:after="0"/>
              <w:rPr>
                <w:sz w:val="20"/>
                <w:szCs w:val="20"/>
                <w:color w:val="auto"/>
              </w:rPr>
            </w:pPr>
            <w:r>
              <w:rPr>
                <w:rFonts w:ascii="Arial" w:cs="Arial" w:eastAsia="Arial" w:hAnsi="Arial"/>
                <w:sz w:val="18"/>
                <w:szCs w:val="18"/>
                <w:color w:val="auto"/>
              </w:rPr>
              <w:t>— $</w:t>
            </w:r>
          </w:p>
        </w:tc>
        <w:tc>
          <w:tcPr>
            <w:tcW w:w="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2023 Senior Notes (3.125% coupon)</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9"/>
                <w:szCs w:val="19"/>
                <w:color w:val="auto"/>
              </w:rPr>
            </w:pPr>
          </w:p>
        </w:tc>
        <w:tc>
          <w:tcPr>
            <w:tcW w:w="9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BFE4FF"/>
          </w:tcPr>
          <w:p>
            <w:pPr>
              <w:ind w:left="20"/>
              <w:spacing w:after="0" w:line="162"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6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94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160" w:type="dxa"/>
            <w:vAlign w:val="bottom"/>
            <w:shd w:val="clear" w:color="auto" w:fill="BFE4FF"/>
          </w:tcPr>
          <w:p>
            <w:pPr>
              <w:spacing w:after="0"/>
              <w:rPr>
                <w:sz w:val="14"/>
                <w:szCs w:val="14"/>
                <w:color w:val="auto"/>
              </w:rPr>
            </w:pPr>
          </w:p>
        </w:tc>
        <w:tc>
          <w:tcPr>
            <w:tcW w:w="90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96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BFE4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p>
        </w:tc>
        <w:tc>
          <w:tcPr>
            <w:tcW w:w="20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94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90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ind w:right="177"/>
              <w:spacing w:after="0"/>
              <w:rPr>
                <w:sz w:val="20"/>
                <w:szCs w:val="20"/>
                <w:color w:val="auto"/>
              </w:rPr>
            </w:pPr>
            <w:r>
              <w:rPr>
                <w:rFonts w:ascii="Arial" w:cs="Arial" w:eastAsia="Arial" w:hAnsi="Arial"/>
                <w:sz w:val="18"/>
                <w:szCs w:val="18"/>
                <w:color w:val="auto"/>
              </w:rPr>
              <w:t>5.6</w:t>
            </w: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960" w:type="dxa"/>
            <w:vAlign w:val="bottom"/>
          </w:tcPr>
          <w:p>
            <w:pPr>
              <w:jc w:val="right"/>
              <w:ind w:right="198"/>
              <w:spacing w:after="0"/>
              <w:rPr>
                <w:sz w:val="20"/>
                <w:szCs w:val="20"/>
                <w:color w:val="auto"/>
              </w:rPr>
            </w:pPr>
            <w:r>
              <w:rPr>
                <w:rFonts w:ascii="Arial" w:cs="Arial" w:eastAsia="Arial" w:hAnsi="Arial"/>
                <w:sz w:val="18"/>
                <w:szCs w:val="18"/>
                <w:color w:val="auto"/>
              </w:rPr>
              <w:t>6.1</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shd w:val="clear" w:color="auto" w:fill="BFE4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(4)</w:t>
            </w:r>
          </w:p>
        </w:tc>
        <w:tc>
          <w:tcPr>
            <w:tcW w:w="120" w:type="dxa"/>
            <w:vAlign w:val="bottom"/>
            <w:shd w:val="clear" w:color="auto" w:fill="BFE4FF"/>
          </w:tcPr>
          <w:p>
            <w:pPr>
              <w:spacing w:after="0"/>
              <w:rPr>
                <w:sz w:val="19"/>
                <w:szCs w:val="19"/>
                <w:color w:val="auto"/>
              </w:rPr>
            </w:pPr>
          </w:p>
        </w:tc>
        <w:tc>
          <w:tcPr>
            <w:tcW w:w="940" w:type="dxa"/>
            <w:vAlign w:val="bottom"/>
            <w:shd w:val="clear" w:color="auto" w:fill="BFE4FF"/>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00" w:type="dxa"/>
            <w:vAlign w:val="bottom"/>
            <w:shd w:val="clear" w:color="auto" w:fill="BFE4FF"/>
          </w:tcPr>
          <w:p>
            <w:pPr>
              <w:jc w:val="right"/>
              <w:ind w:right="137"/>
              <w:spacing w:after="0"/>
              <w:rPr>
                <w:sz w:val="20"/>
                <w:szCs w:val="20"/>
                <w:color w:val="auto"/>
              </w:rPr>
            </w:pPr>
            <w:r>
              <w:rPr>
                <w:rFonts w:ascii="Arial" w:cs="Arial" w:eastAsia="Arial" w:hAnsi="Arial"/>
                <w:sz w:val="18"/>
                <w:szCs w:val="18"/>
                <w:color w:val="auto"/>
              </w:rPr>
              <w:t>(0.8)</w:t>
            </w:r>
          </w:p>
        </w:tc>
        <w:tc>
          <w:tcPr>
            <w:tcW w:w="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158"/>
              <w:spacing w:after="0"/>
              <w:rPr>
                <w:sz w:val="20"/>
                <w:szCs w:val="20"/>
                <w:color w:val="auto"/>
              </w:rPr>
            </w:pPr>
            <w:r>
              <w:rPr>
                <w:rFonts w:ascii="Arial" w:cs="Arial" w:eastAsia="Arial" w:hAnsi="Arial"/>
                <w:sz w:val="18"/>
                <w:szCs w:val="18"/>
                <w:color w:val="auto"/>
              </w:rPr>
              <w:t>(1.1)</w:t>
            </w:r>
          </w:p>
        </w:tc>
        <w:tc>
          <w:tcPr>
            <w:tcW w:w="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in Net Investment</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BFE4FF"/>
          </w:tcPr>
          <w:p>
            <w:pPr>
              <w:ind w:left="240"/>
              <w:spacing w:after="0"/>
              <w:rPr>
                <w:sz w:val="20"/>
                <w:szCs w:val="20"/>
                <w:color w:val="auto"/>
              </w:rPr>
            </w:pPr>
            <w:r>
              <w:rPr>
                <w:rFonts w:ascii="Arial" w:cs="Arial" w:eastAsia="Arial" w:hAnsi="Arial"/>
                <w:sz w:val="18"/>
                <w:szCs w:val="18"/>
                <w:color w:val="auto"/>
                <w:w w:val="92"/>
              </w:rPr>
              <w:t>Foreign currency borrowings and forward contracts</w:t>
            </w:r>
          </w:p>
        </w:tc>
        <w:tc>
          <w:tcPr>
            <w:tcW w:w="206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940" w:type="dxa"/>
            <w:vAlign w:val="bottom"/>
            <w:shd w:val="clear" w:color="auto" w:fill="BFE4FF"/>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20"/>
                <w:szCs w:val="20"/>
                <w:color w:val="auto"/>
              </w:rPr>
            </w:pPr>
          </w:p>
        </w:tc>
        <w:tc>
          <w:tcPr>
            <w:tcW w:w="900" w:type="dxa"/>
            <w:vAlign w:val="bottom"/>
            <w:shd w:val="clear" w:color="auto" w:fill="BFE4FF"/>
          </w:tcPr>
          <w:p>
            <w:pPr>
              <w:jc w:val="right"/>
              <w:ind w:right="177"/>
              <w:spacing w:after="0"/>
              <w:rPr>
                <w:sz w:val="20"/>
                <w:szCs w:val="20"/>
                <w:color w:val="auto"/>
              </w:rPr>
            </w:pPr>
            <w:r>
              <w:rPr>
                <w:rFonts w:ascii="Arial" w:cs="Arial" w:eastAsia="Arial" w:hAnsi="Arial"/>
                <w:sz w:val="18"/>
                <w:szCs w:val="18"/>
                <w:color w:val="auto"/>
              </w:rPr>
              <w:t>258.6</w:t>
            </w:r>
          </w:p>
        </w:tc>
        <w:tc>
          <w:tcPr>
            <w:tcW w:w="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BFE4FF"/>
          </w:tcPr>
          <w:p>
            <w:pPr>
              <w:spacing w:after="0"/>
              <w:rPr>
                <w:sz w:val="20"/>
                <w:szCs w:val="20"/>
                <w:color w:val="auto"/>
              </w:rPr>
            </w:pPr>
          </w:p>
        </w:tc>
        <w:tc>
          <w:tcPr>
            <w:tcW w:w="960" w:type="dxa"/>
            <w:vAlign w:val="bottom"/>
            <w:shd w:val="clear" w:color="auto" w:fill="BFE4FF"/>
          </w:tcPr>
          <w:p>
            <w:pPr>
              <w:jc w:val="right"/>
              <w:ind w:right="198"/>
              <w:spacing w:after="0"/>
              <w:rPr>
                <w:sz w:val="20"/>
                <w:szCs w:val="20"/>
                <w:color w:val="auto"/>
              </w:rPr>
            </w:pPr>
            <w:r>
              <w:rPr>
                <w:rFonts w:ascii="Arial" w:cs="Arial" w:eastAsia="Arial" w:hAnsi="Arial"/>
                <w:sz w:val="18"/>
                <w:szCs w:val="18"/>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60" w:type="dxa"/>
            <w:vAlign w:val="bottom"/>
            <w:shd w:val="clear" w:color="auto" w:fill="BFE4FF"/>
          </w:tcPr>
          <w:p>
            <w:pPr>
              <w:ind w:left="40"/>
              <w:spacing w:after="0" w:line="232"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BFE4FF"/>
          </w:tcPr>
          <w:p>
            <w:pPr>
              <w:spacing w:after="0"/>
              <w:rPr>
                <w:sz w:val="20"/>
                <w:szCs w:val="20"/>
                <w:color w:val="auto"/>
              </w:rPr>
            </w:pPr>
          </w:p>
        </w:tc>
        <w:tc>
          <w:tcPr>
            <w:tcW w:w="940" w:type="dxa"/>
            <w:vAlign w:val="bottom"/>
            <w:tcBorders>
              <w:bottom w:val="single" w:sz="8" w:color="auto"/>
            </w:tcBorders>
            <w:shd w:val="clear" w:color="auto" w:fill="BFE4FF"/>
          </w:tcPr>
          <w:p>
            <w:pPr>
              <w:jc w:val="right"/>
              <w:ind w:right="197"/>
              <w:spacing w:after="0"/>
              <w:rPr>
                <w:sz w:val="20"/>
                <w:szCs w:val="20"/>
                <w:color w:val="auto"/>
              </w:rPr>
            </w:pPr>
            <w:r>
              <w:rPr>
                <w:rFonts w:ascii="Arial" w:cs="Arial" w:eastAsia="Arial" w:hAnsi="Arial"/>
                <w:sz w:val="18"/>
                <w:szCs w:val="18"/>
                <w:color w:val="auto"/>
              </w:rPr>
              <w:t>35.6</w:t>
            </w: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bottom w:val="single" w:sz="8" w:color="auto"/>
            </w:tcBorders>
            <w:shd w:val="clear" w:color="auto" w:fill="BFE4FF"/>
          </w:tcPr>
          <w:p>
            <w:pPr>
              <w:spacing w:after="0"/>
              <w:rPr>
                <w:sz w:val="20"/>
                <w:szCs w:val="20"/>
                <w:color w:val="auto"/>
              </w:rPr>
            </w:pPr>
          </w:p>
        </w:tc>
        <w:tc>
          <w:tcPr>
            <w:tcW w:w="900" w:type="dxa"/>
            <w:vAlign w:val="bottom"/>
            <w:tcBorders>
              <w:bottom w:val="single" w:sz="8" w:color="auto"/>
            </w:tcBorders>
            <w:shd w:val="clear" w:color="auto" w:fill="BFE4FF"/>
          </w:tcPr>
          <w:p>
            <w:pPr>
              <w:jc w:val="right"/>
              <w:ind w:right="177"/>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BFE4FF"/>
          </w:tcPr>
          <w:p>
            <w:pPr>
              <w:spacing w:after="0"/>
              <w:rPr>
                <w:sz w:val="20"/>
                <w:szCs w:val="20"/>
                <w:color w:val="auto"/>
              </w:rPr>
            </w:pPr>
          </w:p>
        </w:tc>
        <w:tc>
          <w:tcPr>
            <w:tcW w:w="960" w:type="dxa"/>
            <w:vAlign w:val="bottom"/>
            <w:tcBorders>
              <w:bottom w:val="single" w:sz="8" w:color="auto"/>
            </w:tcBorders>
            <w:shd w:val="clear" w:color="auto" w:fill="BFE4FF"/>
          </w:tcPr>
          <w:p>
            <w:pPr>
              <w:jc w:val="right"/>
              <w:ind w:right="19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35.6 $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5.0 $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4" w:lineRule="exact"/>
        <w:rPr>
          <w:sz w:val="20"/>
          <w:szCs w:val="20"/>
          <w:color w:val="auto"/>
        </w:rPr>
      </w:pPr>
    </w:p>
    <w:p>
      <w:pPr>
        <w:ind w:left="660" w:right="20" w:hanging="328"/>
        <w:spacing w:after="0" w:line="232"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amount included in the above tables represents the fair value adjustment recognized at the date the interest rate swaps were settled.</w:t>
      </w:r>
    </w:p>
    <w:p>
      <w:pPr>
        <w:spacing w:after="0" w:line="81" w:lineRule="exact"/>
        <w:rPr>
          <w:rFonts w:ascii="Arial" w:cs="Arial" w:eastAsia="Arial" w:hAnsi="Arial"/>
          <w:sz w:val="23"/>
          <w:szCs w:val="23"/>
          <w:color w:val="auto"/>
          <w:vertAlign w:val="superscript"/>
        </w:rPr>
      </w:pPr>
    </w:p>
    <w:p>
      <w:pPr>
        <w:ind w:left="660" w:right="380" w:hanging="328"/>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At March 31, 2021, the Company expects that approximately $11.0 million of pre-tax net losses on cash flow hedges will be reclassified from AOCE into earnings during the next twelve months.</w:t>
      </w:r>
    </w:p>
    <w:p>
      <w:pPr>
        <w:spacing w:after="0" w:line="32"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recognized in earnings on derivatives.</w:t>
      </w:r>
    </w:p>
    <w:p>
      <w:pPr>
        <w:spacing w:after="0" w:line="82" w:lineRule="exact"/>
        <w:rPr>
          <w:rFonts w:ascii="Arial" w:cs="Arial" w:eastAsia="Arial" w:hAnsi="Arial"/>
          <w:sz w:val="23"/>
          <w:szCs w:val="23"/>
          <w:color w:val="auto"/>
          <w:vertAlign w:val="superscript"/>
        </w:rPr>
      </w:pPr>
    </w:p>
    <w:p>
      <w:pPr>
        <w:ind w:left="640" w:hanging="308"/>
        <w:spacing w:after="0" w:line="207" w:lineRule="auto"/>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reclassified from AOCE into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980" w:right="320" w:hanging="324"/>
        <w:spacing w:after="0" w:line="277"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gives the highest priority to Level 1 inputs.</w:t>
      </w:r>
    </w:p>
    <w:p>
      <w:pPr>
        <w:spacing w:after="0" w:line="62" w:lineRule="exact"/>
        <w:rPr>
          <w:rFonts w:ascii="Arial" w:cs="Arial" w:eastAsia="Arial" w:hAnsi="Arial"/>
          <w:sz w:val="18"/>
          <w:szCs w:val="18"/>
          <w:i w:val="1"/>
          <w:iCs w:val="1"/>
          <w:color w:val="auto"/>
        </w:rPr>
      </w:pPr>
    </w:p>
    <w:p>
      <w:pPr>
        <w:ind w:left="980" w:hanging="324"/>
        <w:spacing w:after="0"/>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other than quoted prices in active markets for identical assets or liabilities.</w:t>
      </w:r>
    </w:p>
    <w:p>
      <w:pPr>
        <w:spacing w:after="0" w:line="117" w:lineRule="exact"/>
        <w:rPr>
          <w:rFonts w:ascii="Arial" w:cs="Arial" w:eastAsia="Arial" w:hAnsi="Arial"/>
          <w:sz w:val="18"/>
          <w:szCs w:val="18"/>
          <w:i w:val="1"/>
          <w:iCs w:val="1"/>
          <w:color w:val="auto"/>
        </w:rPr>
      </w:pPr>
    </w:p>
    <w:p>
      <w:pPr>
        <w:ind w:left="980" w:right="140" w:hanging="324"/>
        <w:spacing w:after="0" w:line="277"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are used when little or no market data is available. The fair value hierarchy gives the lowest priority to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inputs.</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3"/>
              </w:rPr>
              <w:t>December 31, 2020</w:t>
            </w:r>
          </w:p>
        </w:tc>
        <w:tc>
          <w:tcPr>
            <w:tcW w:w="740" w:type="dxa"/>
            <w:vAlign w:val="bottom"/>
            <w:tcBorders>
              <w:bottom w:val="single" w:sz="8" w:color="auto"/>
            </w:tcBorders>
          </w:tcPr>
          <w:p>
            <w:pPr>
              <w:spacing w:after="0"/>
              <w:rPr>
                <w:sz w:val="16"/>
                <w:szCs w:val="16"/>
                <w:color w:val="auto"/>
              </w:rPr>
            </w:pPr>
          </w:p>
        </w:tc>
      </w:tr>
      <w:tr>
        <w:trPr>
          <w:trHeight w:val="188"/>
        </w:trPr>
        <w:tc>
          <w:tcPr>
            <w:tcW w:w="5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traded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fixed income investments: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Agency mortgage-backed securities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Asset backed securities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available-for-sale fixed income investments</w:t>
            </w: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derivative assets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assets at recurring fair value measurement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Foreign exchange derivative liabilities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liabilities at recurring fair value measurement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LIBOR yield curve, foreign exchange forward prices and bank price quotes. Below is a summary of valuation techniques for Level 1 and Level 2 financial assets and liabilities:</w:t>
      </w:r>
    </w:p>
    <w:p>
      <w:pPr>
        <w:spacing w:after="0" w:line="7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expense, net, in the condensed consolidated statements of operations.</w:t>
      </w:r>
    </w:p>
    <w:p>
      <w:pPr>
        <w:spacing w:after="0" w:line="75"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Equity securities, marketable securities </w:t>
      </w:r>
      <w:r>
        <w:rPr>
          <w:rFonts w:ascii="Arial" w:cs="Arial" w:eastAsia="Arial" w:hAnsi="Arial"/>
          <w:sz w:val="16"/>
          <w:szCs w:val="16"/>
          <w:color w:val="auto"/>
        </w:rPr>
        <w:t>— valued using quoted stock prices from public exchanges at the reporting date.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attributable to changes in fair value are included in other expense, net, in the condensed consolidated statements of operations.</w:t>
      </w:r>
    </w:p>
    <w:p>
      <w:pPr>
        <w:spacing w:after="0" w:line="15" w:lineRule="exact"/>
        <w:rPr>
          <w:rFonts w:ascii="Arial" w:cs="Arial" w:eastAsia="Arial" w:hAnsi="Arial"/>
          <w:sz w:val="16"/>
          <w:szCs w:val="16"/>
          <w:color w:val="auto"/>
        </w:rPr>
      </w:pPr>
    </w:p>
    <w:p>
      <w:pPr>
        <w:ind w:left="980" w:right="380" w:hanging="324"/>
        <w:spacing w:after="0" w:line="263" w:lineRule="auto"/>
        <w:tabs>
          <w:tab w:leader="none" w:pos="97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5" w:lineRule="exact"/>
        <w:rPr>
          <w:rFonts w:ascii="Arial" w:cs="Arial" w:eastAsia="Arial" w:hAnsi="Arial"/>
          <w:sz w:val="18"/>
          <w:szCs w:val="18"/>
          <w:i w:val="1"/>
          <w:iCs w:val="1"/>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fair value measurement of contingent consideration is determined using Level 3 inputs. The Company’s contingent consideration represents a component of the total purchase consideration for Pfizer’s respiratory delivery platform and certain other acquisitions. The measurement is calculated using unobservable inputs based on the Company’s own assumptions primarily related to the probability and timing of future development and commercial milestones and future profit sharing payments which are discounted using a market rate of return. At March 31, 2021 and December 31, 2020, discount rates ranging from 2.1% to 10.5% were utilized in the valuations. Significant changes in unobservable inputs could result in material changes to the contingent consideration liability.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rollforward of the activity in the Company’s fair value of contingent consideration from December 31, 2020 to March 31, 2021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Total Contingent</w:t>
            </w:r>
          </w:p>
        </w:tc>
        <w:tc>
          <w:tcPr>
            <w:tcW w:w="0" w:type="dxa"/>
            <w:vAlign w:val="bottom"/>
          </w:tcPr>
          <w:p>
            <w:pPr>
              <w:spacing w:after="0"/>
              <w:rPr>
                <w:sz w:val="1"/>
                <w:szCs w:val="1"/>
                <w:color w:val="auto"/>
              </w:rPr>
            </w:pPr>
          </w:p>
        </w:tc>
      </w:tr>
      <w:tr>
        <w:trPr>
          <w:trHeight w:val="189"/>
        </w:trPr>
        <w:tc>
          <w:tcPr>
            <w:tcW w:w="738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1"/>
              </w:rPr>
              <w:t xml:space="preserve">Portion </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in the condensed consolidated balance sheets.</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obligations in the condensed consolidated balance sheets.</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litigation settlements and other contingencies, net in the condensed consolidated statements of operations.</w:t>
      </w:r>
    </w:p>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other financial assets and liabilities, any future transacted financial asset or liability will be evaluated for the fair value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Short-Term Borrowings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had $36.9 million and $1.10 billion of short-term borrowings as of March 31, 2021 and December 31, 2020,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 notes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Securitization Facility</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Short-term borrowings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Interest Rate as</w:t>
            </w:r>
          </w:p>
        </w:tc>
        <w:tc>
          <w:tcPr>
            <w:tcW w:w="20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35"/>
        </w:trPr>
        <w:tc>
          <w:tcPr>
            <w:tcW w:w="744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of March 31,</w:t>
            </w: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4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debt: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2021 Senior Notes </w:t>
            </w:r>
            <w:r>
              <w:rPr>
                <w:rFonts w:ascii="Arial" w:cs="Arial" w:eastAsia="Arial" w:hAnsi="Arial"/>
                <w:sz w:val="23"/>
                <w:szCs w:val="23"/>
                <w:color w:val="auto"/>
                <w:vertAlign w:val="superscript"/>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2,249.7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financing fees</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Current portion of long-term debt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2022</w:t>
            </w:r>
          </w:p>
        </w:tc>
        <w:tc>
          <w:tcPr>
            <w:tcW w:w="448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0.816 %</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928.8</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2022</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2023</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(a) *</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3.125 %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781.6</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2023</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2024</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2.250 %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1,219.9</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2024</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1.023 %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2025</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2.125 %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609.9</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2025</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2026</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3.950 %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2,239.7</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2027</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1.362 %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2027</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2.300 %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786.1</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2028</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2028</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4.550 %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748.6</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2030</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2032</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1.908 %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1,672.6</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2040</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1,663.3</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2043</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5.400 %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497.3</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2046</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2048</w:t>
            </w:r>
          </w:p>
        </w:tc>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5.200 %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747.7</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2050</w:t>
            </w:r>
          </w:p>
        </w:tc>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2,209.3</w:t>
            </w:r>
          </w:p>
        </w:tc>
      </w:tr>
      <w:tr>
        <w:trPr>
          <w:trHeight w:val="229"/>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USD Term Loan</w:t>
            </w:r>
          </w:p>
        </w:tc>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5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financing fees</w:t>
            </w:r>
          </w:p>
        </w:tc>
        <w:tc>
          <w:tcPr>
            <w:tcW w:w="3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48"/>
        </w:trPr>
        <w:tc>
          <w:tcPr>
            <w:tcW w:w="51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Long-term debt</w:t>
            </w:r>
          </w:p>
        </w:tc>
        <w:tc>
          <w:tcPr>
            <w:tcW w:w="3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22,429.2</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0" w:hanging="328"/>
        <w:spacing w:after="0" w:line="227" w:lineRule="auto"/>
        <w:tabs>
          <w:tab w:leader="none" w:pos="647"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spacing w:after="0" w:line="6" w:lineRule="exact"/>
        <w:rPr>
          <w:sz w:val="20"/>
          <w:szCs w:val="20"/>
          <w:color w:val="auto"/>
        </w:rPr>
      </w:pPr>
    </w:p>
    <w:p>
      <w:pPr>
        <w:ind w:left="500" w:hanging="168"/>
        <w:spacing w:after="0"/>
        <w:tabs>
          <w:tab w:leader="none" w:pos="50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Instrument was originally issued by Mylan N.V. now held by Utah Acquisition Sub Inc.</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Viatris Inc.</w:t>
      </w:r>
    </w:p>
    <w:p>
      <w:pPr>
        <w:spacing w:after="0" w:line="56" w:lineRule="exact"/>
        <w:rPr>
          <w:rFonts w:ascii="Arial" w:cs="Arial" w:eastAsia="Arial" w:hAnsi="Arial"/>
          <w:sz w:val="23"/>
          <w:szCs w:val="23"/>
          <w:color w:val="auto"/>
          <w:vertAlign w:val="superscript"/>
        </w:rPr>
      </w:pPr>
    </w:p>
    <w:p>
      <w:pPr>
        <w:ind w:left="720" w:hanging="388"/>
        <w:spacing w:after="0" w:line="194" w:lineRule="auto"/>
        <w:tabs>
          <w:tab w:leader="none" w:pos="7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Upjohn Finance B.V.</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Loan and Revolving Facility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June 2020, Viatris entered into (i) the $600 million Term Loan Agreement and (ii) the $4.0 billion Revolving Facility with various syndicates of banks. The Term Loan Agreement matures on May 16, 2022 and the Revolving Facility matures on November 16, 2023.</w:t>
      </w:r>
    </w:p>
    <w:p>
      <w:pPr>
        <w:spacing w:after="0" w:line="17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Both the Term Loan Agreement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Term Loan Agreement and the Revolving Facility contain a maximum consolidated leverage ratio financial covenant requiring maintenance of a maximum ratio of consolidated total indebtedness as of the end of any quarter to consolidated EBITDA for the trailing four quarters as defined in the related credit agreements. The maximum leverage ratio is 4.25 to 1.00 for the first four full fiscal quarters following the close of the Combination and 3.75 to 1.00 thereafter, except in circumstances as defined in the related credit agreements.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At March 31, 2021 and December 31, 2020, the aggregate fair value of the Company’s outstanding notes was approximately $24.4 billion and $25.9 billion, respectively. The fair values of the outstanding notes were valued at quoted market prices from broker or dealer quotations and were classified as Level 2 in the fair value hierarchy.</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March 31, 2021 were as follows for each of the periods ending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2,480</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30"/>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14,293</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23,663</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condensed consolidated balance sheets, is comprised of the following:</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unrealized gain on marketable securities, net of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loss and prior service cost related to defined benefit plans,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unrecognized loss on derivatives in cash flow hedging relationships, net of tax</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loss on derivatives in net investment hedging relationships,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 of accumulated other comprehensive loss, before tax, consist of the following, for the three months ended March 31, 2021 and 2020:</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Months Ended March 31, 2021</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1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restart"/>
          </w:tcPr>
          <w:p>
            <w:pPr>
              <w:jc w:val="right"/>
              <w:ind w:right="200"/>
              <w:spacing w:after="0"/>
              <w:rPr>
                <w:sz w:val="20"/>
                <w:szCs w:val="20"/>
                <w:color w:val="auto"/>
              </w:rPr>
            </w:pPr>
            <w:r>
              <w:rPr>
                <w:rFonts w:ascii="Arial" w:cs="Arial" w:eastAsia="Arial" w:hAnsi="Arial"/>
                <w:sz w:val="14"/>
                <w:szCs w:val="14"/>
                <w:b w:val="1"/>
                <w:bCs w:val="1"/>
                <w:color w:val="auto"/>
                <w:w w:val="92"/>
              </w:rPr>
              <w:t>Gains and Losses on Derivatives in Cash</w:t>
            </w:r>
          </w:p>
        </w:tc>
        <w:tc>
          <w:tcPr>
            <w:tcW w:w="10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Flow Hedging Relationships</w:t>
            </w: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Hedges</w:t>
            </w: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2"/>
              </w:rPr>
              <w:t>Rate</w:t>
            </w: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Swaps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w w:val="92"/>
              </w:rPr>
              <w:t>Balance at December 31, 2020, net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r>
              <w:rPr>
                <w:rFonts w:ascii="Arial" w:cs="Arial" w:eastAsia="Arial" w:hAnsi="Arial"/>
                <w:sz w:val="18"/>
                <w:szCs w:val="18"/>
                <w:u w:val="single" w:color="auto"/>
                <w:color w:val="auto"/>
              </w:rPr>
              <w:t>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center"/>
              <w:ind w:left="438"/>
              <w:spacing w:after="0"/>
              <w:rPr>
                <w:sz w:val="20"/>
                <w:szCs w:val="20"/>
                <w:color w:val="auto"/>
              </w:rPr>
            </w:pPr>
            <w:r>
              <w:rPr>
                <w:rFonts w:ascii="Arial" w:cs="Arial" w:eastAsia="Arial" w:hAnsi="Arial"/>
                <w:sz w:val="18"/>
                <w:szCs w:val="18"/>
                <w:color w:val="auto"/>
                <w:w w:val="95"/>
              </w:rPr>
              <w:t>1.2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rPr>
              <w:t>Other comprehensive earnings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0"/>
              <w:spacing w:after="0" w:line="176" w:lineRule="exact"/>
              <w:rPr>
                <w:sz w:val="20"/>
                <w:szCs w:val="20"/>
                <w:color w:val="auto"/>
              </w:rPr>
            </w:pPr>
            <w:r>
              <w:rPr>
                <w:rFonts w:ascii="Arial" w:cs="Arial" w:eastAsia="Arial" w:hAnsi="Arial"/>
                <w:sz w:val="18"/>
                <w:szCs w:val="18"/>
                <w:color w:val="auto"/>
              </w:rPr>
              <w:t>(loss) before reclassifications,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ind w:left="418"/>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29"/>
        </w:trPr>
        <w:tc>
          <w:tcPr>
            <w:tcW w:w="2820" w:type="dxa"/>
            <w:vAlign w:val="bottom"/>
          </w:tcPr>
          <w:p>
            <w:pPr>
              <w:ind w:left="200"/>
              <w:spacing w:after="0"/>
              <w:rPr>
                <w:sz w:val="20"/>
                <w:szCs w:val="20"/>
                <w:color w:val="auto"/>
              </w:rPr>
            </w:pPr>
            <w:r>
              <w:rPr>
                <w:rFonts w:ascii="Arial" w:cs="Arial" w:eastAsia="Arial" w:hAnsi="Arial"/>
                <w:sz w:val="18"/>
                <w:szCs w:val="18"/>
                <w:color w:val="auto"/>
              </w:rPr>
              <w:t>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Amounts reclassified from</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earnings,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Gain on foreign exchange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9"/>
              </w:rPr>
              <w:t>cash flow hedges, included in</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Amortization of prior service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costs included in SG&amp;A</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Amortization of actuarial gain</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SG&amp;A</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w w:val="94"/>
              </w:rPr>
              <w:t>Net other comprehensive earnings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left="418"/>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29"/>
        </w:trPr>
        <w:tc>
          <w:tcPr>
            <w:tcW w:w="2820" w:type="dxa"/>
            <w:vAlign w:val="bottom"/>
          </w:tcPr>
          <w:p>
            <w:pPr>
              <w:ind w:left="200"/>
              <w:spacing w:after="0"/>
              <w:rPr>
                <w:sz w:val="20"/>
                <w:szCs w:val="20"/>
                <w:color w:val="auto"/>
              </w:rPr>
            </w:pPr>
            <w:r>
              <w:rPr>
                <w:rFonts w:ascii="Arial" w:cs="Arial" w:eastAsia="Arial" w:hAnsi="Arial"/>
                <w:sz w:val="18"/>
                <w:szCs w:val="18"/>
                <w:color w:val="auto"/>
              </w:rPr>
              <w:t>(loss), 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8"/>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w w:val="93"/>
              </w:rPr>
              <w:t>Balance at March 31, 2021, net of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r>
              <w:rPr>
                <w:rFonts w:ascii="Arial" w:cs="Arial" w:eastAsia="Arial" w:hAnsi="Arial"/>
                <w:sz w:val="18"/>
                <w:szCs w:val="18"/>
                <w:u w:val="single" w:color="auto"/>
                <w:color w:val="auto"/>
              </w:rPr>
              <w:t>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438"/>
              <w:spacing w:after="0"/>
              <w:rPr>
                <w:sz w:val="20"/>
                <w:szCs w:val="20"/>
                <w:color w:val="auto"/>
              </w:rPr>
            </w:pPr>
            <w:r>
              <w:rPr>
                <w:rFonts w:ascii="Arial" w:cs="Arial" w:eastAsia="Arial" w:hAnsi="Arial"/>
                <w:sz w:val="18"/>
                <w:szCs w:val="18"/>
                <w:color w:val="auto"/>
                <w:w w:val="95"/>
              </w:rPr>
              <w:t>0.2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Months Ended March 31, 2020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1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Flow Hedging Relationships</w:t>
            </w: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Hedges</w:t>
            </w: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2"/>
              </w:rPr>
              <w:t>Rate</w:t>
            </w: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Swaps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w w:val="92"/>
              </w:rPr>
              <w:t>Balance at December 31, 2019, net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(1,797.2)</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0"/>
              <w:spacing w:after="0" w:line="176" w:lineRule="exact"/>
              <w:rPr>
                <w:sz w:val="20"/>
                <w:szCs w:val="20"/>
                <w:color w:val="auto"/>
              </w:rPr>
            </w:pPr>
            <w:r>
              <w:rPr>
                <w:rFonts w:ascii="Arial" w:cs="Arial" w:eastAsia="Arial" w:hAnsi="Arial"/>
                <w:sz w:val="18"/>
                <w:szCs w:val="18"/>
                <w:color w:val="auto"/>
                <w:w w:val="99"/>
              </w:rPr>
              <w:t>earnings before reclassifications,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(656.6)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29"/>
        </w:trPr>
        <w:tc>
          <w:tcPr>
            <w:tcW w:w="2820" w:type="dxa"/>
            <w:vAlign w:val="bottom"/>
          </w:tcPr>
          <w:p>
            <w:pPr>
              <w:ind w:left="200"/>
              <w:spacing w:after="0"/>
              <w:rPr>
                <w:sz w:val="20"/>
                <w:szCs w:val="20"/>
                <w:color w:val="auto"/>
              </w:rPr>
            </w:pPr>
            <w:r>
              <w:rPr>
                <w:rFonts w:ascii="Arial" w:cs="Arial" w:eastAsia="Arial" w:hAnsi="Arial"/>
                <w:sz w:val="18"/>
                <w:szCs w:val="18"/>
                <w:color w:val="auto"/>
              </w:rPr>
              <w:t>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Amounts reclassified from</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earnings,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Gain on foreign exchange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9"/>
              </w:rPr>
              <w:t>cash flow hedges, included in</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Amortization of actuarial gain</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included in SG&amp;A</w:t>
            </w: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0"/>
              <w:spacing w:after="0" w:line="156" w:lineRule="exact"/>
              <w:rPr>
                <w:sz w:val="20"/>
                <w:szCs w:val="20"/>
                <w:color w:val="auto"/>
              </w:rPr>
            </w:pPr>
            <w:r>
              <w:rPr>
                <w:rFonts w:ascii="Arial" w:cs="Arial" w:eastAsia="Arial" w:hAnsi="Arial"/>
                <w:sz w:val="18"/>
                <w:szCs w:val="18"/>
                <w:color w:val="auto"/>
              </w:rPr>
              <w:t>Net other comprehensive (loss)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Income tax (benefit) provision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at March 31, 2020, net of tax</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Prior year amounts have been recasted to reflect this segment structure. We have also revised our measure of segment profitability.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6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its segments based on total revenues and segment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costs are not included in the measurement of segment profitability, such as costs, if any, associated with the following:</w:t>
      </w:r>
    </w:p>
    <w:p>
      <w:pPr>
        <w:spacing w:after="0" w:line="225"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Intangible asset amortization expense and impairments of intangible assets;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R&amp;D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charges or net gains for litigation settlements and other contingencies;</w:t>
      </w:r>
    </w:p>
    <w:p>
      <w:pPr>
        <w:spacing w:after="0" w:line="225" w:lineRule="exact"/>
        <w:rPr>
          <w:rFonts w:ascii="Arial" w:cs="Arial" w:eastAsia="Arial" w:hAnsi="Arial"/>
          <w:sz w:val="18"/>
          <w:szCs w:val="18"/>
          <w:color w:val="auto"/>
        </w:rPr>
      </w:pPr>
    </w:p>
    <w:p>
      <w:pPr>
        <w:ind w:left="660" w:firstLine="320"/>
        <w:spacing w:after="0" w:line="272" w:lineRule="auto"/>
        <w:tabs>
          <w:tab w:leader="none" w:pos="13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as applicable, any associated transition activities.</w:t>
      </w:r>
    </w:p>
    <w:p>
      <w:pPr>
        <w:spacing w:after="0" w:line="177" w:lineRule="exact"/>
        <w:rPr>
          <w:rFonts w:ascii="Arial" w:cs="Arial" w:eastAsia="Arial" w:hAnsi="Arial"/>
          <w:sz w:val="17"/>
          <w:szCs w:val="17"/>
          <w:color w:val="auto"/>
        </w:rPr>
      </w:pPr>
    </w:p>
    <w:p>
      <w:pPr>
        <w:ind w:left="660" w:firstLine="320"/>
        <w:spacing w:after="0" w:line="257" w:lineRule="auto"/>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does not report depreciation expense, total assets and capital expenditures by segment, as such information is not used by the chief operating decision maker.</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The accounting policies of the segments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the 2020 Form 10-K, as amended, and Note 3 </w:t>
      </w:r>
      <w:r>
        <w:rPr>
          <w:rFonts w:ascii="Arial" w:cs="Arial" w:eastAsia="Arial" w:hAnsi="Arial"/>
          <w:sz w:val="16"/>
          <w:szCs w:val="16"/>
          <w:i w:val="1"/>
          <w:iCs w:val="1"/>
          <w:color w:val="auto"/>
        </w:rPr>
        <w:t>Recent Accounting Pronouncements, Adoption of New Accounting Standards</w:t>
      </w:r>
      <w:r>
        <w:rPr>
          <w:rFonts w:ascii="Arial" w:cs="Arial" w:eastAsia="Arial" w:hAnsi="Arial"/>
          <w:sz w:val="16"/>
          <w:szCs w:val="16"/>
          <w:color w:val="auto"/>
        </w:rPr>
        <w:t xml:space="preserve"> included in this Form 10-Q.</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Net Sales</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Segment Profitability</w:t>
            </w:r>
          </w:p>
        </w:tc>
      </w:tr>
      <w:tr>
        <w:trPr>
          <w:trHeight w:val="223"/>
        </w:trPr>
        <w:tc>
          <w:tcPr>
            <w:tcW w:w="4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 March 31,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2,571.6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1,986.4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1,285.4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989.0</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23"/>
        </w:trPr>
        <w:tc>
          <w:tcPr>
            <w:tcW w:w="438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1,135.0</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Intangible asset impairment charges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29"/>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 unallocated</w:t>
            </w:r>
          </w:p>
        </w:tc>
        <w:tc>
          <w:tcPr>
            <w:tcW w:w="2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may be impacted upon completion of the restructuring initiative.</w:t>
      </w:r>
    </w:p>
    <w:p>
      <w:pPr>
        <w:spacing w:after="0" w:line="19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the committed restructuring actions, the Company expects to incur total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w:t>
      </w:r>
    </w:p>
    <w:p>
      <w:pPr>
        <w:spacing w:after="0" w:line="188"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restructuring charges and the reserve activity for the 2020 restructuring program from December 31, 2020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0" w:hanging="328"/>
        <w:spacing w:after="0" w:line="227" w:lineRule="auto"/>
        <w:tabs>
          <w:tab w:leader="none" w:pos="70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2021, total restructuring charges in Developed Markets, Greater China, JANZ, and Emerging Markets were approximately $266.5 million, $5.3 million, $1.5 million, and $40.3 million, respectively.</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At March 31, 2021 and December 31, 2020, accrued liabilities for restructuring and other cost reduction programs were primarily included in other current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Collaboration and Licensing Agreements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We periodically enter into collaboration and licensing agreements with other pharmaceutical companies for the development, manufacture, marketing and/or sale of pharmaceutical products. Our significant collaboration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11 </w:t>
      </w:r>
      <w:r>
        <w:rPr>
          <w:rFonts w:ascii="Arial" w:cs="Arial" w:eastAsia="Arial" w:hAnsi="Arial"/>
          <w:sz w:val="17"/>
          <w:szCs w:val="17"/>
          <w:i w:val="1"/>
          <w:iCs w:val="1"/>
          <w:color w:val="auto"/>
        </w:rPr>
        <w:t xml:space="preserve">Financial Instruments and Risk Management </w:t>
      </w:r>
      <w:r>
        <w:rPr>
          <w:rFonts w:ascii="Arial" w:cs="Arial" w:eastAsia="Arial" w:hAnsi="Arial"/>
          <w:sz w:val="17"/>
          <w:szCs w:val="17"/>
          <w:color w:val="auto"/>
        </w:rPr>
        <w:t>for further discussion of contingent consideration. Our potential maximum development milestones not</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for at March 31, 2021 totaled approximately $381 million</w:t>
      </w:r>
      <w:r>
        <w:rPr>
          <w:rFonts w:ascii="Arial" w:cs="Arial" w:eastAsia="Arial" w:hAnsi="Arial"/>
          <w:sz w:val="17"/>
          <w:szCs w:val="17"/>
          <w:i w:val="1"/>
          <w:iCs w:val="1"/>
          <w:color w:val="auto"/>
        </w:rPr>
        <w:t>.</w:t>
      </w:r>
      <w:r>
        <w:rPr>
          <w:rFonts w:ascii="Arial" w:cs="Arial" w:eastAsia="Arial" w:hAnsi="Arial"/>
          <w:sz w:val="17"/>
          <w:szCs w:val="17"/>
          <w:color w:val="auto"/>
        </w:rPr>
        <w:t xml:space="preserve"> We estimate that the amounts that may be paid through the end of 2021 to be approximately $20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significant changes to our collaboration and licensing agreements as disclosed in our 2020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is subject to ongoing IRS examinations. The years 2015 through 2018 are open years under examination. The years 2012, 2013 and 2014 have one matter open, and a Tax Court petition was filed regarding the matter and a trial was held in December 2018 and is discussed further below.</w:t>
      </w:r>
    </w:p>
    <w:p>
      <w:pPr>
        <w:spacing w:after="0" w:line="12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18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Australia, the tax authorities have issued notices of assessments to the Company for the years ended December 2009 to December 2019, subject to additional interest and penalties, concerning our tax position with respect to certain intercompany transactions. We intend to challenge these assessments in court in the event our objections are not sustained.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France, the tax authorities have issued notices of assessments to the Company for the years ended December 2013 to December 2016 concerning our tax position with respect to (i) certain intercompany transactions and (ii) whether income earned by a Company entity not domiciled in France should be subject to French tax. We have reached an agreement with the tax authorities to resolve our position concerning certain intercompany transactions. Concerning the remaining issue, we anticipate it will become the subject of litigation before the French tax courts in which the tax authorities will seek unpaid taxes, penalties, and interest.</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has recorded a reserve for uncertain tax positions of $123.1 million and $134.6 million, including interest and penalties, in connection with its international audits at March 31, 2021 and December 31, 2020, respectively. In connection with our international tax audits, including in Australia and France, it is possible that we will incur material losses above the amounts reserved.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major state taxing jurisdictions remain open from fiscal year 2013 through 2020, with several state audits currently in progress.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major international taxing jurisdictions remain open from 2012 through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Court Proceedings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Legal costs are recorded as incurred and are classified in SG&amp;A in the Company’s condensed consolidated statements of operations.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EpiPen® Auto-Injector Litigation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has been named as a defendant in putative indirect purchaser class actions relating to the pricing and/or marketing of the EpiPen® Auto-Injector. The plaintiffs in these cases assert violations of various federal and state antitrust and consumer protection laws, RICO as well as common law claims. Plaintiffs’ claims include purported challenges to the prices charged for the EpiPen® Auto-Injector and/or the marketing of the product in packages containing two auto-injectors, as well as allegedly anti-competitive conduct. A former Mylan N.V. officer and other non-Viatris affiliated companies are also defendants in some of the class actions. Plaintiffs’ seek monetary damages, attorneys’ fees and costs. These lawsuits were filed in various federal and state courts and have either been dismissed or transferred into a MDL in the U.S. District Court for the District of Kansas and have been consolidated. The District Court certified an antitrust class that applies to 17 states and a RICO class. Defendants’ motion for summary judgment as to the remaining claims asserted by plaintiffs is pending.</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The plaintiff in this case asserts federal antitrust claims which are based on allegations that are similar to those in the putative indirect purchaser class actions discussed above. On November 3, 2020, the plaintiff filed a second amended complaint that is substantially similar to the allegations in the amended complaint. Plaintiffs’ seek monetary damages, declaratory relief, attorneys’ fees and costs.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RICO and federal antitrust law. These actions have been consolidated. Plaintiffs’ seek monetary damages, attorneys’ fees and costs.</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 fees and costs. The Court granted the Company’s motion for summary judgment and dismissed Sanofi’s claims. Sanofi’s appeal is pending.</w:t>
      </w:r>
    </w:p>
    <w:p>
      <w:pPr>
        <w:spacing w:after="0" w:line="15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has a total accrual of approximately $10.0 million related to this matter at March 31, 2021,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May 10, 2018, the Company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We are fully cooperating with these investigations, which we believe are related to a broader industry-wide investigation of the generic pharmaceutical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Beginning in 2016, the Company, along with other manufacturers, has been named as a defendant in lawsuits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They allege harm under federal and state laws, including federal and state antitrust laws, state consumer protection laws and unjust enrichment claims. Some of the lawsuits also name as defendants the Company’s President, including allegations against him with respect to a single drug product, and one of the Company’s sales employees, including allegations against him with respect to certain generic drugs. The lawsuits have been consolidated in an MDL proceeding in the Eastern District of Pennsylvania (“EDPA”). Plaintiffs generally seek monetary damages, restitution, declaratory and injunctive relief, attorneys’ fees and costs.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originally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forty-seven states, the District of Columbia and the Commonwealth of Puerto Rico. The Company is alleged to have engaged in anticompetitive conduct with respect to four generic drug products. The amended complaint also</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includes claims asserted by attorneys general of thirty-seven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and restitution.</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forty-eight states, certain territories and the District of Columbia. The amended complaint also includes claims asserted by attorneys general of forty-three states and certain territories against several individuals, including a Company sales employee. The amended complaint seeks declaratory and injunctive relief, disgorgement, attorneys’ fees and costs, and certain states seek monetary damages, civil penalties, and restitution. This lawsuit has been transferred to the aforementioned MDL proceeding in the EDPA.</w:t>
      </w:r>
    </w:p>
    <w:p>
      <w:pPr>
        <w:spacing w:after="0" w:line="17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June 10, 2020, attorneys general of forty-six states, certain territories and the District of Columbia filed a new complaint in the United States District Court for the District of Connecticut against drug manufacturers, including the Company, and individual defendants (none from the Company), alleging anticompetitive conduct with respect to additional generic drugs. The complaint seeks declaratory and injunctive relief, disgorgement, attorneys’ fees and costs, and certain states seek monetary damages, civil penalties, and restitution. This lawsuit has been transferred to the aforementioned MDL proceeding in the EDPA.</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Related Litigation</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w:t>
      </w:r>
    </w:p>
    <w:p>
      <w:pPr>
        <w:spacing w:after="0" w:line="16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April 30, 2017, a similar lawsuit was filed in the Tel Aviv District Court (Economic Division) in Israel, which has been stayed pending a decision in the SDNY class action litigation.</w:t>
      </w:r>
    </w:p>
    <w:p>
      <w:pPr>
        <w:spacing w:after="0" w:line="170"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On February 26, 2019, MYL Litigation Recovery I LLC (“MYL Plaintiff”) (an assignee of entities that purportedly purchased stock of Mylan N.V.) filed an additional complaint in the SDNY against Mylan, certain of Mylan’s former officers and directors, and an officer of the Company asserting allegations pertaining to EpiPen® Auto-Injector under the federal securities laws that overlap in part with those asserted in the third amended complaint identified above. MYL Plaintiff’s complaint seeks monetary damages as well as the plaintiff’s costs. On May 6, 2020, MYL Plaintiff filed an amended complaint including additional allegations in connection with purportedly anticompetitive conduct with respect to EpiPen® Auto-Injector.</w:t>
      </w:r>
    </w:p>
    <w:p>
      <w:pPr>
        <w:spacing w:after="0" w:line="16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MYL Plaintiff subsequently filed a summons on October 30, 2020, naming Mylan, certain of Mylan’s former officers and directors, and certain of the Company’s current officers, directors, and employees in New York State Court, County of New York, claiming investment losses suffered as a result of purportedly false and misleading statements in connection with</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allegedly anticompetitive conduct concerning generic pharmaceuticals. Plaintiff is seeking monetary and punitive damages, attorneys’ fees and costs. The parties have resolved both matters filed by MYL Plaintiff and they have been dismissed with prejudice.</w:t>
      </w:r>
    </w:p>
    <w:p>
      <w:pPr>
        <w:spacing w:after="0" w:line="170"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7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5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6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November 2019, the Company received a subpoena from the New York Department of Financial Services as part of an industry-wide inquiry into the effect of opioid prescriptions on New York health insurance premiums. The Company is fully cooperating with this subpoena request.</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European Commission Proceedings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Perindopril</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July 9, 2014, the Commission issued a decision finding that the Company as well as several other companies, had violated EU competition rules relating to the product Perindopril and fined the Company approximately €17.2 million. The Company paid approximately $21.7 million related to this matter during the fourth quarter of 2014. The decision was affirmed on appeal by the General Court of the EU and is now on appeal to the CJEU. The Company has received a notice from an organization representing health insurers in the Netherlands stating an intention to commence follow-on litigation and asserting monetary damages.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Citalopram</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June 19, 2013, the Commission issued a decision finding that the Company as well as several other companies, had violated EU competition rules relating to the product Citalopram and fined the Company approximately €7.8 million, jointly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 severally with Merck KGaA. The decision was affirmed on appeal by the General Court of the EU and the CJEU. The Commission’s matter as to the Company is now closed. The Company has received notices from European NHS and health insurers stating an intention to commence follow-on litigation and asserting monetary damages. The NHS England and Wales has instituted litigation against all parties to the Commission’s decision, including the Company. This litigation is currently stayed.</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Company has also sought indemnification from Merck KGaA with respect to the €7.8 million portion of the fine for which Merck KGaA and the Company were held jointly and severally liable. Merck KGaA has counterclaimed against the Company seeking the same indemnification. In June 2018, the Frankfurt Regional Court issued a judgment ordering the Company to indemnify Merck KGaA with respect to the amount for which the parties were held jointly and severally liable. The Company has appealed this decision. The proceedings are currently stayed.</w:t>
      </w:r>
    </w:p>
    <w:p>
      <w:pPr>
        <w:spacing w:after="0" w:line="171"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Company has accrued approximately €15.8 million as of March 31, 2021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U.K. Competition and Markets Authority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Paroxetine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August 12, 2011, the Company received notice that the Office of Fair Trading (now the “CMA”) opened an investigation regarding possible infringement of the Competition Act 1998 and Articles 101 and 102 of the Treaty on the Functioning of the EU, with respect to alleged agreements related to Paroxetine. The CMA issued a decision on February 12, 2016, finding that the Company, Merck KGaA, and other companies were liable for infringing EU and U.K. competition rules. The CMA issued a penalty to Merck KGaA of approximately £5.8 million, for which the Company is jointly and severally liable for approximately £2.7 million. On appeal, the CAT affirmed the CMA’s decision but reduced the penalty to Merck KGaA to approximately £3.9 million, and reduced the amount for which the Company is jointly and severally liable to approximately £2.05 million.</w:t>
      </w:r>
    </w:p>
    <w:p>
      <w:pPr>
        <w:spacing w:after="0" w:line="16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also received a notice from the NHS England and Wales stating an intention to commence follow- on litigation and asserting monetary damages.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has accrued approximately £10.1 million as of March 31, 2021 related to this matter. It is reasonably possible that the Company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65"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The Company has accrued approximately $101.0 million as of March 31, 2021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Nitrosamines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along with numerous other manufacturers, retailers, and others, are parties to litigation relating to alleged trace amounts of nitrosamine impurities in certain products, including valsartan and ranitidine. The vast majority of these lawsuits in the United States are pending in two MDLs, namely an MDL pending in the United States District Court for the District of New Jersey concerning valsartan and an MDL pending in the United States District Court for the Southern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District of Florida concerning raniditine. The lawsuits against the Company in the MDLs include putative class actions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Canada and other countries. The Company has also received claims and inquiries related to these products, as well as requests to indemnify purchasers of the Company’s API and/ or finished dose forms of these products. The original master complaints concerning ranitidine were dismissed on December 31, 2020. The Company has not been named as a defendant in the amended master complaints, though it is still named in certain short form personal injury complaints. The end-payor plaintiffs in the ranitidine matter have filed an appeal to the U.S. Court of Appeals for the Eleventh Circuit.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Lipitor</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Viagra</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Since April 2016, an MDL has been pending in the U.S. District Court for the Northern District of California,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In April 2020, plaintiffs filed a notice of appeal in the U.S. Court of Appeals for the Ninth Circuit. The parties have reached a settlement in principle.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Dilantin</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Since 2018, a number of individual and multi-plaintiff lawsuits have been filed against Pfizer and related entities in various federal and state courts, alleging that the plaintiffs developed cerebellar atrophy as a result of the ingestion of Dilantin. Plaintiffs seek compensatory and punitive damages. The cases are in various stages, from the initial pleading stage to discovery, and some at the bellwether case selection phase.</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is involved in a number of patent litigation lawsuits involving the validity and/or infringement of patents held by branded 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accrued approximately $301.7 million as of March 31, 2021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Insulin Glargine</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October 24, 2017, Sanofi and affiliated entities (collectively for the purposes of this section, “Sanofi”), sued Mylan GmbH and other Mylan entities in the U.S. District Court for the District of New Jersey asserting that Mylan GmbH’s new drug application for insulin glargine injection 100 Units/mL vials and prefilled injection pens (SEMGLEE® vial and pens) infringed 18 U.S. patents. 2 of the 18 patents covered the insulin glargine formulation. Both of these patents have been held invalid and all appeals have concluded. These two patents were the only patents asserted against the SEMGLEE® vial product.</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16 other asserted patents relate to a pen injection device (“device patents”) and were asserted only against the SEMGLEE® pen injection device. Prior to trial, Sanofi dismissed 12 of those device patents from the case and granted the Company a covenant not to sue with respect to them. On June 17, 2019, following the District Court’s claim construction order, the District Court entered judgment of non-infringement with respect to the asserted claims of three of the four remaining device patents (U.S. Patent Numbers 8,603,044, 8,679,069, 8,992,486).</w:t>
      </w:r>
    </w:p>
    <w:p>
      <w:pPr>
        <w:spacing w:after="0" w:line="17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Only one device patent remained for trial (U.S. Patent Number 9,526,844). On March 9, 2020, the District Court issued an opinion after trial finding all asserted claims of the ‘844 patent not infringed and invalid for lack of written description. Sanofi’s appeal is pending.</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September 10, 2018, Mylan Pharmaceuticals Inc. (“MPI”) filed IPR petitions challenging five device patents (the ‘844, ‘044, ‘069, ‘486, and ‘008 patents). On April 2, 2020 and May 29, 2020, the PTAB issued final written decisions in the IPR proceedings finding all challenged claims unpatentable except for two claims of the ‘008 patent for which Sanofi granted the Company a covenant not to sue as described above. Sanofi’s appeals of all these IPR decisions are pending.</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March 26, 2021, the PTAB issued a final written decision in an IPR proceeding in which MPI challenged an additional Sanofi device patent (U.S. Patent Number RE47,614) and found all challenged claims unpatentable.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11, 2020, the FDA approved the SEMGLEE® vial and pen products, which MPI began selling on August 31,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Dimethyl Fumarate</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 infringed six U.S. patents that Biogen had listed in the Orange Book: 6,509,376, 7,320,999, 7,619,001, 7,803,840, 8,759,393, and 8,399,514. All patents except for the ‘514 expired during the litigation and were dismissed from the case.</w:t>
      </w:r>
    </w:p>
    <w:p>
      <w:pPr>
        <w:spacing w:after="0" w:line="1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After a trial involving only the ’514 patent on June 18, 2020, the District Court issued a judgment finding all claims of the ’514 patent invalid for lack of adequate written description. Biogen’s appeal is pending.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13, 2018, MPI filed an IPR petition challenging the ’514 patent based only on obviousness. On February 5, 2020, the PTAB issued a final written decision finding the claims not obvious. MPI’s appeal is pending.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17, 2020, the FDA approved MPI’s dimethyl fumarate delayed-release capsules, which MPI began selling on August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United Kingdom</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and Northern Ireland) filed their claims.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Canada</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In June 2014, Pharmascience Inc. (“PMS”) commenced an action against Pfizer Canada Inc., Warner-Lambert Company and Warner-Lambert Company LLC (the Pfizer Canada Defendants) seeking damages in connection with an earlier unsuccessful patent litigation brought by the Pfizer Canada Defendants involving pregabalin. PMS claims lost profit damages from November 30, 2010, the date it received tentative regulatory approval for its pregabalin product, to February 13, 2013, the date Pfizer’s patent case against PMS was dismissed. A trial is scheduled for July 2021.</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Company is involved in various other legal proceedings including commercial, contractual, employment, or other similar matters that are considered normal to its business. The Company has approximately $17.0 million accrued related to these various other legal proceedings at March 31, 2021.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Viatris Inc. and</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subsidiaries for the periods presented. Unless context requires otherwise, the “Company,” “Viatris,” “our” or “we” refer to Viatris Inc. and its subsidiaries.</w:t>
      </w:r>
    </w:p>
    <w:p>
      <w:pPr>
        <w:spacing w:after="0" w:line="23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2020 Form 10-K, the unaudited interim financial statements and related Notes included in Part I — ITEM 1 of this Form 10-Q and our other SEC filings and public disclosures. The interim results of operations and comprehensive earnings for the three months ended March 31, 2021, and cash flows for the three months ended March 31, 2021 are not necessarily indicative of the results to be expected for the full fiscal year or any other future period.</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Form 10-Q contains “forward-looking statements”. These statements are made pursuant to the safe harbor provisions of the Private Securities Litigation Reform Act of 1995. Such forward-looking statements may include, without limitation,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debt ratio and covenants, anticipated business levels, future earnings, planned activities, anticipated growth, market opportunities, strategies, competitions,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0" w:lineRule="exact"/>
        <w:rPr>
          <w:sz w:val="20"/>
          <w:szCs w:val="20"/>
          <w:color w:val="auto"/>
        </w:rPr>
      </w:pPr>
    </w:p>
    <w:p>
      <w:pPr>
        <w:spacing w:after="0" w:line="215" w:lineRule="exact"/>
        <w:rPr>
          <w:sz w:val="20"/>
          <w:szCs w:val="20"/>
          <w:color w:val="auto"/>
        </w:rPr>
      </w:pPr>
    </w:p>
    <w:p>
      <w:pPr>
        <w:ind w:left="660" w:hanging="328"/>
        <w:spacing w:after="0" w:line="22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integration of Mylan and the Upjohn Business or the implementation of the Company’s global restructuring program being more difficult, time consuming or costly than expected;</w:t>
      </w:r>
    </w:p>
    <w:p>
      <w:pPr>
        <w:ind w:left="660" w:right="72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ind w:left="660" w:right="30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successfully integrate Mylan and the Upjohn Business or implement its global restructuring program;</w:t>
      </w:r>
    </w:p>
    <w:p>
      <w:pPr>
        <w:ind w:left="660" w:right="90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all intended benefits of its strategic initiatives;</w:t>
      </w:r>
    </w:p>
    <w:p>
      <w:pPr>
        <w:ind w:left="660" w:right="56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relevant laws and regulations, including but not limited to changes in tax, healthcare and pharmaceutical laws and regulations globally;</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ind w:left="660" w:right="68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ind w:left="660" w:right="66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ind w:left="660" w:right="26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28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ind w:left="660" w:right="520" w:hanging="328"/>
        <w:spacing w:after="0" w:line="23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ind w:left="660" w:right="320" w:hanging="328"/>
        <w:spacing w:after="0" w:line="21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and global exchange rates; and</w:t>
      </w:r>
    </w:p>
    <w:p>
      <w:pPr>
        <w:ind w:left="660" w:right="280" w:hanging="328"/>
        <w:spacing w:after="0" w:line="23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in the 2020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16"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Mylan is considered the accounting acquirer of the Upjohn Business and all historical financial information of the Company prior to November 16, 2020 represents Mylan’s historical results and the Company’s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Viatris is a global healthcare company formed in November 2020 through the combination of Mylan and Upjohn, whose mission is to empower people worldwide to live healthier at every stage of life. By integrating the strengths of these two businesses, including our global workforce of more than 40,000 employees and contractors, Viatris aims to deliver increased access to affordable, quality medicines for patients worldwide regardless of geography or circumstance. Viatris brings together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 generic, complex generic, and biosimilar products. Viatris operates approximately 50 manufacturing sites worldwide that produce oral solid doses, injectables, complex dosage forms and APIs. Viatris is headquartered in the U.S., with global centers in Pittsburgh, Pennsylvania, Shanghai, China and Hyderabad, India.</w:t>
      </w:r>
    </w:p>
    <w:p>
      <w:pPr>
        <w:spacing w:after="0" w:line="184"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1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24" w:lineRule="exact"/>
        <w:rPr>
          <w:sz w:val="20"/>
          <w:szCs w:val="20"/>
          <w:color w:val="auto"/>
        </w:rPr>
      </w:pPr>
    </w:p>
    <w:p>
      <w:pPr>
        <w:ind w:right="280" w:firstLine="648"/>
        <w:spacing w:after="0" w:line="243" w:lineRule="auto"/>
        <w:rPr>
          <w:sz w:val="20"/>
          <w:szCs w:val="20"/>
          <w:color w:val="auto"/>
        </w:rPr>
      </w:pPr>
      <w:r>
        <w:rPr>
          <w:rFonts w:ascii="Arial" w:cs="Arial" w:eastAsia="Arial" w:hAnsi="Arial"/>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2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several companies launched a generic to Lyrica® in Japan in December 2020 despite pending patent infringement litigation. While the litigation remains ongoing, the rate of generic conversion is significant and, combined with market dynamics relating to the COVID-19 pandemic, the Company expects a significant reduction in the annual revenues of Lyrica®.</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may be impacted upon completion of the restructuring initiative.</w:t>
      </w:r>
    </w:p>
    <w:p>
      <w:pPr>
        <w:spacing w:after="0" w:line="19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 In addition, management believes the potential annual savings related to these committed restructuring activities to be between $700 million and $900 million once fully implemented, with most of these savings expected to improve operating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Coronavirus pandemic on our business and results of operations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section discusses the important measures the Company is taking in light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Health and Safety</w:t>
      </w:r>
    </w:p>
    <w:p>
      <w:pPr>
        <w:spacing w:after="0" w:line="256" w:lineRule="exact"/>
        <w:rPr>
          <w:sz w:val="20"/>
          <w:szCs w:val="20"/>
          <w:color w:val="auto"/>
        </w:rPr>
      </w:pPr>
    </w:p>
    <w:p>
      <w:pPr>
        <w:ind w:left="660" w:right="7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Viatris continues to align with government and health authority guidelines in an effort to safeguard our workforce and continues to make assessments on an ongoing basis.</w:t>
      </w:r>
    </w:p>
    <w:p>
      <w:pPr>
        <w:spacing w:after="0" w:line="197" w:lineRule="exact"/>
        <w:rPr>
          <w:rFonts w:ascii="Arial" w:cs="Arial" w:eastAsia="Arial" w:hAnsi="Arial"/>
          <w:sz w:val="18"/>
          <w:szCs w:val="18"/>
          <w:color w:val="auto"/>
        </w:rPr>
      </w:pPr>
    </w:p>
    <w:p>
      <w:pPr>
        <w:jc w:val="both"/>
        <w:ind w:left="660" w:right="22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While Viatris’ business operations are currently considered essential based on government guidelines throughout the world due to the important role pharmaceutical manufacturers play within the global healthcare system, many Viatris administrative offices continue operating under work from home protocols.</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Because protecting the health and safety of our workforce remains paramount, Viatris has taken extra precautions at manufacturing facilities to aid in the protection of site personnel and operations, including the implementation of social distancing guidelines, daily health assessments and split shifts where feasible.</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Many customer facing field personnel have moved to a remote engagement model to ensure continued support for healthcare professionals, patient care and access to needed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Global restrictions have been placed on travel and in-person meetings.</w:t>
      </w:r>
    </w:p>
    <w:p>
      <w:pPr>
        <w:spacing w:after="0" w:line="25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Viatris has taken steps to protect the safety of study participants, our employees and staff at clinical trial sites and ensure regulatory compliance and scientific integrity of trial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Continuing to Produce Critically Needed Medicines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Manufacturing and Supply</w:t>
      </w:r>
    </w:p>
    <w:p>
      <w:pPr>
        <w:spacing w:after="0" w:line="252" w:lineRule="exact"/>
        <w:rPr>
          <w:sz w:val="20"/>
          <w:szCs w:val="20"/>
          <w:color w:val="auto"/>
        </w:rPr>
      </w:pPr>
    </w:p>
    <w:p>
      <w:pPr>
        <w:ind w:left="660" w:right="3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Viatris has activated worldwide business continuity plans to seek to ensure that our global supply chain platform continues to operate without significant disruption.</w:t>
      </w:r>
    </w:p>
    <w:p>
      <w:pPr>
        <w:spacing w:after="0" w:line="197"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manufacturing facilities, and those of our key global partners, are currently operational and, at this time, we are not experiencing any significant disruptions to our supply chain, including the availability of APIs. Also, we are currently not experiencing any negative impact on our customer service levels.</w:t>
      </w:r>
    </w:p>
    <w:p>
      <w:pPr>
        <w:spacing w:after="0" w:line="210"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Viatris has a broad, diverse and resilient global manufacturing and supply chain footprint. We are not dependent on any one country or site. Even in India, our manufacturing footprint is spread over five different states, which mitigates the risk of disruption in any given part of the country.</w:t>
      </w:r>
    </w:p>
    <w:p>
      <w:pPr>
        <w:spacing w:after="0" w:line="150" w:lineRule="exact"/>
        <w:rPr>
          <w:rFonts w:ascii="Arial" w:cs="Arial" w:eastAsia="Arial" w:hAnsi="Arial"/>
          <w:sz w:val="16"/>
          <w:szCs w:val="16"/>
          <w:color w:val="auto"/>
        </w:rPr>
      </w:pPr>
    </w:p>
    <w:p>
      <w:pPr>
        <w:ind w:left="660" w:right="2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Viatris continues to engage with regulatory authorities around the world who are committed to maintaining ongoing regulatory processes while also continuing to make available our global R&amp;D, regulatory and manufacturing expertise and capacity to partners who may be in need of additional resources.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Commercial Operations</w:t>
      </w:r>
    </w:p>
    <w:p>
      <w:pPr>
        <w:spacing w:after="0" w:line="252" w:lineRule="exact"/>
        <w:rPr>
          <w:sz w:val="20"/>
          <w:szCs w:val="20"/>
          <w:color w:val="auto"/>
        </w:rPr>
      </w:pPr>
    </w:p>
    <w:p>
      <w:pPr>
        <w:ind w:left="660" w:right="1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and continue to experience certain negative fluctuations in demand trends due to COVID-19. We will continue to monitor trends closely as we work to ensure patients have access to needed medicine.</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Inventory levels, both ours and those in our distribution channel, remain in-line with normal levels and are currently assessed to be sufficient for anticipated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Deploying Resources and Expertise in the Fight Against COVID-19</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Development</w:t>
      </w:r>
    </w:p>
    <w:p>
      <w:pPr>
        <w:spacing w:after="0" w:line="252" w:lineRule="exact"/>
        <w:rPr>
          <w:sz w:val="20"/>
          <w:szCs w:val="20"/>
          <w:color w:val="auto"/>
        </w:rPr>
      </w:pPr>
    </w:p>
    <w:p>
      <w:pPr>
        <w:ind w:left="660" w:right="10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May 12, 2020, Mylan announced a global collaboration with Gilead Sciences, Inc. to expand access to the investigational antiviral remdesivir for the potential treatment of COVID-19. Under the terms of the license agreement the Company has rights to manufacture and distribute remdesivir in 127 low-and middle-income countries, including India.</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July 6, 2020, Mylan announced that the DCGI approved its remdesivir 100 mg/vial for restricted emergency use in India as part of the DCGI’s accelerated approval process to address urgent, unmet needs amid the evolving COVID-19 pandemic.</w:t>
      </w:r>
    </w:p>
    <w:p>
      <w:pPr>
        <w:spacing w:after="0" w:line="197" w:lineRule="exact"/>
        <w:rPr>
          <w:rFonts w:ascii="Arial" w:cs="Arial" w:eastAsia="Arial" w:hAnsi="Arial"/>
          <w:sz w:val="18"/>
          <w:szCs w:val="18"/>
          <w:color w:val="auto"/>
        </w:rPr>
      </w:pPr>
    </w:p>
    <w:p>
      <w:pPr>
        <w:ind w:left="660" w:right="64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November 20, 2020, the World Health Organization issued a conditional recommendation against the use of remdesivir in hospitalized patients, regardless of disease severity, as there was no evidence that remdesivir improved survival and other outcomes in these patients.</w:t>
      </w:r>
    </w:p>
    <w:p>
      <w:pPr>
        <w:spacing w:after="0" w:line="123" w:lineRule="exact"/>
        <w:rPr>
          <w:rFonts w:ascii="Arial" w:cs="Arial" w:eastAsia="Arial" w:hAnsi="Arial"/>
          <w:sz w:val="16"/>
          <w:szCs w:val="16"/>
          <w:color w:val="auto"/>
        </w:rPr>
      </w:pPr>
    </w:p>
    <w:p>
      <w:pPr>
        <w:ind w:left="660" w:right="4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Viatris has ramped up production of antiviral medicines, including remdesivir, and continues to work with government authorities in India to further reduce the cost of the medicines and educate more than 20,000 healthcare professionals about product usage as the country works to overcome its current COVID outbreak.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Maintaining the Health of Our Overall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Access to Capital Markets and Liquidity</w:t>
      </w:r>
    </w:p>
    <w:p>
      <w:pPr>
        <w:spacing w:after="0" w:line="252"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While currently we are not experiencing any negative liquidity trends related to the COVID-19 pandemic, we continue to closely monitor developments and the potential negative impact on our operating performance and our ability to access the capital markets.</w:t>
      </w:r>
    </w:p>
    <w:p>
      <w:pPr>
        <w:spacing w:after="0" w:line="173"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Due to the Company’s ability to generate significant cash flows from operations, as well as its revolving credit agreement, other short-term borrowing facilities and access to capital markets, we believe that we currently have, and will maintain, the ability to meet foreseeable liquidity needs.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on Results of Operations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global spread of COVID-19 has created significant volatility, uncertainty and economic disruption affecting the markets we serve, and has had a negative impact on our current year results of operations. The extent to which the COVID-19 pandemic will impact our business, operations and financial results in future periods will depend on numerous evolving factors that are beyond our control and that we may not be able to accurately predict. For additional information, see “Item 2.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Results of Operations.</w:t>
      </w:r>
      <w:r>
        <w:rPr>
          <w:rFonts w:ascii="Arial" w:cs="Arial" w:eastAsia="Arial" w:hAnsi="Arial"/>
          <w:sz w:val="17"/>
          <w:szCs w:val="17"/>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is a summary of the Company’s financial results for the three months ended March 31, 2021 compared to the prior year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r>
      <w:tr>
        <w:trPr>
          <w:trHeight w:val="19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26"/>
        </w:trPr>
        <w:tc>
          <w:tcPr>
            <w:tcW w:w="5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4,430.3</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1,811.1</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(Loss) earnings from operations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Diluted (loss)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2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2021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1"/>
              </w:rPr>
              <w:t>2021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340" w:type="dxa"/>
            <w:vAlign w:val="bottom"/>
          </w:tcPr>
          <w:p>
            <w:pPr>
              <w:jc w:val="right"/>
              <w:ind w:right="202"/>
              <w:spacing w:after="0" w:line="18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2,571.6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1,986.4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4,400.1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2,588.2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4,281.2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2021, other revenues in Developed Markets, Greater China, JANZ, and Emerging Markets were approximately $22.3 million, $1.4 million, $0.4 million, and $6.1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For the current quarter, Viatris reported total revenues of $4.43 billion, compared to $2.62 billion for the comparable prior year period, representing an increase of $1.81 billion, or 69%. Total revenues include both net sales and other revenues from third parties. Net sales for the current quarter were $4.40 billion, compared to $2.59 billion for the comparable prior year period, representing an increase of $1.81 billion, or 70%. Other revenues for the current quarter were $30.2 million, compared to $31.0 million for the comparable prior year period.</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increase in total revenues and net sales was primarily driven by net sales totaling $1.72 billion from the Upjohn Business in the current quarter and approximately $163.2 million of new product sales, partially offset by a decrease of approximately $191.5 million in net sales from existing products as a result of lower pricing and volumes. New product sales include new products launched in 2021 and the carryover impact of new products, including business development, launched since April 1, 2020. The Company’s net sales were favorably impacted by the effect of foreign currency translation, primarily reflecting changes in the U.S. Dollar as compared to the currencies of subsidiaries in countries within the EU and in Australia. The net favorable impact of foreign currency translation on net sales was approximately $118.9 million, or 5%. On a constant currency basis, the increase in net sales was approximately $1.69 billion, or 65% for the three months ended March 31, 2021. We estimate that the COVID-19 pandemic negatively impacted our first quarter 2021 net sales by approximately 3%, primarily driven by lower retail pharmacy demand, as the Company experienced a positive impact on customer purchasing patterns in the prior year which did not recur, lower non-COVID-19 related patient hospital visits and a lower number of in person meetings with prescribers.</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a limited number of our products may represent a significant portion of our net sales, gross profit and net earnings. Our top ten products in terms of net sales, in the aggregate, represented approximately 35% and 22% for the three months ended March 31, 2021 and 2020, respectively, with the year-over-year increase a result of the Combination. This percentage may fluctuate based upon the timing of new product launches, seasonality and the timing of changes in competition.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Net sales from Developed Markets increased by $585.2 million or 29% during the three months ended March 31, 2021 when compared to the prior year period. Net sales within North America totaled approximately $1.20 billion and net sales within Europe totaled approximately $1.37 billion. This increase was due primarily to net sales from the Upjohn Business in the current quarter of $533.4 million and new product sales. This increase was partially offset by lower volumes primarily driven by the impact of products divested in 2020 as a result of the Combination and higher sales in the prior year period related to customer purchasing patterns in Europe due to COVID-19 related uncertainties, partially offset by higher volumes in North America of EpiPen® Auto-Injector and biosimilar products. Lower pricing on net sales of existing products also partially offset the overall increase in net sales, and was driven by changes in the competitive environment, including for Levothyroxine Sodium. The favorable impact of foreign currency translation on current period net sales was approximately $96.9 million, or 5%. Constant currency net sales increased by approximately $488.3 million, or 25% when compared to the prior year period.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jc w:val="both"/>
        <w:ind w:right="220" w:firstLine="648"/>
        <w:spacing w:after="0" w:line="275" w:lineRule="auto"/>
        <w:rPr>
          <w:sz w:val="20"/>
          <w:szCs w:val="20"/>
          <w:color w:val="auto"/>
        </w:rPr>
      </w:pPr>
      <w:r>
        <w:rPr>
          <w:rFonts w:ascii="Arial" w:cs="Arial" w:eastAsia="Arial" w:hAnsi="Arial"/>
          <w:sz w:val="17"/>
          <w:szCs w:val="17"/>
          <w:color w:val="auto"/>
        </w:rPr>
        <w:t>Net sales from Greater China increased by $576.8 million for the three months ended March 31, 2021 when compared to the prior year period. This increase was the result of net sales from the Upjohn Business in the current quarter of $592.0 million. This was partially offset by lower net sales of existing products, driven by lower volumes, and to a lesser extent, lower pricing. Volumes on net sales of existing products were negatively impacted by competitive market conditions, including VBP. The unfavorable impact of foreign currency translation was approximately $0.2 million, or 1%. Constant currency net sales increased by approximately $577.0 million when compared to the prior year.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Net sales from JANZ increased by $238.7 million or 98% for the three months ended March 31, 2021 when compared to the prior year. This increase was the result of net sales from the Upjohn Business in the current quarter of $189.6 million, higher net sales of existing products driven by higher volumes in Japan, the favorable impact of foreign currency translation, and to a lesser extent, new product sales in Japan. These increases were partially offset by lower pricing on net sales of existing products. Higher volumes from net sales of existing products were due to higher sales in Japan of Amitiza, Lipacreon, and the EpiPen® Auto-Injector. Foreign currency translation had a favorable impact of approximately $21.9 million, or 9%. Constant currency net sales increased by approximately $216.8 million, or 89% when compared to the prior year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Net sales from Emerging Markets increased by $411.2 million or 120% for the three months ended March 31, 2021 when compared to the prior year period. This increase was the result of net sales from the Upjohn Business in the current quarter of $406.2 million and new product sales. These increases were partially offset by lower net sales of existing products, driven by lower volumes, and to a lesser extent, lower pricing. The favorable impact of foreign currency translation was $0.3 million, or less than 1%. Constant currency net sales increased by approximately $410.9 million, or 120%.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Cost of sales increased from $1.71 billion for the three months ended March 31, 2020 to $3.30 billion for the three months ended March 31, 2021. Cost of sales was primarily impacted by purchase accounting related amortization of acquired intangible assets and other special items, which are described further in the section titled </w:t>
      </w:r>
      <w:r>
        <w:rPr>
          <w:rFonts w:ascii="Arial" w:cs="Arial" w:eastAsia="Arial" w:hAnsi="Arial"/>
          <w:sz w:val="18"/>
          <w:szCs w:val="18"/>
          <w:i w:val="1"/>
          <w:iCs w:val="1"/>
          <w:color w:val="auto"/>
        </w:rPr>
        <w:t>Use of Non-GAAP Financial Measures.</w:t>
      </w:r>
      <w:r>
        <w:rPr>
          <w:rFonts w:ascii="Arial" w:cs="Arial" w:eastAsia="Arial" w:hAnsi="Arial"/>
          <w:sz w:val="18"/>
          <w:szCs w:val="18"/>
          <w:color w:val="auto"/>
        </w:rPr>
        <w:t xml:space="preserve"> Gross profit for the three months ended March 31, 2021 was $1.13 billion and gross margins were 25%. For the three months ended March 31, 2020, gross profit was $906.1 million and gross margins were 35%. Cost of sales from the Upjohn Business, including the impact of amortization expense, was $1.23 billion for the three months ended March 31, 2021. This includes increased amortization expense of $777.7 million primarily for purchase accounting related amortization of intangible assets and the step-up of acquired inventory. Gross profit from net sales of existing products were impacted equally by lower volumes and lower pricing. Adjusted gross margins were 60% for the three months ended March 31, 2021, compared to 53% for the three months ended March 31, 2020, with the year-over-year increase driven by the impact of the Combination.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three months ended March 31, 2021 compared to the three months ended March 31, 2020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3,303.0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1,713.1</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Deduct: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30"/>
        </w:trPr>
        <w:tc>
          <w:tcPr>
            <w:tcW w:w="87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7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1,238.8</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2,639.9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1,380.4</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27" w:lineRule="auto"/>
        <w:tabs>
          <w:tab w:leader="none" w:pos="655"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R&amp;D expense for the three months ended March 31, 2021 was $184.1 million, compared to $114.2 million for the comparable prior year period, an increase of $69.9 million. This increase was primarily due to costs associated with the Upjohn Business of $35.8 million and increased costs for inventory validation batches for certain products under development.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SG&amp;A expense for the current quarter was $1.19 billion, compared to $605.4 million for the comparable prior year period, an increase of $581.1 million. The increase was primarily due to costs related to the Upjohn Business of $436.4 million, and an increase of approximately $137.5 million for restructuring costs due to the implementation of the 2020 restructuring program and an approximately $35.0 million increase related to acquisition related costs. Partially offsetting these increases were lower selling and promotional expenses, including through our active management related to synergies and certain lower expenses as a result of COVID-19.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2021 and 2020, the Company recorded a net charge of $22.9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March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r>
      <w:tr>
        <w:trPr>
          <w:trHeight w:val="1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87"/>
              </w:rPr>
              <w:t>6.6</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13.8</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35"/>
              <w:spacing w:after="0"/>
              <w:rPr>
                <w:sz w:val="20"/>
                <w:szCs w:val="20"/>
                <w:color w:val="auto"/>
              </w:rPr>
            </w:pPr>
            <w:r>
              <w:rPr>
                <w:rFonts w:ascii="Arial" w:cs="Arial" w:eastAsia="Arial" w:hAnsi="Arial"/>
                <w:sz w:val="18"/>
                <w:szCs w:val="18"/>
                <w:color w:val="auto"/>
                <w:w w:val="91"/>
              </w:rPr>
              <w:t>(4.8)</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87"/>
              </w:rPr>
              <w:t>1.8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three months ended March 31, 2021, the Company recorded a $9.1 million loss for fair value adjustments related to the respiratory delivery platform contingent consideration. In addition, the Company recognized litigation related charges of $13.8 million. During the three months ended March 31, 2020, the Company recorded a $6.6 million loss for fair value adjustments related to the respiratory delivery platform contingent consideration. Partially offsetting this item was a net gain of approximately $4.8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Interest expense for the three months ended March 31, 2021 totaled $169.0 million, compared to $119.9 million for the three months ended March 31, 2020, an increase of $49.1 million. The increase is due to the interest expense related to the additional debt assumed in the Combination of approximately $75.6 million, partially offset by amortization of debt premium of $17.2 million and by the impact of debt repayments in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Other expense, net was $6.1 million for the three months ended March 31, 2021, compared to $34.1 million for the comparable prior year period. Other expense, net includes losses from equity affiliates, foreign exchange gains and losses and interest and dividend income. Other expense, net was comprised of the following for the three months ended March 31, 2021 and 2020,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equity affiliates, primarily clean energy investments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Foreign exchange (gains) losses,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losses,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Other expense,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the three months ended March 31, 2021, the Company recognized an income tax provision of $596.3 million, compared to an income tax provision of $9.9 million for the comparable prior year period, an increase of $586.4 million. The income tax provision for the three months ended March 31, 2021 was negatively impacted by the tax rates applied to the reversal of intercompany profit in inventory reserve which was recorded on the opening balance sheet as part of Combination. This reserve eliminates the profit in inventory related to intercompany transactions and changes to this reserve occur as products are sold to third parties. Also impacting the current year income tax provision was the changing mix of income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9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EBITDA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For the acquisition of businesses accounted for under the provisions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These expenses and payments are excluded from adjusted net earnings and adjusted EBITDA because they generally occur at irregular intervals and are not indicative of the Company’s ongoing operations.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impact of changes to the fair value of contingent consideration and accretion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Share-based compensation expense is excluded from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62" w:lineRule="exact"/>
        <w:rPr>
          <w:sz w:val="20"/>
          <w:szCs w:val="20"/>
          <w:color w:val="auto"/>
        </w:rPr>
      </w:pPr>
    </w:p>
    <w:p>
      <w:pPr>
        <w:ind w:left="980" w:right="540" w:hanging="324"/>
        <w:spacing w:after="0" w:line="263"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21"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exit costs, and other business transformation and/or optimization initiatives, which are not part of a formal restructuring program, including employee separation and post-employment costs;</w:t>
      </w:r>
    </w:p>
    <w:p>
      <w:pPr>
        <w:spacing w:after="0" w:line="25"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 and</w:t>
      </w:r>
    </w:p>
    <w:p>
      <w:pPr>
        <w:spacing w:after="0" w:line="63"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changes related to uncertain tax positions and certain impacts related to the Combination are excluded from adjusted net earnings. In addition, tax adjustments to adjusted earnings are recorded to present items on an after-tax basis consistent with the presentation of adjusted net earnings.</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undertaken restructurings and other optimization initiatives of differing types, scope and amount during the covered periods and, therefore, these charges should not be considered non-recurring; however, management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excludes these amounts from adjusted net earnings and adjusted EBITDA because it believes it is helpful to understanding the underlying, ongoing operational performance of the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Charges and gains related to legal matters, such as those discussed in Note 18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 Item 1 of this Form 10-Q are generally excluded from adjusted net earnings and adjusted EBITDA. Normal, ongoing defense costs of the Company made in the normal course of our business are not excluded.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(Loss) Earnings to Adjusted Net Earnings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between net (loss) earnings as reported under U.S. GAAP, and adjusted net earnings for the periods shown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(loss)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8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accounting related amortization (primarily included in cost of sales) </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352.2</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settlements and other contingencies, net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Interest expense (primarily amortization of premiums and discounts on long term debt)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Clean energy investments pre-tax loss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8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related costs (primarily included in SG&amp;A) </w:t>
            </w:r>
            <w:r>
              <w:rPr>
                <w:rFonts w:ascii="Arial" w:cs="Arial" w:eastAsia="Arial" w:hAnsi="Arial"/>
                <w:sz w:val="23"/>
                <w:szCs w:val="23"/>
                <w:color w:val="auto"/>
                <w:vertAlign w:val="superscript"/>
              </w:rPr>
              <w:t>(b)</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8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special items included in: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(d)</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29"/>
        </w:trPr>
        <w:tc>
          <w:tcPr>
            <w:tcW w:w="87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Research and development expense </w:t>
            </w:r>
            <w:r>
              <w:rPr>
                <w:rFonts w:ascii="Arial" w:cs="Arial" w:eastAsia="Arial" w:hAnsi="Arial"/>
                <w:sz w:val="23"/>
                <w:szCs w:val="23"/>
                <w:color w:val="auto"/>
                <w:vertAlign w:val="superscript"/>
              </w:rPr>
              <w:t>(e)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the above items and other income tax related items </w:t>
            </w:r>
            <w:r>
              <w:rPr>
                <w:rFonts w:ascii="Arial" w:cs="Arial" w:eastAsia="Arial" w:hAnsi="Arial"/>
                <w:sz w:val="23"/>
                <w:szCs w:val="23"/>
                <w:color w:val="auto"/>
                <w:vertAlign w:val="superscript"/>
              </w:rPr>
              <w:t>(f)</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63" w:lineRule="exact"/>
        <w:rPr>
          <w:sz w:val="20"/>
          <w:szCs w:val="20"/>
          <w:color w:val="auto"/>
        </w:rPr>
      </w:pPr>
    </w:p>
    <w:p>
      <w:pPr>
        <w:ind w:left="660" w:hanging="328"/>
        <w:spacing w:after="0" w:line="227" w:lineRule="auto"/>
        <w:tabs>
          <w:tab w:leader="none" w:pos="655"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2021 includes amortization of the purchase accounting inventory fair value adjustment related to the Combination totaling approximately $476.4 million.</w:t>
      </w:r>
    </w:p>
    <w:p>
      <w:pPr>
        <w:spacing w:after="0" w:line="40"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 Refer to SG&amp;A discussion within the section “Three Months Ended March 31, 2021 Compared to Three Months Ended March 31, 2020”.</w:t>
      </w:r>
    </w:p>
    <w:p>
      <w:pPr>
        <w:spacing w:after="0" w:line="40" w:lineRule="exact"/>
        <w:rPr>
          <w:rFonts w:ascii="Arial" w:cs="Arial" w:eastAsia="Arial" w:hAnsi="Arial"/>
          <w:sz w:val="23"/>
          <w:szCs w:val="23"/>
          <w:color w:val="auto"/>
          <w:vertAlign w:val="superscript"/>
        </w:rPr>
      </w:pPr>
    </w:p>
    <w:p>
      <w:pPr>
        <w:jc w:val="both"/>
        <w:ind w:left="660" w:hanging="328"/>
        <w:spacing w:after="0" w:line="234" w:lineRule="auto"/>
        <w:tabs>
          <w:tab w:leader="none" w:pos="655"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 xml:space="preserve">For the three months ended March 31, 2021 charges of approximately $167.8 million are included in cost of sales, approximately $6.4 million are included in R&amp;D, and approximately $141.2 million are included in SG&amp;A. Refer to Note 15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included in Part I, Item 1 of this Form 10-Q for additional information.</w:t>
      </w:r>
    </w:p>
    <w:p>
      <w:pPr>
        <w:spacing w:after="0" w:line="40" w:lineRule="exact"/>
        <w:rPr>
          <w:rFonts w:ascii="Arial" w:cs="Arial" w:eastAsia="Arial" w:hAnsi="Arial"/>
          <w:sz w:val="23"/>
          <w:szCs w:val="23"/>
          <w:color w:val="auto"/>
          <w:vertAlign w:val="superscript"/>
        </w:rPr>
      </w:pPr>
    </w:p>
    <w:p>
      <w:pPr>
        <w:jc w:val="both"/>
        <w:ind w:left="660" w:hanging="328"/>
        <w:spacing w:after="0"/>
        <w:tabs>
          <w:tab w:leader="none" w:pos="648"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Costs incurred during the three months ended March 31, 2021 includes incremental manufacturing variances and site remediation activities as a result of the activities at the Company’s Morgantown plant of approximately $45.0 million. Costs incurred during the three months ended March 31, 2020 primarily relate to incremental manufacturing variances and site remediation activities as a result of the activities at the Company’s Morgantown plant of approximately $58.8 million. In addition, the prior year period includes approximately $25.0 million related to a special bonus for plant employees as a result of the COVID-19 pandemic.</w:t>
      </w:r>
    </w:p>
    <w:p>
      <w:pPr>
        <w:spacing w:after="0" w:line="7" w:lineRule="exact"/>
        <w:rPr>
          <w:rFonts w:ascii="Arial" w:cs="Arial" w:eastAsia="Arial" w:hAnsi="Arial"/>
          <w:sz w:val="23"/>
          <w:szCs w:val="23"/>
          <w:color w:val="auto"/>
          <w:vertAlign w:val="superscript"/>
        </w:rPr>
      </w:pPr>
    </w:p>
    <w:p>
      <w:pPr>
        <w:ind w:left="660" w:hanging="328"/>
        <w:spacing w:after="0"/>
        <w:tabs>
          <w:tab w:leader="none" w:pos="66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Adjustments primarily relate to non-refundable payments related to development collaboration agreements.</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15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Below is a reconciliation of U.S. GAAP net (loss) earnings to EBITDA and adjusted EBITDA for the three months ended March 31, 2020 compared to the prior year period: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(loss)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Add adjustments: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contribution attributable to equity method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87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30"/>
        </w:trPr>
        <w:tc>
          <w:tcPr>
            <w:tcW w:w="870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Add adjustments: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Restructuring, acquisition related and other special items </w:t>
            </w:r>
            <w:r>
              <w:rPr>
                <w:rFonts w:ascii="Arial" w:cs="Arial" w:eastAsia="Arial" w:hAnsi="Arial"/>
                <w:sz w:val="23"/>
                <w:szCs w:val="23"/>
                <w:color w:val="auto"/>
                <w:vertAlign w:val="superscript"/>
              </w:rPr>
              <w:t>(c)</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w:t>
            </w: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580" w:hanging="248"/>
        <w:spacing w:after="0"/>
        <w:tabs>
          <w:tab w:leader="none" w:pos="58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5"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6"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(Loss) Earnings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primary source of liquidity is net cash provided by operating activities, which was $848.8 million for the three months ended March 31, 2021.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fund planned capital expenditures, or dividend payments, will substantially depend upon our future operating performance (which will be affected by prevailing economic conditions), and financial, business and other factors, some of which are beyond our control.</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Net cash provided by operating activities increased by $557.7 million to $848.8 million for the three months ended March 31, 2021, as compared to net cash provided by operating activities of $291.1 million for the three months ended March 31, 2020.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-24765</wp:posOffset>
            </wp:positionV>
            <wp:extent cx="5143500" cy="1714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provided by operating activities was favorably impacted in the current year period by higher net revenues of the combined company, when compared to the prior year period, along with the timing of working capital cash flows, particularly the increase in net cash provided by changes in the income taxes payable of $483.8 million and net cash provided by changes in accounts payable of $392.9 million. These impacts were partially offset by restructuring and acquisition-related cash expenses.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Net cash provided by investing activities was $236.3 million for the three months ended March 31, 2021, as compared to net cash used in investing activities of $145.6 million for the three months ended March 31, 2020, a net increase of $381.9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-19050</wp:posOffset>
            </wp:positionV>
            <wp:extent cx="5143500" cy="1714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investing activities included the following:</w:t>
      </w:r>
    </w:p>
    <w:p>
      <w:pPr>
        <w:spacing w:after="0" w:line="121" w:lineRule="exact"/>
        <w:rPr>
          <w:sz w:val="20"/>
          <w:szCs w:val="20"/>
          <w:color w:val="auto"/>
        </w:rPr>
      </w:pPr>
    </w:p>
    <w:p>
      <w:pPr>
        <w:ind w:left="980" w:right="40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received from acquisitions, net totaling approximately $277.0 million related to additional target cash balances received from Pfizer subsequent to the closing of the Combination; and</w:t>
      </w:r>
    </w:p>
    <w:p>
      <w:pPr>
        <w:spacing w:after="0" w:line="62"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capital expenditures, primarily for equipment and facilities, totaling approximately $49.5 million. While there can be no assurance that current expectations will be realized, capital expenditures for the 2021 calendar year are expected to be approximately $500 million to $650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2020, significant items in investing activities included the following:</w:t>
      </w:r>
    </w:p>
    <w:p>
      <w:pPr>
        <w:spacing w:after="0" w:line="121" w:lineRule="exact"/>
        <w:rPr>
          <w:sz w:val="20"/>
          <w:szCs w:val="20"/>
          <w:color w:val="auto"/>
        </w:rPr>
      </w:pPr>
    </w:p>
    <w:p>
      <w:pPr>
        <w:ind w:left="980" w:right="600" w:hanging="324"/>
        <w:spacing w:after="0" w:line="308" w:lineRule="auto"/>
        <w:tabs>
          <w:tab w:leader="none" w:pos="9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payments for product rights and other, net totaling approximately $67.1 million, primarily related to deferred non-contingent purchase payments for the acquisition of intellectual property rights and marketing authorizations in prior periods; and</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$43.4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Net cash used in financing activities was $1,099.8 million for the three months ended March 31, 2021, as compared to $24.8 million for the three months ended March 31, 2020, a net increase of $1,075.0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43500" cy="1714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repayments of short-term borrowings of $1.06 billion;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milestone payments totaling approximately $26.0 million related to the respiratory delivery platform contingent consideration.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2020, significant items in financing activities included the following:</w:t>
      </w:r>
    </w:p>
    <w:p>
      <w:pPr>
        <w:spacing w:after="0" w:line="121" w:lineRule="exact"/>
        <w:rPr>
          <w:sz w:val="20"/>
          <w:szCs w:val="20"/>
          <w:color w:val="auto"/>
        </w:rPr>
      </w:pPr>
    </w:p>
    <w:p>
      <w:pPr>
        <w:ind w:left="980" w:right="180" w:hanging="324"/>
        <w:spacing w:after="0" w:line="263"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payments totaling $19.3 million of the $24.3 million in milestone payments related to the respiratory delivery platform contingent consideration. The remaining payments related to the respiratory delivery platform contingent consideration are included as a component of other operating assets and liabilities, net within net cash from operating activities.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cash and cash equivalents totaled $806.9 million at March 31, 2021, and the majority of these funds are held by our non-U.S. subsidiaries. The Company anticipates having sufficient liquidity, including existing borrowing capacity under the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has access to $4.0 billion under the Revolving Facility which matures in November 2023. Up to $1.65 billion of the Revolving Facility may be used to support borrowings under our Commercial Paper Program.</w:t>
      </w:r>
    </w:p>
    <w:p>
      <w:pPr>
        <w:spacing w:after="0" w:line="17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addition to the Revolving Facility, MPI, a wholly owned subsidiary of the Company, has access to $400 million under the Receivables Facility, which expires in April 2022. As of March 31, 2021, the Company had no amounts outstanding under the Receivables Facility.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August 2020, the Company entered into the Note Securitization Facility for borrowings up to $200 million.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a commercial paper rate plus 0.925% and under the Note Securitization Facility at a rate per annum quoted from time to time by MUFG Bank, Ltd. plus 1.00%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and risk related to the receivables over to the buyers. Our factoring agreements do not allow for recourse in the event of uncollectibility, and we do not retain any interest in the underlying accounts receivable once sold. We derecognized $114.5 million and $153.0 million of accounts receivable as of March 31, 2021 and December 31, 2020 under these factoring arrangements, respectively.</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At March 31, 2021, our long-term debt, including the current portion, totaled $24.36 billion, as compared to $24.69 billion at December 31, 2020. Total long-term debt is calculated net of deferred financing fees which were $46.9 million and $49.2 million at March 31, 2021 and December 31, 2020,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regarding our debt and debt agreements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May 7, 2021, the Company’s Board of Directors declared a quarterly cash dividend of $0.11 per share on the Company’s issued and outstanding common stock. The cash dividend will be payable on June 16, 2021 to shareholders of record as of the close of business on May 24, 2021.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ways to create, enhance or otherwise unlock the value of the Company’s unique global platform in order to create shareholder value.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notional amount of long-term debt at March 31, 2021 was as follows for each of the periods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-19050</wp:posOffset>
            </wp:positionV>
            <wp:extent cx="5709285" cy="1714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928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Company’s Revolving Facility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maximum leverage ratio under the Revolving Facility is 4.25 to 1.00 for the first four full fiscal quarters following the close of the Combination and 3.75 to 1.00 thereafter, except in circumstances as defined in the Revolving Facility. The Company is in compliance at March 31, 2021 and expects to remain in compliance for the next twelve months.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Subsequent to the Combination, Utah Acquisition Sub Inc. is the issuer of the 3.150% Senior Notes due 2021, 3.950% Senior Notes due 2026 and 5.250% Senior Notes due 2046 (collectively, the “Utah Senior Notes”), which are fully and unconditionally guaranteed on a senior unsecured basis by Mylan Inc., Viatris Inc. and Mylan II B.V.</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Mylan Inc. is the issuer of the 4.200% Senior Notes due 2023, 4.550% Senior Notes due 2028, 5.400% Senior Notes due 2043 and 5.200% Senior Notes due 2048 (collectively, the “Mylan Inc. Senior Notes” and, together with the Utah Senior Notes, the “Senior Notes”), which are fully and unconditionally guaranteed on a senior unsecured basis by Mylan II B.V., Viatris Inc. and Utah Acquisition Sub Inc.</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The respective obligations of Viatris Inc., Mylan Inc., Utah Acquisition Sub Inc., and Mylan II B.V. as guarantors of the Senior Notes, as applicable, are senior unsecured obligations of the applicable guarantor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of such guarantor’s existing and future senior unsecured obligations that are not expressly subordinated to such guarantor’s guarantee of the applicable series of Senior Notes, rank senior in right of payment to any future obligations of such guarantor that are expressly subordinated to such guarantor’s guarantee of the applicable series of Senior Notes, and are effectively subordinated to such guarantor’s existing and future secured obligations to the extent of the value of the collateral securing such obligations. The respective obligations of Viatris Inc., Mylan Inc., Utah Acquisition Sub Inc., and Mylan II B.V. as guarantors of the Senior Notes, as applicable, are structurally subordinated to all of the existing and future liabilities, including trade payables, of the existing and future subsidiaries of such guarantor that do not guarantee the applicable series of Senior Notes.</w:t>
      </w:r>
    </w:p>
    <w:p>
      <w:pPr>
        <w:spacing w:after="0" w:line="178" w:lineRule="exact"/>
        <w:rPr>
          <w:sz w:val="20"/>
          <w:szCs w:val="20"/>
          <w:color w:val="auto"/>
        </w:rPr>
      </w:pPr>
    </w:p>
    <w:p>
      <w:pPr>
        <w:ind w:right="380" w:firstLine="648"/>
        <w:spacing w:after="0" w:line="275" w:lineRule="auto"/>
        <w:rPr>
          <w:sz w:val="20"/>
          <w:szCs w:val="20"/>
          <w:color w:val="auto"/>
        </w:rPr>
      </w:pPr>
      <w:r>
        <w:rPr>
          <w:rFonts w:ascii="Arial" w:cs="Arial" w:eastAsia="Arial" w:hAnsi="Arial"/>
          <w:sz w:val="17"/>
          <w:szCs w:val="17"/>
          <w:color w:val="auto"/>
        </w:rPr>
        <w:t>The guarantees by Viatris Inc., Mylan Inc. and Mylan II B.V. of the Utah Senior Notes will terminate under the following customary circumstances: (1) a sale or disposition of Mylan Inc. in a transaction that complies with the applicable indenture such that Mylan Inc. ceases to be a subsidiary of Viatris Inc.; (2) legal defeasance or covenant defeasance, each as described in the applicable indenture, or if Utah Acquisition Sub Inc.’s obligations under the applicable indenture are discharged; or (3) the earlier to occur of (i) the release of their respective guarantees under all applicable Mylan Inc. debt and (ii) Mylan Inc. no longer having any obligations in respect of any Mylan Inc. debt.</w:t>
      </w:r>
    </w:p>
    <w:p>
      <w:pPr>
        <w:spacing w:after="0" w:line="17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guarantee obligations of Viatris Inc., Mylan Inc., Utah Acquisition Sub Inc., and Mylan II B.V. under the Senior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table presents unaudited summarized financial information of Viatris Inc., Mylan Inc., Utah Acquisition Sub Inc., and Mylan II B.V. on a combined basis as of and for the three months ended March 31, 2021 and as of and for the year ended December 31, 2020. All intercompany balances have been eliminated in consolidation. This unaudited combined summarized financial information is presented utilizing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786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2"/>
        </w:trPr>
        <w:tc>
          <w:tcPr>
            <w:tcW w:w="1080" w:type="dxa"/>
            <w:vAlign w:val="bottom"/>
            <w:tcBorders>
              <w:top w:val="single" w:sz="8" w:color="0000FF"/>
            </w:tcBorders>
          </w:tcPr>
          <w:p>
            <w:pPr>
              <w:spacing w:after="0"/>
              <w:rPr>
                <w:sz w:val="24"/>
                <w:szCs w:val="24"/>
                <w:color w:val="auto"/>
              </w:rPr>
            </w:pPr>
          </w:p>
        </w:tc>
        <w:tc>
          <w:tcPr>
            <w:tcW w:w="6780" w:type="dxa"/>
            <w:vAlign w:val="bottom"/>
          </w:tcPr>
          <w:p>
            <w:pPr>
              <w:spacing w:after="0"/>
              <w:rPr>
                <w:sz w:val="24"/>
                <w:szCs w:val="24"/>
                <w:color w:val="auto"/>
              </w:rPr>
            </w:pPr>
          </w:p>
        </w:tc>
        <w:tc>
          <w:tcPr>
            <w:tcW w:w="3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Combined Summarized Balance Sheet Information of</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Viatris Inc., Mylan Inc., Utah Acquisition Sub Inc.</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8"/>
              </w:rPr>
              <w:t>and Mylan II B.V.</w:t>
            </w:r>
          </w:p>
        </w:tc>
        <w:tc>
          <w:tcPr>
            <w:tcW w:w="0" w:type="dxa"/>
            <w:vAlign w:val="bottom"/>
          </w:tcPr>
          <w:p>
            <w:pPr>
              <w:spacing w:after="0"/>
              <w:rPr>
                <w:sz w:val="1"/>
                <w:szCs w:val="1"/>
                <w:color w:val="auto"/>
              </w:rPr>
            </w:pPr>
          </w:p>
        </w:tc>
      </w:tr>
      <w:tr>
        <w:trPr>
          <w:trHeight w:val="26"/>
        </w:trPr>
        <w:tc>
          <w:tcPr>
            <w:tcW w:w="786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2021</w:t>
            </w:r>
          </w:p>
        </w:tc>
        <w:tc>
          <w:tcPr>
            <w:tcW w:w="120" w:type="dxa"/>
            <w:vAlign w:val="bottom"/>
          </w:tcPr>
          <w:p>
            <w:pPr>
              <w:spacing w:after="0"/>
              <w:rPr>
                <w:sz w:val="15"/>
                <w:szCs w:val="15"/>
                <w:color w:val="auto"/>
              </w:rPr>
            </w:pPr>
          </w:p>
        </w:tc>
        <w:tc>
          <w:tcPr>
            <w:tcW w:w="15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2"/>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59,873.2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61,272.4</w:t>
            </w:r>
          </w:p>
        </w:tc>
        <w:tc>
          <w:tcPr>
            <w:tcW w:w="0" w:type="dxa"/>
            <w:vAlign w:val="bottom"/>
          </w:tcPr>
          <w:p>
            <w:pPr>
              <w:spacing w:after="0"/>
              <w:rPr>
                <w:sz w:val="1"/>
                <w:szCs w:val="1"/>
                <w:color w:val="auto"/>
              </w:rPr>
            </w:pPr>
          </w:p>
        </w:tc>
      </w:tr>
      <w:tr>
        <w:trPr>
          <w:trHeight w:val="270"/>
        </w:trPr>
        <w:tc>
          <w:tcPr>
            <w:tcW w:w="78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20,951.7</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17,728.0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17,844.2</w:t>
            </w:r>
          </w:p>
        </w:tc>
        <w:tc>
          <w:tcPr>
            <w:tcW w:w="0" w:type="dxa"/>
            <w:vAlign w:val="bottom"/>
          </w:tcPr>
          <w:p>
            <w:pPr>
              <w:spacing w:after="0"/>
              <w:rPr>
                <w:sz w:val="1"/>
                <w:szCs w:val="1"/>
                <w:color w:val="auto"/>
              </w:rPr>
            </w:pPr>
          </w:p>
        </w:tc>
      </w:tr>
      <w:tr>
        <w:trPr>
          <w:trHeight w:val="489"/>
        </w:trPr>
        <w:tc>
          <w:tcPr>
            <w:tcW w:w="10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3"/>
              </w:rPr>
              <w:t>Combined Summarized Income Statement</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6"/>
              </w:rPr>
              <w:t>Information of Viatris Inc., Mylan Inc., Utah</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Acquisition Sub Inc. and Mylan II B.V.</w:t>
            </w:r>
          </w:p>
        </w:tc>
        <w:tc>
          <w:tcPr>
            <w:tcW w:w="0" w:type="dxa"/>
            <w:vAlign w:val="bottom"/>
          </w:tcPr>
          <w:p>
            <w:pPr>
              <w:spacing w:after="0"/>
              <w:rPr>
                <w:sz w:val="1"/>
                <w:szCs w:val="1"/>
                <w:color w:val="auto"/>
              </w:rPr>
            </w:pPr>
          </w:p>
        </w:tc>
      </w:tr>
      <w:tr>
        <w:trPr>
          <w:trHeight w:val="161"/>
        </w:trPr>
        <w:tc>
          <w:tcPr>
            <w:tcW w:w="786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Three-Months Ended</w:t>
            </w:r>
          </w:p>
        </w:tc>
        <w:tc>
          <w:tcPr>
            <w:tcW w:w="120" w:type="dxa"/>
            <w:vAlign w:val="bottom"/>
          </w:tcPr>
          <w:p>
            <w:pPr>
              <w:spacing w:after="0"/>
              <w:rPr>
                <w:sz w:val="13"/>
                <w:szCs w:val="13"/>
                <w:color w:val="auto"/>
              </w:rPr>
            </w:pP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86"/>
        </w:trPr>
        <w:tc>
          <w:tcPr>
            <w:tcW w:w="7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2021</w:t>
            </w:r>
          </w:p>
        </w:tc>
        <w:tc>
          <w:tcPr>
            <w:tcW w:w="120" w:type="dxa"/>
            <w:vAlign w:val="bottom"/>
          </w:tcPr>
          <w:p>
            <w:pPr>
              <w:spacing w:after="0"/>
              <w:rPr>
                <w:sz w:val="16"/>
                <w:szCs w:val="16"/>
                <w:color w:val="auto"/>
              </w:rPr>
            </w:pP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31, 2020</w:t>
            </w:r>
          </w:p>
        </w:tc>
        <w:tc>
          <w:tcPr>
            <w:tcW w:w="0" w:type="dxa"/>
            <w:vAlign w:val="bottom"/>
          </w:tcPr>
          <w:p>
            <w:pPr>
              <w:spacing w:after="0"/>
              <w:rPr>
                <w:sz w:val="1"/>
                <w:szCs w:val="1"/>
                <w:color w:val="auto"/>
              </w:rPr>
            </w:pPr>
          </w:p>
        </w:tc>
      </w:tr>
      <w:tr>
        <w:trPr>
          <w:trHeight w:val="226"/>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$462.2 million accrued for legal contingencies at March 31, 2021.</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conjunction with the Combination, Viatris entered into a TSA with Pfizer pursuant to which each party will provide certain limited transition services to the other party generally for an initial period of 24 months from the closing date of the Combination.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The Company has incurred approximately $16.3 million related to this provision of the TSA during the three months ended March 31, 2021 and approximately $69.4 million during the period beginning on the closing date of the Combination and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Viatris’ 2020 Form 10-K.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March 31, 2021.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Management has not identified any changes in the Company’s internal control over financial reporting that occurred during the first quarter of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information regarding legal proceedings, refer to Note 18 </w:t>
      </w:r>
      <w:r>
        <w:rPr>
          <w:rFonts w:ascii="Arial" w:cs="Arial" w:eastAsia="Arial" w:hAnsi="Arial"/>
          <w:sz w:val="16"/>
          <w:szCs w:val="16"/>
          <w:i w:val="1"/>
          <w:iCs w:val="1"/>
          <w:color w:val="auto"/>
        </w:rPr>
        <w:t>Litigation</w:t>
      </w:r>
      <w:r>
        <w:rPr>
          <w:rFonts w:ascii="Arial" w:cs="Arial" w:eastAsia="Arial" w:hAnsi="Arial"/>
          <w:sz w:val="16"/>
          <w:szCs w:val="16"/>
          <w:color w:val="auto"/>
        </w:rPr>
        <w:t>, in the accompanying Notes to interim financial statements in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material changes in the Company’s risk factors from those disclosed in Viatris’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0" w:type="dxa"/>
            <w:vAlign w:val="bottom"/>
            <w:gridSpan w:val="2"/>
          </w:tcPr>
          <w:p>
            <w:pPr>
              <w:jc w:val="right"/>
              <w:ind w:right="400"/>
              <w:spacing w:after="0"/>
              <w:rPr>
                <w:rFonts w:ascii="Arial" w:cs="Arial" w:eastAsia="Arial" w:hAnsi="Arial"/>
                <w:sz w:val="18"/>
                <w:szCs w:val="18"/>
                <w:color w:val="0000FF"/>
                <w:w w:val="85"/>
              </w:rPr>
            </w:pPr>
            <w:hyperlink w:anchor="page7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320" w:type="dxa"/>
            <w:vAlign w:val="bottom"/>
          </w:tcPr>
          <w:p>
            <w:pPr>
              <w:ind w:left="380"/>
              <w:spacing w:after="0"/>
              <w:rPr>
                <w:sz w:val="20"/>
                <w:szCs w:val="20"/>
                <w:color w:val="auto"/>
              </w:rPr>
            </w:pPr>
            <w:r>
              <w:rPr>
                <w:rFonts w:ascii="Arial" w:cs="Arial" w:eastAsia="Arial" w:hAnsi="Arial"/>
                <w:sz w:val="18"/>
                <w:szCs w:val="18"/>
                <w:color w:val="auto"/>
                <w:w w:val="91"/>
              </w:rPr>
              <w:t>Form of Restricted Stock Unit Award Agreement under the Viatris Inc. 2020 Stock Incentive Plan for awards granted on or after March 2,</w:t>
            </w:r>
          </w:p>
        </w:tc>
      </w:tr>
      <w:tr>
        <w:trPr>
          <w:trHeight w:val="210"/>
        </w:trPr>
        <w:tc>
          <w:tcPr>
            <w:tcW w:w="32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rPr>
              <w:t>2021.*</w:t>
            </w:r>
          </w:p>
        </w:tc>
      </w:tr>
      <w:tr>
        <w:trPr>
          <w:trHeight w:val="391"/>
        </w:trPr>
        <w:tc>
          <w:tcPr>
            <w:tcW w:w="720" w:type="dxa"/>
            <w:vAlign w:val="bottom"/>
            <w:gridSpan w:val="2"/>
          </w:tcPr>
          <w:p>
            <w:pPr>
              <w:jc w:val="right"/>
              <w:ind w:right="400"/>
              <w:spacing w:after="0"/>
              <w:rPr>
                <w:rFonts w:ascii="Arial" w:cs="Arial" w:eastAsia="Arial" w:hAnsi="Arial"/>
                <w:sz w:val="18"/>
                <w:szCs w:val="18"/>
                <w:color w:val="0000FF"/>
                <w:w w:val="85"/>
              </w:rPr>
            </w:pPr>
            <w:hyperlink w:anchor="page7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0320" w:type="dxa"/>
            <w:vAlign w:val="bottom"/>
          </w:tcPr>
          <w:p>
            <w:pPr>
              <w:ind w:left="380"/>
              <w:spacing w:after="0"/>
              <w:rPr>
                <w:sz w:val="20"/>
                <w:szCs w:val="20"/>
                <w:color w:val="auto"/>
              </w:rPr>
            </w:pPr>
            <w:r>
              <w:rPr>
                <w:rFonts w:ascii="Arial" w:cs="Arial" w:eastAsia="Arial" w:hAnsi="Arial"/>
                <w:sz w:val="18"/>
                <w:szCs w:val="18"/>
                <w:color w:val="auto"/>
                <w:w w:val="91"/>
              </w:rPr>
              <w:t>Form of Performance-Based Restricted Stock Unit Award Agreement under the Viatris Inc. 2020 Stock Incentive Plan for awards granted</w:t>
            </w:r>
          </w:p>
        </w:tc>
      </w:tr>
      <w:tr>
        <w:trPr>
          <w:trHeight w:val="210"/>
        </w:trPr>
        <w:tc>
          <w:tcPr>
            <w:tcW w:w="32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rPr>
              <w:t>on or after March 2, 2021.*</w:t>
            </w:r>
          </w:p>
        </w:tc>
      </w:tr>
      <w:tr>
        <w:trPr>
          <w:trHeight w:val="391"/>
        </w:trPr>
        <w:tc>
          <w:tcPr>
            <w:tcW w:w="720" w:type="dxa"/>
            <w:vAlign w:val="bottom"/>
            <w:gridSpan w:val="2"/>
          </w:tcPr>
          <w:p>
            <w:pPr>
              <w:jc w:val="right"/>
              <w:ind w:right="400"/>
              <w:spacing w:after="0"/>
              <w:rPr>
                <w:rFonts w:ascii="Arial" w:cs="Arial" w:eastAsia="Arial" w:hAnsi="Arial"/>
                <w:sz w:val="18"/>
                <w:szCs w:val="18"/>
                <w:color w:val="0000FF"/>
                <w:w w:val="85"/>
              </w:rPr>
            </w:pPr>
            <w:hyperlink w:anchor="page8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0320" w:type="dxa"/>
            <w:vAlign w:val="bottom"/>
          </w:tcPr>
          <w:p>
            <w:pPr>
              <w:ind w:left="380"/>
              <w:spacing w:after="0"/>
              <w:rPr>
                <w:sz w:val="20"/>
                <w:szCs w:val="20"/>
                <w:color w:val="auto"/>
              </w:rPr>
            </w:pPr>
            <w:r>
              <w:rPr>
                <w:rFonts w:ascii="Arial" w:cs="Arial" w:eastAsia="Arial" w:hAnsi="Arial"/>
                <w:sz w:val="18"/>
                <w:szCs w:val="18"/>
                <w:color w:val="auto"/>
                <w:w w:val="91"/>
              </w:rPr>
              <w:t>Form of Director Restricted Stock Unit Award Agreement under the Viatris Inc. 2020 Stock Incentive Plan for non-employee directors for</w:t>
            </w:r>
          </w:p>
        </w:tc>
      </w:tr>
      <w:tr>
        <w:trPr>
          <w:trHeight w:val="210"/>
        </w:trPr>
        <w:tc>
          <w:tcPr>
            <w:tcW w:w="32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tcPr>
          <w:p>
            <w:pPr>
              <w:ind w:left="380"/>
              <w:spacing w:after="0"/>
              <w:rPr>
                <w:sz w:val="20"/>
                <w:szCs w:val="20"/>
                <w:color w:val="auto"/>
              </w:rPr>
            </w:pPr>
            <w:r>
              <w:rPr>
                <w:rFonts w:ascii="Arial" w:cs="Arial" w:eastAsia="Arial" w:hAnsi="Arial"/>
                <w:sz w:val="18"/>
                <w:szCs w:val="18"/>
                <w:color w:val="auto"/>
              </w:rPr>
              <w:t>awards granted on or after March 2, 2021.</w:t>
            </w:r>
          </w:p>
        </w:tc>
      </w:tr>
    </w:tbl>
    <w:p>
      <w:pPr>
        <w:spacing w:after="0" w:line="201" w:lineRule="exact"/>
        <w:rPr>
          <w:sz w:val="20"/>
          <w:szCs w:val="20"/>
          <w:color w:val="auto"/>
        </w:rPr>
      </w:pPr>
    </w:p>
    <w:p>
      <w:pPr>
        <w:ind w:left="1120" w:right="160" w:hanging="1094"/>
        <w:spacing w:after="0" w:line="235" w:lineRule="auto"/>
        <w:tabs>
          <w:tab w:leader="none" w:pos="1120" w:val="left"/>
        </w:tabs>
        <w:numPr>
          <w:ilvl w:val="0"/>
          <w:numId w:val="45"/>
        </w:numPr>
        <w:rPr>
          <w:rFonts w:ascii="Arial" w:cs="Arial" w:eastAsia="Arial" w:hAnsi="Arial"/>
          <w:sz w:val="18"/>
          <w:szCs w:val="18"/>
          <w:u w:val="single" w:color="auto"/>
          <w:color w:val="0000FF"/>
        </w:rPr>
      </w:pPr>
      <w:r>
        <w:rPr>
          <w:rFonts w:ascii="Arial" w:cs="Arial" w:eastAsia="Arial" w:hAnsi="Arial"/>
          <w:sz w:val="18"/>
          <w:szCs w:val="18"/>
          <w:color w:val="auto"/>
        </w:rPr>
        <w:t>List of Subsidiary Guarantors and Issuers of Guaranteed Securities, filed by Viatris Inc. as Exhibit 22 to the Form 10-K for the year ended December 31, 2020 and incorporated herein by reference.</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9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426"/>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9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242" w:lineRule="exact"/>
        <w:rPr>
          <w:sz w:val="20"/>
          <w:szCs w:val="20"/>
          <w:color w:val="auto"/>
        </w:rPr>
      </w:pPr>
    </w:p>
    <w:p>
      <w:pPr>
        <w:ind w:left="1120" w:hanging="1094"/>
        <w:spacing w:after="0"/>
        <w:tabs>
          <w:tab w:leader="none" w:pos="1120" w:val="left"/>
        </w:tabs>
        <w:numPr>
          <w:ilvl w:val="0"/>
          <w:numId w:val="46"/>
        </w:numPr>
        <w:rPr>
          <w:rFonts w:ascii="Arial" w:cs="Arial" w:eastAsia="Arial" w:hAnsi="Arial"/>
          <w:sz w:val="17"/>
          <w:szCs w:val="17"/>
          <w:u w:val="single" w:color="auto"/>
          <w:color w:val="0000FF"/>
        </w:rPr>
      </w:pPr>
      <w:r>
        <w:rPr>
          <w:rFonts w:ascii="Arial" w:cs="Arial" w:eastAsia="Arial" w:hAnsi="Arial"/>
          <w:sz w:val="17"/>
          <w:szCs w:val="17"/>
          <w:color w:val="auto"/>
        </w:rPr>
        <w:t>Certification of Principal Executive Officer and Principal Financial Officer pursuant to Section 906 of the Sarbanes-Oxley Act of 2002.</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360" w:type="dxa"/>
            <w:vAlign w:val="bottom"/>
          </w:tcPr>
          <w:p>
            <w:pPr>
              <w:ind w:left="2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Definition Linkbase</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360" w:type="dxa"/>
            <w:vAlign w:val="bottom"/>
          </w:tcPr>
          <w:p>
            <w:pPr>
              <w:ind w:left="20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269" w:lineRule="exact"/>
        <w:rPr>
          <w:sz w:val="20"/>
          <w:szCs w:val="20"/>
          <w:color w:val="auto"/>
        </w:rPr>
      </w:pPr>
    </w:p>
    <w:p>
      <w:pPr>
        <w:ind w:left="1120" w:hanging="1094"/>
        <w:spacing w:after="0" w:line="235"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70" w:lineRule="exact"/>
        <w:rPr>
          <w:sz w:val="20"/>
          <w:szCs w:val="20"/>
          <w:color w:val="auto"/>
        </w:rPr>
      </w:pPr>
    </w:p>
    <w:p>
      <w:pPr>
        <w:ind w:left="1120" w:hanging="1094"/>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10, 2021</w:t>
      </w:r>
    </w:p>
    <w:p>
      <w:pPr>
        <w:spacing w:after="0" w:line="2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20"/>
          </w:cols>
          <w:pgMar w:left="320" w:top="118" w:right="85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VIATRIS INC.</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RESTRICTED STOCK UNIT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AWARD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THIS RESTRICTED STOCK UNIT AWARD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[________] (the</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is made by and between Viatris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[_______]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9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Restricted Stock Units.</w:t>
      </w:r>
    </w:p>
    <w:p>
      <w:pPr>
        <w:spacing w:after="0" w:line="252" w:lineRule="exact"/>
        <w:rPr>
          <w:rFonts w:ascii="Arial" w:cs="Arial" w:eastAsia="Arial" w:hAnsi="Arial"/>
          <w:sz w:val="22"/>
          <w:szCs w:val="22"/>
          <w:b w:val="1"/>
          <w:bCs w:val="1"/>
          <w:color w:val="auto"/>
        </w:rPr>
      </w:pPr>
    </w:p>
    <w:p>
      <w:pPr>
        <w:ind w:right="80" w:firstLine="656"/>
        <w:spacing w:after="0" w:line="248" w:lineRule="auto"/>
        <w:tabs>
          <w:tab w:leader="none" w:pos="1293"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Participant a total of [______]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 on the terms and conditions set forth in this Agreement and as otherwise provided in the Viatris Inc. 2020 Stock Incentive Plan (as may be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Each RSU represents the right to receive one share of the Company’s common stock, par value $0.01 per share (“</w:t>
      </w:r>
      <w:r>
        <w:rPr>
          <w:rFonts w:ascii="Arial" w:cs="Arial" w:eastAsia="Arial" w:hAnsi="Arial"/>
          <w:sz w:val="22"/>
          <w:szCs w:val="22"/>
          <w:u w:val="single" w:color="auto"/>
          <w:color w:val="auto"/>
        </w:rPr>
        <w:t>Share</w:t>
      </w:r>
      <w:r>
        <w:rPr>
          <w:rFonts w:ascii="Arial" w:cs="Arial" w:eastAsia="Arial" w:hAnsi="Arial"/>
          <w:sz w:val="22"/>
          <w:szCs w:val="22"/>
          <w:color w:val="auto"/>
        </w:rPr>
        <w:t>”). The RSUs shall be credited to a separate book-entry account maintained for the Participant on the books of the Company.</w:t>
      </w:r>
    </w:p>
    <w:p>
      <w:pPr>
        <w:spacing w:after="0" w:line="218" w:lineRule="exact"/>
        <w:rPr>
          <w:rFonts w:ascii="Arial" w:cs="Arial" w:eastAsia="Arial" w:hAnsi="Arial"/>
          <w:sz w:val="22"/>
          <w:szCs w:val="22"/>
          <w:color w:val="auto"/>
        </w:rPr>
      </w:pPr>
    </w:p>
    <w:p>
      <w:pPr>
        <w:ind w:right="20" w:firstLine="656"/>
        <w:spacing w:after="0" w:line="287" w:lineRule="auto"/>
        <w:tabs>
          <w:tab w:leader="none" w:pos="1291"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xml:space="preserve"> The provisions of the Plan are hereby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 Without limiting the foregoing, the Participant acknowledges that the RSUs and any Shares acquired upon settlement of the RSUs are subject to provisions of the Plan under which, in certain circumstances, an adjustment may be made to the number of the RSUs and any Shares acquired upon settlement of the RSUs.</w:t>
      </w:r>
    </w:p>
    <w:p>
      <w:pPr>
        <w:spacing w:after="0" w:line="184" w:lineRule="exact"/>
        <w:rPr>
          <w:rFonts w:ascii="Arial" w:cs="Arial" w:eastAsia="Arial" w:hAnsi="Arial"/>
          <w:sz w:val="19"/>
          <w:szCs w:val="19"/>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Vesting; Settlement.</w:t>
      </w:r>
    </w:p>
    <w:p>
      <w:pPr>
        <w:spacing w:after="0" w:line="252" w:lineRule="exact"/>
        <w:rPr>
          <w:rFonts w:ascii="Arial" w:cs="Arial" w:eastAsia="Arial" w:hAnsi="Arial"/>
          <w:sz w:val="22"/>
          <w:szCs w:val="22"/>
          <w:b w:val="1"/>
          <w:bCs w:val="1"/>
          <w:color w:val="auto"/>
        </w:rPr>
      </w:pPr>
    </w:p>
    <w:p>
      <w:pPr>
        <w:ind w:right="20" w:firstLine="656"/>
        <w:spacing w:after="0" w:line="253" w:lineRule="auto"/>
        <w:tabs>
          <w:tab w:leader="none" w:pos="1293"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RSUs shall become vested in three equal installments on each anniversary of the Date of Grant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Participant remains continuously employed in active service by the Company or one of its Affiliates from the Date of Grant through such Vesting Date.</w:t>
      </w:r>
    </w:p>
    <w:p>
      <w:pPr>
        <w:spacing w:after="0" w:line="212" w:lineRule="exact"/>
        <w:rPr>
          <w:rFonts w:ascii="Arial" w:cs="Arial" w:eastAsia="Arial" w:hAnsi="Arial"/>
          <w:sz w:val="22"/>
          <w:szCs w:val="22"/>
          <w:color w:val="auto"/>
        </w:rPr>
      </w:pPr>
    </w:p>
    <w:p>
      <w:pPr>
        <w:ind w:right="660" w:firstLine="656"/>
        <w:spacing w:after="0" w:line="263" w:lineRule="auto"/>
        <w:tabs>
          <w:tab w:leader="none" w:pos="1291"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Except as otherwise provided herein, each vested RSU shall be settled in Shares within 30 days following the applicable Vesting Date.</w:t>
      </w:r>
    </w:p>
    <w:p>
      <w:pPr>
        <w:sectPr>
          <w:pgSz w:w="11900" w:h="16838" w:orient="portrait"/>
          <w:cols w:equalWidth="0" w:num="1">
            <w:col w:w="11240"/>
          </w:cols>
          <w:pgMar w:left="320" w:top="1422" w:right="339" w:bottom="1440" w:gutter="0" w:footer="0" w:header="0"/>
        </w:sectPr>
      </w:pPr>
    </w:p>
    <w:bookmarkStart w:id="70" w:name="page71"/>
    <w:bookmarkEnd w:id="70"/>
    <w:p>
      <w:pPr>
        <w:ind w:left="-8" w:firstLine="8"/>
        <w:spacing w:after="0" w:line="293" w:lineRule="auto"/>
        <w:tabs>
          <w:tab w:leader="none" w:pos="64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Each RSU shall be credited with Dividend Equivalents, which shall be withheld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credited to the Participant’s account (either in cash or additional RSUs in the discretion of the Committee). Dividend Equivalents credited to the Participant’s account and attributable to a RSU shall be distributed (without interest) to the Participant at the same time as the underlying Share is delivered upon settlement of such RSU and, if such RSU is forfeited, the Participant shall have no right to such Dividend Equivalents. Any adjustments for Dividend Equivalents shall be in the sole discretion of the Committee and Dividend Equivalents shall be paid either in cash or Shares in the discretion of the Committee. It is the current intention of the Company that Dividend Equivalents will accrue in additional RSUs.</w:t>
      </w:r>
    </w:p>
    <w:p>
      <w:pPr>
        <w:spacing w:after="0" w:line="171" w:lineRule="exact"/>
        <w:rPr>
          <w:rFonts w:ascii="Arial" w:cs="Arial" w:eastAsia="Arial" w:hAnsi="Arial"/>
          <w:sz w:val="19"/>
          <w:szCs w:val="19"/>
          <w:b w:val="1"/>
          <w:bCs w:val="1"/>
          <w:color w:val="auto"/>
        </w:rPr>
      </w:pPr>
    </w:p>
    <w:p>
      <w:pPr>
        <w:ind w:left="-8" w:right="20" w:firstLine="8"/>
        <w:spacing w:after="0" w:line="289" w:lineRule="auto"/>
        <w:tabs>
          <w:tab w:leader="none" w:pos="64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Withholding. </w:t>
      </w:r>
      <w:r>
        <w:rPr>
          <w:rFonts w:ascii="Arial" w:cs="Arial" w:eastAsia="Arial" w:hAnsi="Arial"/>
          <w:sz w:val="19"/>
          <w:szCs w:val="19"/>
          <w:color w:val="auto"/>
        </w:rPr>
        <w:t>Vesting and settlement of the RSUs shall be subject to the Participant satisfying any applicable U.S.</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and local tax withholding obligations and non-U.S. tax withholding obligations. The Company shall be entitled, if the Committee deems it necessary or desirable, to withhold (or secure payment from the Participant in lieu of withholding) the maximum amount of any withholding or other tax permitted by law to be withheld. The Company shall have the right and is hereby authorized to withhold from any amounts payable to the Participant in connection with the RSUs or otherwise the amount of any required withholding taxes in respect of the RSUs, its settlement or any payment or transfer of the RSUs or under the Plan and to take any such other action as the Committee or the Company deem necessary to satisfy all obligations for the payment of such withholding taxes. The Participant may satisfy, in whole or in part, the tax obligations by authorizing the Company to withhold Shares that would otherwise be deliverable to the Participant upon settlement of the RSUs with a Fair Market Value equal to such withholding liability.</w:t>
      </w:r>
    </w:p>
    <w:p>
      <w:pPr>
        <w:spacing w:after="0" w:line="200" w:lineRule="exact"/>
        <w:rPr>
          <w:rFonts w:ascii="Arial" w:cs="Arial" w:eastAsia="Arial" w:hAnsi="Arial"/>
          <w:sz w:val="19"/>
          <w:szCs w:val="19"/>
          <w:b w:val="1"/>
          <w:bCs w:val="1"/>
          <w:color w:val="auto"/>
        </w:rPr>
      </w:pPr>
    </w:p>
    <w:p>
      <w:pPr>
        <w:spacing w:after="0" w:line="240" w:lineRule="exact"/>
        <w:rPr>
          <w:rFonts w:ascii="Arial" w:cs="Arial" w:eastAsia="Arial" w:hAnsi="Arial"/>
          <w:sz w:val="19"/>
          <w:szCs w:val="19"/>
          <w:b w:val="1"/>
          <w:bCs w:val="1"/>
          <w:color w:val="auto"/>
        </w:rPr>
      </w:pPr>
    </w:p>
    <w:p>
      <w:pPr>
        <w:ind w:left="652" w:hanging="652"/>
        <w:spacing w:after="0"/>
        <w:tabs>
          <w:tab w:leader="none" w:pos="652"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52" w:lineRule="exact"/>
        <w:rPr>
          <w:rFonts w:ascii="Arial" w:cs="Arial" w:eastAsia="Arial" w:hAnsi="Arial"/>
          <w:sz w:val="22"/>
          <w:szCs w:val="22"/>
          <w:b w:val="1"/>
          <w:bCs w:val="1"/>
          <w:color w:val="auto"/>
        </w:rPr>
      </w:pPr>
    </w:p>
    <w:p>
      <w:pPr>
        <w:ind w:left="-8" w:right="20" w:firstLine="656"/>
        <w:spacing w:after="0" w:line="294" w:lineRule="auto"/>
        <w:tabs>
          <w:tab w:leader="none" w:pos="1285"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due to Death or Disability</w:t>
      </w:r>
      <w:r>
        <w:rPr>
          <w:rFonts w:ascii="Arial" w:cs="Arial" w:eastAsia="Arial" w:hAnsi="Arial"/>
          <w:sz w:val="19"/>
          <w:szCs w:val="19"/>
          <w:color w:val="auto"/>
        </w:rPr>
        <w:t>. If, on or prior to an applicable Vesting Date, the Participant’s employment with the Company and its Affiliates is terminated (1) by the Company or one of its Affiliates due to the Participant’s Disability (as defined below), or (2) due to the Participant’s death, then the RSUs, to the extent unvested, shall become fully vested as of the date of termination of employment. Such vested RSUs shall be settled in Shares within 30 days following such termination date. For the avoidance of doubt, this Section 5(a) shall not apply to any death or Disability of the Participant occurring after the date of termination of the Participant’s employment for any reason.</w:t>
      </w:r>
    </w:p>
    <w:p>
      <w:pPr>
        <w:spacing w:after="0" w:line="176" w:lineRule="exact"/>
        <w:rPr>
          <w:rFonts w:ascii="Arial" w:cs="Arial" w:eastAsia="Arial" w:hAnsi="Arial"/>
          <w:sz w:val="19"/>
          <w:szCs w:val="19"/>
          <w:color w:val="auto"/>
        </w:rPr>
      </w:pPr>
    </w:p>
    <w:p>
      <w:pPr>
        <w:ind w:left="-8" w:right="200" w:firstLine="656"/>
        <w:spacing w:after="0" w:line="302" w:lineRule="auto"/>
        <w:tabs>
          <w:tab w:leader="none" w:pos="1283"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Other Termination of Employment</w:t>
      </w:r>
      <w:r>
        <w:rPr>
          <w:rFonts w:ascii="Arial" w:cs="Arial" w:eastAsia="Arial" w:hAnsi="Arial"/>
          <w:sz w:val="19"/>
          <w:szCs w:val="19"/>
          <w:color w:val="auto"/>
        </w:rPr>
        <w:t>. If, prior to the final Vesting Date, the Participant’s employment with the Company and its Affiliates terminates for any reason other than as set forth in Section 5(a) above (including any termination of employment by the Participant for any reason, or by the Company with or without Cause), then all unvested RSUs shall be cancelled immediately and the Participant shall not be entitled to receive any payments with respect thereto.</w:t>
      </w:r>
    </w:p>
    <w:p>
      <w:pPr>
        <w:spacing w:after="0" w:line="163" w:lineRule="exact"/>
        <w:rPr>
          <w:rFonts w:ascii="Arial" w:cs="Arial" w:eastAsia="Arial" w:hAnsi="Arial"/>
          <w:sz w:val="19"/>
          <w:szCs w:val="19"/>
          <w:color w:val="auto"/>
        </w:rPr>
      </w:pPr>
    </w:p>
    <w:p>
      <w:pPr>
        <w:ind w:left="652" w:hanging="652"/>
        <w:spacing w:after="0"/>
        <w:tabs>
          <w:tab w:leader="none" w:pos="652"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92"/>
          </w:cols>
          <w:pgMar w:left="328" w:top="1422" w:right="379" w:bottom="1440" w:gutter="0" w:footer="0" w:header="0"/>
        </w:sectPr>
      </w:pPr>
    </w:p>
    <w:bookmarkStart w:id="71" w:name="page72"/>
    <w:bookmarkEnd w:id="71"/>
    <w:p>
      <w:pPr>
        <w:ind w:left="-8" w:right="60" w:firstLine="656"/>
        <w:spacing w:after="0" w:line="260" w:lineRule="auto"/>
        <w:tabs>
          <w:tab w:leader="none" w:pos="1285" w:val="left"/>
        </w:tabs>
        <w:numPr>
          <w:ilvl w:val="1"/>
          <w:numId w:val="51"/>
        </w:numPr>
        <w:rPr>
          <w:rFonts w:ascii="Arial" w:cs="Arial" w:eastAsia="Arial" w:hAnsi="Arial"/>
          <w:sz w:val="21"/>
          <w:szCs w:val="21"/>
          <w:color w:val="auto"/>
        </w:rPr>
      </w:pPr>
      <w:r>
        <w:rPr>
          <w:rFonts w:ascii="Arial" w:cs="Arial" w:eastAsia="Arial" w:hAnsi="Arial"/>
          <w:sz w:val="21"/>
          <w:szCs w:val="21"/>
          <w:color w:val="auto"/>
        </w:rPr>
        <w:t>In the event of a Change in Control in which no provision is made for assumption or substitution of the RSUs granted hereby in the manner contemplated by Section 11(c) of the Plan, the RSUs, to the extent then unvested, shall automatically be deemed vested as of immediately prior to such Change in Control, and the RSUs shall be settled within 30 days following such Change in Control (or, to the extent the RSUs are deferred compensation subject to Section 409A of the Code, within 30 days following a payment event permissible under Section 409A of the Code), in Shares, in cash in an amount equal to the number of vested RSUs multiplied by the Fair Market Value of a Share (as of a date specified by the Committee), or in a combination of cash and Shares, as determined by the Committee.</w:t>
      </w:r>
    </w:p>
    <w:p>
      <w:pPr>
        <w:spacing w:after="0" w:line="207" w:lineRule="exact"/>
        <w:rPr>
          <w:rFonts w:ascii="Arial" w:cs="Arial" w:eastAsia="Arial" w:hAnsi="Arial"/>
          <w:sz w:val="21"/>
          <w:szCs w:val="21"/>
          <w:color w:val="auto"/>
        </w:rPr>
      </w:pPr>
    </w:p>
    <w:p>
      <w:pPr>
        <w:ind w:left="-8" w:right="40" w:firstLine="656"/>
        <w:spacing w:after="0" w:line="261" w:lineRule="auto"/>
        <w:tabs>
          <w:tab w:leader="none" w:pos="1283" w:val="left"/>
        </w:tabs>
        <w:numPr>
          <w:ilvl w:val="1"/>
          <w:numId w:val="51"/>
        </w:numPr>
        <w:rPr>
          <w:rFonts w:ascii="Arial" w:cs="Arial" w:eastAsia="Arial" w:hAnsi="Arial"/>
          <w:sz w:val="21"/>
          <w:szCs w:val="21"/>
          <w:color w:val="auto"/>
        </w:rPr>
      </w:pPr>
      <w:r>
        <w:rPr>
          <w:rFonts w:ascii="Arial" w:cs="Arial" w:eastAsia="Arial" w:hAnsi="Arial"/>
          <w:sz w:val="21"/>
          <w:szCs w:val="21"/>
          <w:color w:val="auto"/>
        </w:rPr>
        <w:t>If a Change in Control occurs in which the acquirer assumes or substitutes the RSUs granted hereby in the manner contemplated by Section 11 of the Plan, and within the 24-month period following such Change in Control, the Participant’s employment with the Company and its Affiliates is terminated (i) by the Company or one of its Affiliates without Cause (other than due to death or Disability), (ii) by the Participant for Good Reason (defined below) or (iii) due to the Participant’s death or Disability, then the RSUs, to the extent unvested, shall become fully vested as of the date of termination of employment, and promptly settled upon vesting, in a manner consistent with Section 2(b).</w:t>
      </w:r>
    </w:p>
    <w:p>
      <w:pPr>
        <w:spacing w:after="0" w:line="206" w:lineRule="exact"/>
        <w:rPr>
          <w:rFonts w:ascii="Arial" w:cs="Arial" w:eastAsia="Arial" w:hAnsi="Arial"/>
          <w:sz w:val="21"/>
          <w:szCs w:val="21"/>
          <w:color w:val="auto"/>
        </w:rPr>
      </w:pPr>
    </w:p>
    <w:p>
      <w:pPr>
        <w:ind w:left="-8" w:right="220" w:firstLine="656"/>
        <w:spacing w:after="0" w:line="312" w:lineRule="auto"/>
        <w:tabs>
          <w:tab w:leader="none" w:pos="1285" w:val="left"/>
        </w:tabs>
        <w:numPr>
          <w:ilvl w:val="1"/>
          <w:numId w:val="51"/>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w:t>
      </w:r>
      <w:r>
        <w:rPr>
          <w:rFonts w:ascii="Arial" w:cs="Arial" w:eastAsia="Arial" w:hAnsi="Arial"/>
          <w:sz w:val="19"/>
          <w:szCs w:val="19"/>
          <w:u w:val="single" w:color="auto"/>
          <w:color w:val="auto"/>
        </w:rPr>
        <w:t>Cause</w:t>
      </w:r>
      <w:r>
        <w:rPr>
          <w:rFonts w:ascii="Arial" w:cs="Arial" w:eastAsia="Arial" w:hAnsi="Arial"/>
          <w:sz w:val="19"/>
          <w:szCs w:val="19"/>
          <w:color w:val="auto"/>
        </w:rPr>
        <w:t>” and “</w:t>
      </w:r>
      <w:r>
        <w:rPr>
          <w:rFonts w:ascii="Arial" w:cs="Arial" w:eastAsia="Arial" w:hAnsi="Arial"/>
          <w:sz w:val="19"/>
          <w:szCs w:val="19"/>
          <w:u w:val="single" w:color="auto"/>
          <w:color w:val="auto"/>
        </w:rPr>
        <w:t>Disability</w:t>
      </w:r>
      <w:r>
        <w:rPr>
          <w:rFonts w:ascii="Arial" w:cs="Arial" w:eastAsia="Arial" w:hAnsi="Arial"/>
          <w:sz w:val="19"/>
          <w:szCs w:val="19"/>
          <w:color w:val="auto"/>
        </w:rPr>
        <w:t>” shall have the meanings ascribed to them in (i) the Participant’s employment agreement with the Company or one of its subsidiaries, if applicable, or (ii) the Mylan N.V. Severance Plan and Global Guidelines, adopted July 29, 2019, as may be amended or superseded from time to time.</w:t>
      </w:r>
    </w:p>
    <w:p>
      <w:pPr>
        <w:spacing w:after="0" w:line="154" w:lineRule="exact"/>
        <w:rPr>
          <w:rFonts w:ascii="Arial" w:cs="Arial" w:eastAsia="Arial" w:hAnsi="Arial"/>
          <w:sz w:val="19"/>
          <w:szCs w:val="19"/>
          <w:color w:val="auto"/>
        </w:rPr>
      </w:pPr>
    </w:p>
    <w:p>
      <w:pPr>
        <w:ind w:left="-8" w:firstLine="8"/>
        <w:spacing w:after="0" w:line="262" w:lineRule="auto"/>
        <w:tabs>
          <w:tab w:leader="none" w:pos="640"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Rights as a Stockholder. </w:t>
      </w:r>
      <w:r>
        <w:rPr>
          <w:rFonts w:ascii="Arial" w:cs="Arial" w:eastAsia="Arial" w:hAnsi="Arial"/>
          <w:sz w:val="21"/>
          <w:szCs w:val="21"/>
          <w:color w:val="auto"/>
        </w:rPr>
        <w:t>The Participant shall not be deemed for any purpose, nor have any of the rights or privileges of,</w:t>
      </w:r>
      <w:r>
        <w:rPr>
          <w:rFonts w:ascii="Arial" w:cs="Arial" w:eastAsia="Arial" w:hAnsi="Arial"/>
          <w:sz w:val="21"/>
          <w:szCs w:val="21"/>
          <w:b w:val="1"/>
          <w:bCs w:val="1"/>
          <w:color w:val="auto"/>
        </w:rPr>
        <w:t xml:space="preserve"> </w:t>
      </w:r>
      <w:r>
        <w:rPr>
          <w:rFonts w:ascii="Arial" w:cs="Arial" w:eastAsia="Arial" w:hAnsi="Arial"/>
          <w:sz w:val="21"/>
          <w:szCs w:val="21"/>
          <w:color w:val="auto"/>
        </w:rPr>
        <w:t>a stockholder of the Company in respect of any Shares underlying the RSUs unless, until and to the extent that (i) the Company shall have issued and delivered to the Participant the Shares underlying the vested RSUs and (ii) the Participant’s name shall have been entered as a stockholder of record with respect to such Shares on the books of the Company. The Company shall cause the actions described in clauses (i) and (ii) of the preceding sentence to occur promptly following settlement as contemplated by this Agreement, subject to compliance with applicable laws.</w:t>
      </w:r>
    </w:p>
    <w:p>
      <w:pPr>
        <w:spacing w:after="0" w:line="200" w:lineRule="exact"/>
        <w:rPr>
          <w:rFonts w:ascii="Arial" w:cs="Arial" w:eastAsia="Arial" w:hAnsi="Arial"/>
          <w:sz w:val="21"/>
          <w:szCs w:val="21"/>
          <w:b w:val="1"/>
          <w:bCs w:val="1"/>
          <w:color w:val="auto"/>
        </w:rPr>
      </w:pPr>
    </w:p>
    <w:p>
      <w:pPr>
        <w:ind w:left="-8" w:right="40" w:firstLine="8"/>
        <w:spacing w:after="0" w:line="259" w:lineRule="auto"/>
        <w:tabs>
          <w:tab w:leader="none" w:pos="640"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Legal Requirements. </w:t>
      </w:r>
      <w:r>
        <w:rPr>
          <w:rFonts w:ascii="Arial" w:cs="Arial" w:eastAsia="Arial" w:hAnsi="Arial"/>
          <w:sz w:val="21"/>
          <w:szCs w:val="21"/>
          <w:color w:val="auto"/>
        </w:rPr>
        <w:t>The granting and settlement of the RSUs, and any other obligations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under this Agreement, shall be subject to all applicable Federal, provincial, state, local and foreign laws, rules and regulations and to such approvals by any regulatory or governmental agency as may be required. The Committee shall have the right to impose such restrictions on the RSUs as it deems reasonably necessary or advisable under applicable Federal securities laws, the rules and regulations of any stock exchange or market upon which Shares are then listed or traded, and/or any blue sky or state securities laws applicable to such Shares. It is expressly understood that the Committee is authorized to administer, construe, and make all determinations necessary or appropriate to the administration of the Plan and this Agreement, all of which shall be binding upon the Participant. The Participant agrees to take all steps the Committee or the Company determines are reasonably</w:t>
      </w:r>
    </w:p>
    <w:p>
      <w:pPr>
        <w:spacing w:after="0" w:line="200" w:lineRule="exact"/>
        <w:rPr>
          <w:sz w:val="20"/>
          <w:szCs w:val="20"/>
          <w:color w:val="auto"/>
        </w:rPr>
      </w:pPr>
    </w:p>
    <w:p>
      <w:pPr>
        <w:spacing w:after="0" w:line="34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12"/>
          </w:cols>
          <w:pgMar w:left="328" w:top="1428" w:right="359" w:bottom="1440" w:gutter="0" w:footer="0" w:header="0"/>
        </w:sectPr>
      </w:pPr>
    </w:p>
    <w:bookmarkStart w:id="72" w:name="page73"/>
    <w:bookmarkEnd w:id="72"/>
    <w:p>
      <w:pPr>
        <w:ind w:right="360"/>
        <w:spacing w:after="0" w:line="263" w:lineRule="auto"/>
        <w:rPr>
          <w:sz w:val="20"/>
          <w:szCs w:val="20"/>
          <w:color w:val="auto"/>
        </w:rPr>
      </w:pPr>
      <w:r>
        <w:rPr>
          <w:rFonts w:ascii="Arial" w:cs="Arial" w:eastAsia="Arial" w:hAnsi="Arial"/>
          <w:sz w:val="22"/>
          <w:szCs w:val="22"/>
          <w:color w:val="auto"/>
        </w:rPr>
        <w:t>necessary to comply with all applicable provisions of Federal and state securities law in exercising his or her rights under this Agreement.</w:t>
      </w:r>
    </w:p>
    <w:p>
      <w:pPr>
        <w:spacing w:after="0" w:line="196" w:lineRule="exact"/>
        <w:rPr>
          <w:sz w:val="20"/>
          <w:szCs w:val="20"/>
          <w:color w:val="auto"/>
        </w:rPr>
      </w:pPr>
    </w:p>
    <w:p>
      <w:pPr>
        <w:ind w:right="20" w:firstLine="8"/>
        <w:spacing w:after="0" w:line="295" w:lineRule="auto"/>
        <w:tabs>
          <w:tab w:leader="none" w:pos="648"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Clawback. </w:t>
      </w:r>
      <w:r>
        <w:rPr>
          <w:rFonts w:ascii="Arial" w:cs="Arial" w:eastAsia="Arial" w:hAnsi="Arial"/>
          <w:sz w:val="19"/>
          <w:szCs w:val="19"/>
          <w:color w:val="auto"/>
        </w:rPr>
        <w:t>The RSUs and/or the Shares acquired upon settlement of the RSUs shall be subject (including on a retroactive</w:t>
      </w:r>
      <w:r>
        <w:rPr>
          <w:rFonts w:ascii="Arial" w:cs="Arial" w:eastAsia="Arial" w:hAnsi="Arial"/>
          <w:sz w:val="19"/>
          <w:szCs w:val="19"/>
          <w:b w:val="1"/>
          <w:bCs w:val="1"/>
          <w:color w:val="auto"/>
        </w:rPr>
        <w:t xml:space="preserve"> </w:t>
      </w:r>
      <w:r>
        <w:rPr>
          <w:rFonts w:ascii="Arial" w:cs="Arial" w:eastAsia="Arial" w:hAnsi="Arial"/>
          <w:sz w:val="19"/>
          <w:szCs w:val="19"/>
          <w:color w:val="auto"/>
        </w:rPr>
        <w:t>basis) to clawback, forfeiture or similar requirements (and such requirements shall be deemed incorporated by reference into this Agreement) to the extent required by applicable law (including, without limitation, Section 304 of the Sarbanes-Oxley Act and Section 954 of the Dodd-Frank Wall Street Reform and Consumer Protection Act) if such requirement is in effect at the relevant time, the rules and regulations of any applicable securities exchange or inter-dealer quotation system on which the Shares may be listed or quoted or if so required pursuant to a written policy adopted by the Company.</w:t>
      </w:r>
    </w:p>
    <w:p>
      <w:pPr>
        <w:spacing w:after="0" w:line="170" w:lineRule="exact"/>
        <w:rPr>
          <w:rFonts w:ascii="Arial" w:cs="Arial" w:eastAsia="Arial" w:hAnsi="Arial"/>
          <w:sz w:val="19"/>
          <w:szCs w:val="19"/>
          <w:b w:val="1"/>
          <w:bCs w:val="1"/>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52" w:lineRule="exact"/>
        <w:rPr>
          <w:rFonts w:ascii="Arial" w:cs="Arial" w:eastAsia="Arial" w:hAnsi="Arial"/>
          <w:sz w:val="22"/>
          <w:szCs w:val="22"/>
          <w:b w:val="1"/>
          <w:bCs w:val="1"/>
          <w:color w:val="auto"/>
        </w:rPr>
      </w:pPr>
    </w:p>
    <w:p>
      <w:pPr>
        <w:ind w:right="40" w:firstLine="656"/>
        <w:spacing w:after="0" w:line="302" w:lineRule="auto"/>
        <w:tabs>
          <w:tab w:leader="none" w:pos="1293"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RSUs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the Plan. Any attempted Transfer of the RSUs contrary to the provisions hereof, and the levy of any execution, attachment or similar process upon the RSUs, shall be null and void and without effect.</w:t>
      </w:r>
    </w:p>
    <w:p>
      <w:pPr>
        <w:spacing w:after="0" w:line="169" w:lineRule="exact"/>
        <w:rPr>
          <w:rFonts w:ascii="Arial" w:cs="Arial" w:eastAsia="Arial" w:hAnsi="Arial"/>
          <w:sz w:val="19"/>
          <w:szCs w:val="19"/>
          <w:color w:val="auto"/>
        </w:rPr>
      </w:pPr>
    </w:p>
    <w:p>
      <w:pPr>
        <w:ind w:right="320" w:firstLine="656"/>
        <w:spacing w:after="0" w:line="253" w:lineRule="auto"/>
        <w:tabs>
          <w:tab w:leader="none" w:pos="1291"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The Committee at any time, and from time to time, may amend the terms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rights of the Participant shall not be materially adversely affected without the Participant’s written consent.</w:t>
      </w:r>
    </w:p>
    <w:p>
      <w:pPr>
        <w:spacing w:after="0" w:line="212" w:lineRule="exact"/>
        <w:rPr>
          <w:rFonts w:ascii="Arial" w:cs="Arial" w:eastAsia="Arial" w:hAnsi="Arial"/>
          <w:sz w:val="22"/>
          <w:szCs w:val="22"/>
          <w:color w:val="auto"/>
        </w:rPr>
      </w:pPr>
    </w:p>
    <w:p>
      <w:pPr>
        <w:ind w:firstLine="656"/>
        <w:spacing w:after="0" w:line="286" w:lineRule="auto"/>
        <w:tabs>
          <w:tab w:leader="none" w:pos="1293"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By accepting this grant of RSUs, the Participant hereby agrees that he or she shall be bound by, and shall comply with, (i) the Agreement Relating To Patents, Copyrights, Inventions, Confidentiality and Proprietary Information, in the form provided by the Company (if applicable) and (ii) all other agreements relating to confidentiality that the Participant has executed during the course of employment with the Company and its Affiliates as in effect from time to time (collectively, the “</w:t>
      </w:r>
      <w:r>
        <w:rPr>
          <w:rFonts w:ascii="Arial" w:cs="Arial" w:eastAsia="Arial" w:hAnsi="Arial"/>
          <w:sz w:val="19"/>
          <w:szCs w:val="19"/>
          <w:u w:val="single" w:color="auto"/>
          <w:color w:val="auto"/>
        </w:rPr>
        <w:t>Executed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Confidentiality Agreements</w:t>
      </w:r>
      <w:r>
        <w:rPr>
          <w:rFonts w:ascii="Arial" w:cs="Arial" w:eastAsia="Arial" w:hAnsi="Arial"/>
          <w:sz w:val="19"/>
          <w:szCs w:val="19"/>
          <w:color w:val="auto"/>
        </w:rPr>
        <w:t>”). Participant also agrees that, in addition to any Executed Confidentiality Agreements, Participant shall not use and/or communicate or disclose, in any manner, any confidential, proprietary or privileged Viatris company information or knowledge, which he or she may have had access to while employed with a Viatris company, relating to intellectual property, trade secrets, business plans and strategies, customer plans and strategies and relationships, pricing, research and development plans and strategies, personnel, organization, strategic plans, or the commercialization of the products of Viatris or any of its subsidiaries, consistent with applicable law, including investigations by government agencies.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428" w:right="359" w:bottom="1440" w:gutter="0" w:footer="0" w:header="0"/>
        </w:sectPr>
      </w:pPr>
    </w:p>
    <w:bookmarkStart w:id="73" w:name="page74"/>
    <w:bookmarkEnd w:id="73"/>
    <w:p>
      <w:pPr>
        <w:ind w:left="-656" w:right="20" w:firstLine="656"/>
        <w:spacing w:after="0" w:line="286" w:lineRule="auto"/>
        <w:tabs>
          <w:tab w:leader="none" w:pos="63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RSUs are intended to be exempt from, or compliant with, Section 409A of the Code and shall be interpreted accordingly.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reasonable discretion and with the Participant’s consent, modify such provision to (i) comply with, or avoid being subject to, Section 409A of the Code, or to avoid the incurrence of taxes, interest and penalties under Section 409A of the Code, and (ii) 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RSUs or the Shares underlying the RSUs will not be subject to interest and penalties under Section 409A of the Code. Notwithstanding anything to the contrary in the Plan or this Agreement, to the extent that the Participant is a “specified employee” (within the meaning of the Committee’s established methodology for determining “specified employees” for purposes of Section 409A of the Code), payment or distribution of any amounts with respect to the RSUs that are subject to Section 409A of the Code will be made as soon as practicable following the first business day of the seventh month following the Participant’s “separation from service” (within the meaning of Section 409A of the Code) from the Company and its Affiliates, or, if earlier, the date of the Participant’s death.</w:t>
      </w:r>
    </w:p>
    <w:p>
      <w:pPr>
        <w:spacing w:after="0" w:line="185" w:lineRule="exact"/>
        <w:rPr>
          <w:rFonts w:ascii="Arial" w:cs="Arial" w:eastAsia="Arial" w:hAnsi="Arial"/>
          <w:sz w:val="19"/>
          <w:szCs w:val="19"/>
          <w:color w:val="auto"/>
        </w:rPr>
      </w:pPr>
    </w:p>
    <w:p>
      <w:pPr>
        <w:jc w:val="both"/>
        <w:ind w:left="-656" w:firstLine="656"/>
        <w:spacing w:after="0" w:line="253" w:lineRule="auto"/>
        <w:tabs>
          <w:tab w:leader="none" w:pos="637"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General Assets</w:t>
      </w:r>
      <w:r>
        <w:rPr>
          <w:rFonts w:ascii="Arial" w:cs="Arial" w:eastAsia="Arial" w:hAnsi="Arial"/>
          <w:sz w:val="22"/>
          <w:szCs w:val="22"/>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212" w:lineRule="exact"/>
        <w:rPr>
          <w:rFonts w:ascii="Arial" w:cs="Arial" w:eastAsia="Arial" w:hAnsi="Arial"/>
          <w:sz w:val="22"/>
          <w:szCs w:val="22"/>
          <w:color w:val="auto"/>
        </w:rPr>
      </w:pPr>
    </w:p>
    <w:p>
      <w:pPr>
        <w:ind w:left="-656" w:right="440" w:firstLine="656"/>
        <w:spacing w:after="0" w:line="248" w:lineRule="auto"/>
        <w:tabs>
          <w:tab w:leader="none" w:pos="64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and other communications to be given hereunder to any party shall be deemed to be sufficient if contained in a written instrument and shall be deemed to have been duly given when delivered in person, by telecopy, by nationally recognized overnight courier, or by first-class registered or certified mail, postage prepaid, addressed to such party at the address set forth below or such other address as may hereafter be designated in writing by the addressee to the addresser:</w:t>
      </w:r>
    </w:p>
    <w:p>
      <w:pPr>
        <w:spacing w:after="0" w:line="219" w:lineRule="exact"/>
        <w:rPr>
          <w:sz w:val="20"/>
          <w:szCs w:val="20"/>
          <w:color w:val="auto"/>
        </w:rPr>
      </w:pPr>
    </w:p>
    <w:p>
      <w:pPr>
        <w:ind w:left="744" w:hanging="420"/>
        <w:spacing w:after="0"/>
        <w:tabs>
          <w:tab w:leader="none" w:pos="7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Viatris Inc.</w:t>
      </w:r>
    </w:p>
    <w:p>
      <w:pPr>
        <w:spacing w:after="0" w:line="21"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1000 Mylan Boulevard</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Canonsburg, PA 15317</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Facsimile: (724) 514-1533</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Attention: Chief Human Resources Officer</w:t>
      </w:r>
    </w:p>
    <w:p>
      <w:pPr>
        <w:spacing w:after="0" w:line="229" w:lineRule="exact"/>
        <w:rPr>
          <w:sz w:val="20"/>
          <w:szCs w:val="20"/>
          <w:color w:val="auto"/>
        </w:rPr>
      </w:pPr>
    </w:p>
    <w:p>
      <w:pPr>
        <w:ind w:left="804" w:hanging="480"/>
        <w:spacing w:after="0"/>
        <w:tabs>
          <w:tab w:leader="none" w:pos="804"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to the Participant, to the Participant’s home address on file with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1" w:lineRule="exact"/>
        <w:rPr>
          <w:rFonts w:ascii="Arial" w:cs="Arial" w:eastAsia="Arial" w:hAnsi="Arial"/>
          <w:sz w:val="22"/>
          <w:szCs w:val="22"/>
          <w:color w:val="auto"/>
        </w:rPr>
      </w:pPr>
    </w:p>
    <w:p>
      <w:pPr>
        <w:ind w:left="4924"/>
        <w:spacing w:after="0"/>
        <w:rPr>
          <w:rFonts w:ascii="Arial" w:cs="Arial" w:eastAsia="Arial" w:hAnsi="Arial"/>
          <w:sz w:val="22"/>
          <w:szCs w:val="22"/>
          <w:color w:val="auto"/>
        </w:rPr>
      </w:pPr>
      <w:r>
        <w:rPr>
          <w:rFonts w:ascii="Arial" w:cs="Arial" w:eastAsia="Arial" w:hAnsi="Arial"/>
          <w:sz w:val="20"/>
          <w:szCs w:val="20"/>
          <w:color w:val="auto"/>
        </w:rPr>
        <w:t>5</w:t>
      </w:r>
    </w:p>
    <w:p>
      <w:pPr>
        <w:sectPr>
          <w:pgSz w:w="11900" w:h="16838" w:orient="portrait"/>
          <w:cols w:equalWidth="0" w:num="1">
            <w:col w:w="10564"/>
          </w:cols>
          <w:pgMar w:left="976" w:top="1428" w:right="359" w:bottom="1440" w:gutter="0" w:footer="0" w:header="0"/>
        </w:sectPr>
      </w:pPr>
    </w:p>
    <w:bookmarkStart w:id="74" w:name="page75"/>
    <w:bookmarkEnd w:id="74"/>
    <w:p>
      <w:pPr>
        <w:ind w:right="120"/>
        <w:spacing w:after="0" w:line="250" w:lineRule="auto"/>
        <w:rPr>
          <w:sz w:val="20"/>
          <w:szCs w:val="20"/>
          <w:color w:val="auto"/>
        </w:rPr>
      </w:pPr>
      <w:r>
        <w:rPr>
          <w:rFonts w:ascii="Arial" w:cs="Arial" w:eastAsia="Arial" w:hAnsi="Arial"/>
          <w:sz w:val="22"/>
          <w:szCs w:val="22"/>
          <w:color w:val="auto"/>
        </w:rPr>
        <w:t>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mailing, on the third business day following such mailing if sent by certified mail, return receipt requested.</w:t>
      </w:r>
    </w:p>
    <w:p>
      <w:pPr>
        <w:spacing w:after="0" w:line="188" w:lineRule="exact"/>
        <w:rPr>
          <w:sz w:val="20"/>
          <w:szCs w:val="20"/>
          <w:color w:val="auto"/>
        </w:rPr>
      </w:pPr>
    </w:p>
    <w:p>
      <w:pPr>
        <w:ind w:right="260" w:firstLine="656"/>
        <w:spacing w:after="0" w:line="253" w:lineRule="auto"/>
        <w:tabs>
          <w:tab w:leader="none" w:pos="117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12" w:lineRule="exact"/>
        <w:rPr>
          <w:rFonts w:ascii="Arial" w:cs="Arial" w:eastAsia="Arial" w:hAnsi="Arial"/>
          <w:sz w:val="22"/>
          <w:szCs w:val="22"/>
          <w:color w:val="auto"/>
        </w:rPr>
      </w:pPr>
    </w:p>
    <w:p>
      <w:pPr>
        <w:ind w:right="40" w:firstLine="656"/>
        <w:spacing w:after="0" w:line="250" w:lineRule="auto"/>
        <w:tabs>
          <w:tab w:leader="none" w:pos="111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 Rights to Employment</w:t>
      </w:r>
      <w:r>
        <w:rPr>
          <w:rFonts w:ascii="Arial" w:cs="Arial" w:eastAsia="Arial" w:hAnsi="Arial"/>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14" w:lineRule="exact"/>
        <w:rPr>
          <w:rFonts w:ascii="Arial" w:cs="Arial" w:eastAsia="Arial" w:hAnsi="Arial"/>
          <w:sz w:val="22"/>
          <w:szCs w:val="22"/>
          <w:color w:val="auto"/>
        </w:rPr>
      </w:pPr>
    </w:p>
    <w:p>
      <w:pPr>
        <w:ind w:right="120" w:firstLine="656"/>
        <w:spacing w:after="0" w:line="253" w:lineRule="auto"/>
        <w:tabs>
          <w:tab w:leader="none" w:pos="106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In lieu of issuing a fraction of a Share resulting from an adjustment of the RSUs pursuant to Section 4(c) of the Plan or otherwise, the Company shall be entitled to pay to the Participant an amount equal to the Fair Market Value of such fractional share.</w:t>
      </w:r>
    </w:p>
    <w:p>
      <w:pPr>
        <w:spacing w:after="0" w:line="212" w:lineRule="exact"/>
        <w:rPr>
          <w:rFonts w:ascii="Arial" w:cs="Arial" w:eastAsia="Arial" w:hAnsi="Arial"/>
          <w:sz w:val="22"/>
          <w:szCs w:val="22"/>
          <w:color w:val="auto"/>
        </w:rPr>
      </w:pPr>
    </w:p>
    <w:p>
      <w:pPr>
        <w:ind w:firstLine="656"/>
        <w:spacing w:after="0" w:line="261" w:lineRule="auto"/>
        <w:tabs>
          <w:tab w:leader="none" w:pos="106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Beneficiary</w:t>
      </w:r>
      <w:r>
        <w:rPr>
          <w:rFonts w:ascii="Arial" w:cs="Arial" w:eastAsia="Arial" w:hAnsi="Arial"/>
          <w:sz w:val="21"/>
          <w:szCs w:val="21"/>
          <w:color w:val="auto"/>
        </w:rPr>
        <w:t>. The Participant may file with the Committee a written designation of a beneficiary on such form as may be prescribed by the Committee and may, from time to time, amend or revoke such designation. If no beneficiary is designated, if the designation is ineffective, or if the beneficiary dies before the balance of a Participant’s benefit is paid, the balance shall be paid to the Participant’s estate. Notwithstanding the foregoing, however, a Participant’s beneficiary shall be determined under applicable state law if such state law does not recognize beneficiary designations under Awards of this type and is not preempted by laws which recognize the provisions of this Section 10(j).</w:t>
      </w:r>
    </w:p>
    <w:p>
      <w:pPr>
        <w:spacing w:after="0" w:line="206" w:lineRule="exact"/>
        <w:rPr>
          <w:rFonts w:ascii="Arial" w:cs="Arial" w:eastAsia="Arial" w:hAnsi="Arial"/>
          <w:sz w:val="21"/>
          <w:szCs w:val="21"/>
          <w:color w:val="auto"/>
        </w:rPr>
      </w:pPr>
    </w:p>
    <w:p>
      <w:pPr>
        <w:ind w:right="480" w:firstLine="656"/>
        <w:spacing w:after="0" w:line="253" w:lineRule="auto"/>
        <w:tabs>
          <w:tab w:leader="none" w:pos="111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212" w:lineRule="exact"/>
        <w:rPr>
          <w:rFonts w:ascii="Arial" w:cs="Arial" w:eastAsia="Arial" w:hAnsi="Arial"/>
          <w:sz w:val="22"/>
          <w:szCs w:val="22"/>
          <w:color w:val="auto"/>
        </w:rPr>
      </w:pPr>
    </w:p>
    <w:p>
      <w:pPr>
        <w:ind w:right="20" w:firstLine="656"/>
        <w:spacing w:after="0" w:line="253" w:lineRule="auto"/>
        <w:tabs>
          <w:tab w:leader="none" w:pos="106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contain the entire agreement and understanding of the parties hereto with respect to the subject matter contained herein and supersede all prior communications, representations and negotiations in respect thereto.</w:t>
      </w:r>
    </w:p>
    <w:p>
      <w:pPr>
        <w:spacing w:after="0" w:line="203" w:lineRule="exact"/>
        <w:rPr>
          <w:rFonts w:ascii="Arial" w:cs="Arial" w:eastAsia="Arial" w:hAnsi="Arial"/>
          <w:sz w:val="22"/>
          <w:szCs w:val="22"/>
          <w:color w:val="auto"/>
        </w:rPr>
      </w:pPr>
    </w:p>
    <w:p>
      <w:pPr>
        <w:ind w:right="60" w:firstLine="656"/>
        <w:spacing w:after="0" w:line="250" w:lineRule="auto"/>
        <w:tabs>
          <w:tab w:leader="none" w:pos="1131"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Limitation Of Liability</w:t>
      </w:r>
      <w:r>
        <w:rPr>
          <w:rFonts w:ascii="Arial" w:cs="Arial" w:eastAsia="Arial" w:hAnsi="Arial"/>
          <w:sz w:val="20"/>
          <w:szCs w:val="20"/>
          <w:color w:val="auto"/>
        </w:rPr>
        <w:t>. The Participant agrees that any liability of the officers, the Committee, and the Board of Directors of the Company to the Participant under this Agreement shall be limited to those actions or failure to take actions which constitute self-dealing, willful misconduct or recklessness.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428" w:right="379" w:bottom="1440" w:gutter="0" w:footer="0" w:header="0"/>
        </w:sectPr>
      </w:pPr>
    </w:p>
    <w:bookmarkStart w:id="75" w:name="page76"/>
    <w:bookmarkEnd w:id="75"/>
    <w:p>
      <w:pPr>
        <w:ind w:left="1120" w:hanging="464"/>
        <w:spacing w:after="0"/>
        <w:tabs>
          <w:tab w:leader="none" w:pos="11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interpreted in accordance with the laws of the</w:t>
      </w:r>
    </w:p>
    <w:p>
      <w:pPr>
        <w:spacing w:after="0" w:line="21" w:lineRule="exact"/>
        <w:rPr>
          <w:rFonts w:ascii="Arial" w:cs="Arial" w:eastAsia="Arial" w:hAnsi="Arial"/>
          <w:sz w:val="22"/>
          <w:szCs w:val="22"/>
          <w:color w:val="auto"/>
        </w:rPr>
      </w:pPr>
    </w:p>
    <w:p>
      <w:pPr>
        <w:ind w:right="120"/>
        <w:spacing w:after="0" w:line="245" w:lineRule="auto"/>
        <w:rPr>
          <w:rFonts w:ascii="Arial" w:cs="Arial" w:eastAsia="Arial" w:hAnsi="Arial"/>
          <w:sz w:val="22"/>
          <w:szCs w:val="22"/>
          <w:color w:val="auto"/>
        </w:rPr>
      </w:pPr>
      <w:r>
        <w:rPr>
          <w:rFonts w:ascii="Arial" w:cs="Arial" w:eastAsia="Arial" w:hAnsi="Arial"/>
          <w:sz w:val="22"/>
          <w:szCs w:val="22"/>
          <w:color w:val="auto"/>
        </w:rPr>
        <w:t>Commonwealth of Pennsylvania without regard to principles of conflicts of law thereof, or principles of conflicts of laws of any other jurisdiction which could cause the application of the laws of any jurisdiction other than the Commonwealth of Pennsylvania.</w:t>
      </w:r>
    </w:p>
    <w:p>
      <w:pPr>
        <w:spacing w:after="0" w:line="219" w:lineRule="exact"/>
        <w:rPr>
          <w:rFonts w:ascii="Arial" w:cs="Arial" w:eastAsia="Arial" w:hAnsi="Arial"/>
          <w:sz w:val="22"/>
          <w:szCs w:val="22"/>
          <w:color w:val="auto"/>
        </w:rPr>
      </w:pPr>
    </w:p>
    <w:p>
      <w:pPr>
        <w:ind w:firstLine="656"/>
        <w:spacing w:after="0" w:line="292" w:lineRule="auto"/>
        <w:tabs>
          <w:tab w:leader="none" w:pos="111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 The Participant and the Company (on behalf of itself and its Affiliates) each consents to jurisdiction in the United States District Court for the Western District of Pennsylvania, or if that court is unable to exercise jurisdiction for any reason, the Court of Common Pleas of Washington County, Pennsylvania, and each waives any other requirement (whether imposed by statute, rule of court or otherwise) with respect to personal jurisdiction or service of process and waives any objection to jurisdiction based on improper venue or improper jurisdiction. EACH OF THE PARTIES HERETO HEREBY IRREVOCABLY WAIVES ALL RIGHT TO TRIAL BY JURY, IN ANY ACTION, PROCEEDING OR COUNTERCLAIM ARISING OUT OF OR RELATING TO THE PLAN OR THIS AGREEMENT.</w:t>
      </w:r>
    </w:p>
    <w:p>
      <w:pPr>
        <w:spacing w:after="0" w:line="177" w:lineRule="exact"/>
        <w:rPr>
          <w:rFonts w:ascii="Arial" w:cs="Arial" w:eastAsia="Arial" w:hAnsi="Arial"/>
          <w:sz w:val="19"/>
          <w:szCs w:val="19"/>
          <w:color w:val="auto"/>
        </w:rPr>
      </w:pPr>
    </w:p>
    <w:p>
      <w:pPr>
        <w:ind w:right="120" w:firstLine="656"/>
        <w:spacing w:after="0" w:line="263" w:lineRule="auto"/>
        <w:tabs>
          <w:tab w:leader="none" w:pos="111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are not to serve as a basis for interpretation or construction, and shall not constitute a part, of this Agreement.</w:t>
      </w:r>
    </w:p>
    <w:p>
      <w:pPr>
        <w:spacing w:after="0" w:line="201" w:lineRule="exact"/>
        <w:rPr>
          <w:rFonts w:ascii="Arial" w:cs="Arial" w:eastAsia="Arial" w:hAnsi="Arial"/>
          <w:sz w:val="22"/>
          <w:szCs w:val="22"/>
          <w:color w:val="auto"/>
        </w:rPr>
      </w:pPr>
    </w:p>
    <w:p>
      <w:pPr>
        <w:ind w:right="60" w:firstLine="656"/>
        <w:spacing w:after="0" w:line="265" w:lineRule="auto"/>
        <w:tabs>
          <w:tab w:leader="none" w:pos="111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(including via facsimile, electronic image scan (pdf) and electronic signature on the Merrill Lynch intranet system),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00"/>
          </w:cols>
          <w:pgMar w:left="320" w:top="1428" w:right="379" w:bottom="1440" w:gutter="0" w:footer="0" w:header="0"/>
        </w:sectPr>
      </w:pPr>
    </w:p>
    <w:bookmarkStart w:id="76" w:name="page77"/>
    <w:bookmarkEnd w:id="76"/>
    <w:p>
      <w:pPr>
        <w:ind w:firstLine="1296"/>
        <w:spacing w:after="0" w:line="263" w:lineRule="auto"/>
        <w:rPr>
          <w:sz w:val="20"/>
          <w:szCs w:val="20"/>
          <w:color w:val="auto"/>
        </w:rPr>
      </w:pPr>
      <w:r>
        <w:rPr>
          <w:rFonts w:ascii="Arial" w:cs="Arial" w:eastAsia="Arial" w:hAnsi="Arial"/>
          <w:sz w:val="22"/>
          <w:szCs w:val="22"/>
          <w:color w:val="auto"/>
        </w:rPr>
        <w:t>IN WITNESS WHEREOF, this Agreement has been executed and delivered by the parties hereto as of the date first written above.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VIATRIS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[Participant Name]</w:t>
      </w:r>
    </w:p>
    <w:p>
      <w:pPr>
        <w:sectPr>
          <w:pgSz w:w="11900" w:h="16838" w:orient="portrait"/>
          <w:cols w:equalWidth="0" w:num="1">
            <w:col w:w="10900"/>
          </w:cols>
          <w:pgMar w:left="320" w:top="1428" w:right="67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VIATRIS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PERFORMANCE-BASED RESTRICTED STOCK UNIT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THIS PERFORMANCE-BASED RESTRICTED STOCK UNIT AWARD AGREEMENT </w:t>
      </w:r>
      <w:r>
        <w:rPr>
          <w:rFonts w:ascii="Arial" w:cs="Arial" w:eastAsia="Arial" w:hAnsi="Arial"/>
          <w:sz w:val="22"/>
          <w:szCs w:val="22"/>
          <w:color w:val="auto"/>
        </w:rPr>
        <w:t>(this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[________] (the “</w:t>
      </w:r>
      <w:r>
        <w:rPr>
          <w:rFonts w:ascii="Arial" w:cs="Arial" w:eastAsia="Arial" w:hAnsi="Arial"/>
          <w:sz w:val="19"/>
          <w:szCs w:val="19"/>
          <w:u w:val="single" w:color="auto"/>
          <w:color w:val="auto"/>
        </w:rPr>
        <w:t>Date of Grant</w:t>
      </w:r>
      <w:r>
        <w:rPr>
          <w:rFonts w:ascii="Arial" w:cs="Arial" w:eastAsia="Arial" w:hAnsi="Arial"/>
          <w:sz w:val="19"/>
          <w:szCs w:val="19"/>
          <w:color w:val="auto"/>
        </w:rPr>
        <w:t>”), is made by and between Viatris Inc.,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and [_______]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96"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Performance-Based Restricted Stock Units.</w:t>
      </w:r>
    </w:p>
    <w:p>
      <w:pPr>
        <w:spacing w:after="0" w:line="252" w:lineRule="exact"/>
        <w:rPr>
          <w:rFonts w:ascii="Arial" w:cs="Arial" w:eastAsia="Arial" w:hAnsi="Arial"/>
          <w:sz w:val="22"/>
          <w:szCs w:val="22"/>
          <w:b w:val="1"/>
          <w:bCs w:val="1"/>
          <w:color w:val="auto"/>
        </w:rPr>
      </w:pPr>
    </w:p>
    <w:p>
      <w:pPr>
        <w:ind w:right="80" w:firstLine="656"/>
        <w:spacing w:after="0" w:line="246" w:lineRule="auto"/>
        <w:tabs>
          <w:tab w:leader="none" w:pos="1293"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Participant a total of [______] target performance-based restricted stock units (“</w:t>
      </w:r>
      <w:r>
        <w:rPr>
          <w:rFonts w:ascii="Arial" w:cs="Arial" w:eastAsia="Arial" w:hAnsi="Arial"/>
          <w:sz w:val="22"/>
          <w:szCs w:val="22"/>
          <w:u w:val="single" w:color="auto"/>
          <w:color w:val="auto"/>
        </w:rPr>
        <w:t>PSUs</w:t>
      </w:r>
      <w:r>
        <w:rPr>
          <w:rFonts w:ascii="Arial" w:cs="Arial" w:eastAsia="Arial" w:hAnsi="Arial"/>
          <w:sz w:val="22"/>
          <w:szCs w:val="22"/>
          <w:color w:val="auto"/>
        </w:rPr>
        <w:t>”), on the terms and conditions set forth in this Agreement and as otherwise provided in the Viatris Inc. 2020 Stock Incentive Plan (as may be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The final number of PSUs actually awarded at the end of the Vesting Period (defined below), if any, shall be based on the attainment of specified levels of the performance measures set forth on Exhibit A. Each PSU represents the right to receive one share of the Company’s common stock, par value $0.01 per share (“</w:t>
      </w:r>
      <w:r>
        <w:rPr>
          <w:rFonts w:ascii="Arial" w:cs="Arial" w:eastAsia="Arial" w:hAnsi="Arial"/>
          <w:sz w:val="22"/>
          <w:szCs w:val="22"/>
          <w:u w:val="single" w:color="auto"/>
          <w:color w:val="auto"/>
        </w:rPr>
        <w:t>Share</w:t>
      </w:r>
      <w:r>
        <w:rPr>
          <w:rFonts w:ascii="Arial" w:cs="Arial" w:eastAsia="Arial" w:hAnsi="Arial"/>
          <w:sz w:val="22"/>
          <w:szCs w:val="22"/>
          <w:color w:val="auto"/>
        </w:rPr>
        <w:t>”). The PSUs shall be credited to a separate book-entry account maintained for the Participant on the books of the Company.</w:t>
      </w:r>
    </w:p>
    <w:p>
      <w:pPr>
        <w:spacing w:after="0" w:line="223" w:lineRule="exact"/>
        <w:rPr>
          <w:rFonts w:ascii="Arial" w:cs="Arial" w:eastAsia="Arial" w:hAnsi="Arial"/>
          <w:sz w:val="22"/>
          <w:szCs w:val="22"/>
          <w:color w:val="auto"/>
        </w:rPr>
      </w:pPr>
    </w:p>
    <w:p>
      <w:pPr>
        <w:ind w:right="20" w:firstLine="656"/>
        <w:spacing w:after="0" w:line="287" w:lineRule="auto"/>
        <w:tabs>
          <w:tab w:leader="none" w:pos="1291"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xml:space="preserve"> The provisions of the Plan are hereby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 Without limiting the foregoing, the Participant acknowledges that the PSUs and any Shares acquired upon settlement of the PSUs are subject to provisions of the Plan under which, in certain circumstances, an adjustment may be made to the number of the PSUs and any Shares acquired upon settlement of the PSUs.</w:t>
      </w:r>
    </w:p>
    <w:p>
      <w:pPr>
        <w:spacing w:after="0" w:line="184" w:lineRule="exact"/>
        <w:rPr>
          <w:rFonts w:ascii="Arial" w:cs="Arial" w:eastAsia="Arial" w:hAnsi="Arial"/>
          <w:sz w:val="19"/>
          <w:szCs w:val="19"/>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Vesting; Settlement.</w:t>
      </w:r>
    </w:p>
    <w:p>
      <w:pPr>
        <w:spacing w:after="0" w:line="252" w:lineRule="exact"/>
        <w:rPr>
          <w:rFonts w:ascii="Arial" w:cs="Arial" w:eastAsia="Arial" w:hAnsi="Arial"/>
          <w:sz w:val="22"/>
          <w:szCs w:val="22"/>
          <w:b w:val="1"/>
          <w:bCs w:val="1"/>
          <w:color w:val="auto"/>
        </w:rPr>
      </w:pPr>
    </w:p>
    <w:p>
      <w:pPr>
        <w:ind w:right="380" w:firstLine="656"/>
        <w:spacing w:after="0" w:line="250" w:lineRule="auto"/>
        <w:tabs>
          <w:tab w:leader="none" w:pos="1293"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number of earned PSUs shall be determined based on the attainment of specified levels of the performance measures during the period beginning on January 1, 2021 and ending on December 31, 2023 (the “</w:t>
      </w:r>
      <w:r>
        <w:rPr>
          <w:rFonts w:ascii="Arial" w:cs="Arial" w:eastAsia="Arial" w:hAnsi="Arial"/>
          <w:sz w:val="22"/>
          <w:szCs w:val="22"/>
          <w:u w:val="single" w:color="auto"/>
          <w:color w:val="auto"/>
        </w:rPr>
        <w:t>Performance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as set forth on Exhibit A. The number of earned PSUs may range between the levels specified on Exhibit A. Earned PSUs will</w:t>
      </w:r>
    </w:p>
    <w:p>
      <w:pPr>
        <w:sectPr>
          <w:pgSz w:w="11900" w:h="16838" w:orient="portrait"/>
          <w:cols w:equalWidth="0" w:num="1">
            <w:col w:w="11240"/>
          </w:cols>
          <w:pgMar w:left="320" w:top="1422" w:right="339" w:bottom="1440" w:gutter="0" w:footer="0" w:header="0"/>
        </w:sectPr>
      </w:pPr>
    </w:p>
    <w:bookmarkStart w:id="78" w:name="page79"/>
    <w:bookmarkEnd w:id="78"/>
    <w:p>
      <w:pPr>
        <w:ind w:right="320"/>
        <w:spacing w:after="0" w:line="343" w:lineRule="auto"/>
        <w:rPr>
          <w:sz w:val="20"/>
          <w:szCs w:val="20"/>
          <w:color w:val="auto"/>
        </w:rPr>
      </w:pPr>
      <w:r>
        <w:rPr>
          <w:rFonts w:ascii="Arial" w:cs="Arial" w:eastAsia="Arial" w:hAnsi="Arial"/>
          <w:sz w:val="19"/>
          <w:szCs w:val="19"/>
          <w:color w:val="auto"/>
        </w:rPr>
        <w:t>cliff-vest on the third anniversary of the Date of Grant (the “</w:t>
      </w:r>
      <w:r>
        <w:rPr>
          <w:rFonts w:ascii="Arial" w:cs="Arial" w:eastAsia="Arial" w:hAnsi="Arial"/>
          <w:sz w:val="19"/>
          <w:szCs w:val="19"/>
          <w:u w:val="single" w:color="auto"/>
          <w:color w:val="auto"/>
        </w:rPr>
        <w:t>Vesting Date</w:t>
      </w:r>
      <w:r>
        <w:rPr>
          <w:rFonts w:ascii="Arial" w:cs="Arial" w:eastAsia="Arial" w:hAnsi="Arial"/>
          <w:sz w:val="19"/>
          <w:szCs w:val="19"/>
          <w:color w:val="auto"/>
        </w:rPr>
        <w:t>”), subject to the Participant remaining continuously employed in active service by the Company or one of its Affiliates from the Date of Grant through the Vesting Date.</w:t>
      </w:r>
    </w:p>
    <w:p>
      <w:pPr>
        <w:spacing w:after="0" w:line="131" w:lineRule="exact"/>
        <w:rPr>
          <w:sz w:val="20"/>
          <w:szCs w:val="20"/>
          <w:color w:val="auto"/>
        </w:rPr>
      </w:pPr>
    </w:p>
    <w:p>
      <w:pPr>
        <w:ind w:left="1300" w:hanging="644"/>
        <w:spacing w:after="0"/>
        <w:tabs>
          <w:tab w:leader="none" w:pos="1300"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Performance Measures</w:t>
      </w:r>
      <w:r>
        <w:rPr>
          <w:rFonts w:ascii="Arial" w:cs="Arial" w:eastAsia="Arial" w:hAnsi="Arial"/>
          <w:sz w:val="19"/>
          <w:szCs w:val="19"/>
          <w:color w:val="auto"/>
        </w:rPr>
        <w:t>. The performance measures under this Agreement shall be as set forth on Exhibit A.</w:t>
      </w:r>
    </w:p>
    <w:p>
      <w:pPr>
        <w:spacing w:after="0" w:line="55" w:lineRule="exact"/>
        <w:rPr>
          <w:rFonts w:ascii="Arial" w:cs="Arial" w:eastAsia="Arial" w:hAnsi="Arial"/>
          <w:sz w:val="19"/>
          <w:szCs w:val="19"/>
          <w:color w:val="auto"/>
        </w:rPr>
      </w:pPr>
    </w:p>
    <w:p>
      <w:pPr>
        <w:ind w:right="140" w:firstLine="656"/>
        <w:spacing w:after="0" w:line="262" w:lineRule="auto"/>
        <w:tabs>
          <w:tab w:leader="none" w:pos="1293"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Committee Determination</w:t>
      </w:r>
      <w:r>
        <w:rPr>
          <w:rFonts w:ascii="Arial" w:cs="Arial" w:eastAsia="Arial" w:hAnsi="Arial"/>
          <w:sz w:val="21"/>
          <w:szCs w:val="21"/>
          <w:color w:val="auto"/>
        </w:rPr>
        <w:t>. As soon as administratively practicable after the end of the Performance Period, the Committee shall determine the level attained for each performance measure in accordance with Exhibit A. The Participant shall be awarded the final number of PSUs in accordance with the level of performance achieved.</w:t>
      </w:r>
    </w:p>
    <w:p>
      <w:pPr>
        <w:spacing w:after="0" w:line="203" w:lineRule="exact"/>
        <w:rPr>
          <w:rFonts w:ascii="Arial" w:cs="Arial" w:eastAsia="Arial" w:hAnsi="Arial"/>
          <w:sz w:val="21"/>
          <w:szCs w:val="21"/>
          <w:color w:val="auto"/>
        </w:rPr>
      </w:pPr>
    </w:p>
    <w:p>
      <w:pPr>
        <w:ind w:right="80" w:firstLine="656"/>
        <w:spacing w:after="0" w:line="263" w:lineRule="auto"/>
        <w:tabs>
          <w:tab w:leader="none" w:pos="1291"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Except as otherwise provided herein, each vested and earned PSU shall be settled in Shares within 30 days following the Vesting Date.</w:t>
      </w:r>
    </w:p>
    <w:p>
      <w:pPr>
        <w:spacing w:after="0" w:line="195" w:lineRule="exact"/>
        <w:rPr>
          <w:rFonts w:ascii="Arial" w:cs="Arial" w:eastAsia="Arial" w:hAnsi="Arial"/>
          <w:sz w:val="22"/>
          <w:szCs w:val="22"/>
          <w:color w:val="auto"/>
        </w:rPr>
      </w:pPr>
    </w:p>
    <w:p>
      <w:pPr>
        <w:ind w:firstLine="8"/>
        <w:spacing w:after="0" w:line="293" w:lineRule="auto"/>
        <w:tabs>
          <w:tab w:leader="none" w:pos="648"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Each PSU shall be credited with Dividend Equivalents, which shall be withheld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credited to the Participant’s account (either in cash or additional Restricted Stock Units in the discretion of the Committee). Dividend Equivalents credited to the Participant’s account and attributable to a PSU shall be distributed (without interest) to the Participant at the same time as the underlying Share is delivered upon settlement of such PSU and, if such PSU is forfeited, the Participant shall have no right to such Dividend Equivalents. Any adjustments for Dividend Equivalents shall be in the sole discretion of the Committee and Dividend Equivalents shall be paid either in cash or Shares in the discretion of the Committee. It is the current intention of the Company that Dividend Equivalents will accrue in additional PSUs.</w:t>
      </w:r>
    </w:p>
    <w:p>
      <w:pPr>
        <w:spacing w:after="0" w:line="171" w:lineRule="exact"/>
        <w:rPr>
          <w:rFonts w:ascii="Arial" w:cs="Arial" w:eastAsia="Arial" w:hAnsi="Arial"/>
          <w:sz w:val="19"/>
          <w:szCs w:val="19"/>
          <w:b w:val="1"/>
          <w:bCs w:val="1"/>
          <w:color w:val="auto"/>
        </w:rPr>
      </w:pPr>
    </w:p>
    <w:p>
      <w:pPr>
        <w:ind w:right="40" w:firstLine="8"/>
        <w:spacing w:after="0" w:line="289" w:lineRule="auto"/>
        <w:tabs>
          <w:tab w:leader="none" w:pos="648"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Withholding. </w:t>
      </w:r>
      <w:r>
        <w:rPr>
          <w:rFonts w:ascii="Arial" w:cs="Arial" w:eastAsia="Arial" w:hAnsi="Arial"/>
          <w:sz w:val="19"/>
          <w:szCs w:val="19"/>
          <w:color w:val="auto"/>
        </w:rPr>
        <w:t>Vesting and settlement of the PSUs shall be subject to the Participant satisfying any applicable U.S.</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and local tax withholding obligations and non-U.S. tax withholding obligations. The Company shall be entitled, if the Committee deems it necessary or desirable, to withhold (or secure payment from the Participant in lieu of withholding) the maximum amount of any withholding or other tax permitted by law to be withheld. The Company shall have the right and is hereby authorized to withhold from any amounts payable to the Participant in connection with the PSUs or otherwise the amount of any required withholding taxes in respect of the PSUs, its settlement or any payment or transfer of the PSUs or under the Plan and to take any such other action as the Committee or the Company deem necessary to satisfy all obligations for the payment of such withholding taxes. The Participant may satisfy, in whole or in part, the tax obligations by authorizing the Company to withhold Shares that would otherwise be deliverable to the Participant upon settlement of the PSUs with a Fair Market Value equal to such withholding liability.</w:t>
      </w:r>
    </w:p>
    <w:p>
      <w:pPr>
        <w:spacing w:after="0" w:line="200" w:lineRule="exact"/>
        <w:rPr>
          <w:rFonts w:ascii="Arial" w:cs="Arial" w:eastAsia="Arial" w:hAnsi="Arial"/>
          <w:sz w:val="19"/>
          <w:szCs w:val="19"/>
          <w:b w:val="1"/>
          <w:bCs w:val="1"/>
          <w:color w:val="auto"/>
        </w:rPr>
      </w:pPr>
    </w:p>
    <w:p>
      <w:pPr>
        <w:spacing w:after="0" w:line="240" w:lineRule="exact"/>
        <w:rPr>
          <w:rFonts w:ascii="Arial" w:cs="Arial" w:eastAsia="Arial" w:hAnsi="Arial"/>
          <w:sz w:val="19"/>
          <w:szCs w:val="19"/>
          <w:b w:val="1"/>
          <w:bCs w:val="1"/>
          <w:color w:val="auto"/>
        </w:rPr>
      </w:pPr>
    </w:p>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52" w:lineRule="exact"/>
        <w:rPr>
          <w:rFonts w:ascii="Arial" w:cs="Arial" w:eastAsia="Arial" w:hAnsi="Arial"/>
          <w:sz w:val="22"/>
          <w:szCs w:val="22"/>
          <w:b w:val="1"/>
          <w:bCs w:val="1"/>
          <w:color w:val="auto"/>
        </w:rPr>
      </w:pPr>
    </w:p>
    <w:p>
      <w:pPr>
        <w:ind w:firstLine="656"/>
        <w:spacing w:after="0" w:line="253" w:lineRule="auto"/>
        <w:tabs>
          <w:tab w:leader="none" w:pos="1293"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due to Death or Disability</w:t>
      </w:r>
      <w:r>
        <w:rPr>
          <w:rFonts w:ascii="Arial" w:cs="Arial" w:eastAsia="Arial" w:hAnsi="Arial"/>
          <w:sz w:val="22"/>
          <w:szCs w:val="22"/>
          <w:color w:val="auto"/>
        </w:rPr>
        <w:t>. If, prior to the Vesting Date, the Participant’s employment with the Company and its Affiliates is terminated (1) by the Company or one of its Affiliates due to the Participant’s Disability (as defined below), or (2) due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80"/>
          </w:cols>
          <w:pgMar w:left="320" w:top="1428" w:right="399" w:bottom="1440" w:gutter="0" w:footer="0" w:header="0"/>
        </w:sectPr>
      </w:pPr>
    </w:p>
    <w:bookmarkStart w:id="79" w:name="page80"/>
    <w:bookmarkEnd w:id="79"/>
    <w:p>
      <w:pPr>
        <w:ind w:right="500"/>
        <w:spacing w:after="0" w:line="259" w:lineRule="auto"/>
        <w:rPr>
          <w:sz w:val="20"/>
          <w:szCs w:val="20"/>
          <w:color w:val="auto"/>
        </w:rPr>
      </w:pPr>
      <w:r>
        <w:rPr>
          <w:rFonts w:ascii="Arial" w:cs="Arial" w:eastAsia="Arial" w:hAnsi="Arial"/>
          <w:sz w:val="21"/>
          <w:szCs w:val="21"/>
          <w:color w:val="auto"/>
        </w:rPr>
        <w:t>to the Participant’s death, then the PSUs, to the extent unvested, shall become fully vested as of the date of termination of employment (based on target level performance). Such vested PSUs shall be settled in Shares within 30 days following such termination date. For the avoidance of doubt, this Section 5(a) shall not apply to any death or Disability of the Participant occurring after the date of termination of the Participant’s employment for any reason.</w:t>
      </w:r>
    </w:p>
    <w:p>
      <w:pPr>
        <w:spacing w:after="0" w:line="2" w:lineRule="exact"/>
        <w:rPr>
          <w:sz w:val="20"/>
          <w:szCs w:val="20"/>
          <w:color w:val="auto"/>
        </w:rPr>
      </w:pPr>
    </w:p>
    <w:p>
      <w:pPr>
        <w:ind w:firstLine="656"/>
        <w:spacing w:after="0" w:line="295" w:lineRule="auto"/>
        <w:tabs>
          <w:tab w:leader="none" w:pos="1291"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Other Termination of Employment</w:t>
      </w:r>
      <w:r>
        <w:rPr>
          <w:rFonts w:ascii="Arial" w:cs="Arial" w:eastAsia="Arial" w:hAnsi="Arial"/>
          <w:sz w:val="19"/>
          <w:szCs w:val="19"/>
          <w:color w:val="auto"/>
        </w:rPr>
        <w:t>. If, prior to the Vesting Date, the Participant’s employment with the Company and its Affiliates terminates for any reason other than as set forth in Section 5(a) above (including any termination of employment by the Participant for any reason, or by the Company with or without Cause), then all unvested PSUs shall be cancelled immediately and the Participant shall not be entitled to receive any payments with respect thereto.</w:t>
      </w:r>
    </w:p>
    <w:p>
      <w:pPr>
        <w:spacing w:after="0" w:line="170" w:lineRule="exact"/>
        <w:rPr>
          <w:rFonts w:ascii="Arial" w:cs="Arial" w:eastAsia="Arial" w:hAnsi="Arial"/>
          <w:sz w:val="19"/>
          <w:szCs w:val="19"/>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52" w:lineRule="exact"/>
        <w:rPr>
          <w:rFonts w:ascii="Arial" w:cs="Arial" w:eastAsia="Arial" w:hAnsi="Arial"/>
          <w:sz w:val="22"/>
          <w:szCs w:val="22"/>
          <w:b w:val="1"/>
          <w:bCs w:val="1"/>
          <w:color w:val="auto"/>
        </w:rPr>
      </w:pPr>
    </w:p>
    <w:p>
      <w:pPr>
        <w:ind w:right="80" w:firstLine="656"/>
        <w:spacing w:after="0" w:line="259" w:lineRule="auto"/>
        <w:tabs>
          <w:tab w:leader="none" w:pos="1293" w:val="left"/>
        </w:tabs>
        <w:numPr>
          <w:ilvl w:val="1"/>
          <w:numId w:val="63"/>
        </w:numPr>
        <w:rPr>
          <w:rFonts w:ascii="Arial" w:cs="Arial" w:eastAsia="Arial" w:hAnsi="Arial"/>
          <w:sz w:val="21"/>
          <w:szCs w:val="21"/>
          <w:color w:val="auto"/>
        </w:rPr>
      </w:pPr>
      <w:r>
        <w:rPr>
          <w:rFonts w:ascii="Arial" w:cs="Arial" w:eastAsia="Arial" w:hAnsi="Arial"/>
          <w:sz w:val="21"/>
          <w:szCs w:val="21"/>
          <w:color w:val="auto"/>
        </w:rPr>
        <w:t>In the event of a Change in Control in which no provision is made for assumption or substitution of the PSUs granted hereby in the manner contemplated by Section 11(c) of the Plan, the PSUs, to the extent then unvested, shall automatically be deemed vested, with the number of PSUs deemed vested determined by the Committee in its sole discretion, as of immediately prior to such Change in Control, and the PSUs shall be settled within 30 days following such Change in Control (or, to the extent the PSUs are deferred compensation subject to Section 409A of the Code, within 30 days following a payment event permissible under Section 409A of the Code), in Shares, in cash in an amount equal to the number of vested PSUs multiplied by the Fair Market Value of a Share (as of a date specified by the Committee), or in a combination of cash and Shares, as determined by the Committee.</w:t>
      </w:r>
    </w:p>
    <w:p>
      <w:pPr>
        <w:spacing w:after="0" w:line="210" w:lineRule="exact"/>
        <w:rPr>
          <w:rFonts w:ascii="Arial" w:cs="Arial" w:eastAsia="Arial" w:hAnsi="Arial"/>
          <w:sz w:val="21"/>
          <w:szCs w:val="21"/>
          <w:color w:val="auto"/>
        </w:rPr>
      </w:pPr>
    </w:p>
    <w:p>
      <w:pPr>
        <w:ind w:right="80" w:firstLine="656"/>
        <w:spacing w:after="0" w:line="302" w:lineRule="auto"/>
        <w:tabs>
          <w:tab w:leader="none" w:pos="1291" w:val="left"/>
        </w:tabs>
        <w:numPr>
          <w:ilvl w:val="1"/>
          <w:numId w:val="63"/>
        </w:numPr>
        <w:rPr>
          <w:rFonts w:ascii="Arial" w:cs="Arial" w:eastAsia="Arial" w:hAnsi="Arial"/>
          <w:sz w:val="19"/>
          <w:szCs w:val="19"/>
          <w:color w:val="auto"/>
        </w:rPr>
      </w:pPr>
      <w:r>
        <w:rPr>
          <w:rFonts w:ascii="Arial" w:cs="Arial" w:eastAsia="Arial" w:hAnsi="Arial"/>
          <w:sz w:val="19"/>
          <w:szCs w:val="19"/>
          <w:color w:val="auto"/>
        </w:rPr>
        <w:t>If a Change in Control occurs in which the acquirer assumes or substitutes the PSUs granted hereby in the manner contemplated by Section 11 of the Plan, then the performance-vesting conditions of the PSUs shall be deemed waived, and the number of PSUs as determined by the Committee, in its sole discretion, shall remain eligible to vest so long as the Participant remains continuously employed in active service by the Company or one of its Affiliates through the Vesting Date.</w:t>
      </w:r>
    </w:p>
    <w:p>
      <w:pPr>
        <w:spacing w:after="0" w:line="169" w:lineRule="exact"/>
        <w:rPr>
          <w:sz w:val="20"/>
          <w:szCs w:val="20"/>
          <w:color w:val="auto"/>
        </w:rPr>
      </w:pPr>
    </w:p>
    <w:p>
      <w:pPr>
        <w:ind w:left="660" w:right="20" w:firstLine="444"/>
        <w:spacing w:after="0" w:line="247" w:lineRule="auto"/>
        <w:rPr>
          <w:sz w:val="20"/>
          <w:szCs w:val="20"/>
          <w:color w:val="auto"/>
        </w:rPr>
      </w:pPr>
      <w:r>
        <w:rPr>
          <w:rFonts w:ascii="Arial" w:cs="Arial" w:eastAsia="Arial" w:hAnsi="Arial"/>
          <w:sz w:val="22"/>
          <w:szCs w:val="22"/>
          <w:color w:val="auto"/>
        </w:rPr>
        <w:t>(i)Notwithstanding anything to the contrary herein, if, within the 24-month period following such Change in Control, the Participant’s employment with the Company and its Affiliates is terminated (i) by the Company or one of its Affiliates without Cause (other than due to death or Disability), (ii) by the Participant for Good Reason (defined below) or (iii) due to the Participant’s death or Disability, then the number of PSUs determined pursuant to Section 6(b), to the extent unvested, shall become fully vested as of the date of termination of employment, and promptly settled upon vesting, in a manner consistent with Section 2(d).</w:t>
      </w:r>
    </w:p>
    <w:p>
      <w:pPr>
        <w:spacing w:after="0" w:line="220" w:lineRule="exact"/>
        <w:rPr>
          <w:sz w:val="20"/>
          <w:szCs w:val="20"/>
          <w:color w:val="auto"/>
        </w:rPr>
      </w:pPr>
    </w:p>
    <w:p>
      <w:pPr>
        <w:jc w:val="both"/>
        <w:ind w:left="660" w:right="220" w:firstLine="384"/>
        <w:spacing w:after="0" w:line="253" w:lineRule="auto"/>
        <w:rPr>
          <w:sz w:val="20"/>
          <w:szCs w:val="20"/>
          <w:color w:val="auto"/>
        </w:rPr>
      </w:pPr>
      <w:r>
        <w:rPr>
          <w:rFonts w:ascii="Arial" w:cs="Arial" w:eastAsia="Arial" w:hAnsi="Arial"/>
          <w:sz w:val="22"/>
          <w:szCs w:val="22"/>
          <w:color w:val="auto"/>
        </w:rPr>
        <w:t>(ii)For purposes of this Agreement, “</w:t>
      </w:r>
      <w:r>
        <w:rPr>
          <w:rFonts w:ascii="Arial" w:cs="Arial" w:eastAsia="Arial" w:hAnsi="Arial"/>
          <w:sz w:val="22"/>
          <w:szCs w:val="22"/>
          <w:u w:val="single" w:color="auto"/>
          <w:color w:val="auto"/>
        </w:rPr>
        <w:t>Good Reason</w:t>
      </w:r>
      <w:r>
        <w:rPr>
          <w:rFonts w:ascii="Arial" w:cs="Arial" w:eastAsia="Arial" w:hAnsi="Arial"/>
          <w:sz w:val="22"/>
          <w:szCs w:val="22"/>
          <w:color w:val="auto"/>
        </w:rPr>
        <w:t>”, “</w:t>
      </w:r>
      <w:r>
        <w:rPr>
          <w:rFonts w:ascii="Arial" w:cs="Arial" w:eastAsia="Arial" w:hAnsi="Arial"/>
          <w:sz w:val="22"/>
          <w:szCs w:val="22"/>
          <w:u w:val="single" w:color="auto"/>
          <w:color w:val="auto"/>
        </w:rPr>
        <w:t>Cause</w:t>
      </w:r>
      <w:r>
        <w:rPr>
          <w:rFonts w:ascii="Arial" w:cs="Arial" w:eastAsia="Arial" w:hAnsi="Arial"/>
          <w:sz w:val="22"/>
          <w:szCs w:val="22"/>
          <w:color w:val="auto"/>
        </w:rPr>
        <w:t>” and “</w:t>
      </w:r>
      <w:r>
        <w:rPr>
          <w:rFonts w:ascii="Arial" w:cs="Arial" w:eastAsia="Arial" w:hAnsi="Arial"/>
          <w:sz w:val="22"/>
          <w:szCs w:val="22"/>
          <w:u w:val="single" w:color="auto"/>
          <w:color w:val="auto"/>
        </w:rPr>
        <w:t>Disability</w:t>
      </w:r>
      <w:r>
        <w:rPr>
          <w:rFonts w:ascii="Arial" w:cs="Arial" w:eastAsia="Arial" w:hAnsi="Arial"/>
          <w:sz w:val="22"/>
          <w:szCs w:val="22"/>
          <w:color w:val="auto"/>
        </w:rPr>
        <w:t>” shall have the meanings ascribed to them in (i) the Participant’s employment agreement with the Company or one of its subsidiaries, if applicable, or (ii) the Mylan N.V. Severance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80" w:name="page81"/>
    <w:bookmarkEnd w:id="80"/>
    <w:p>
      <w:pPr>
        <w:ind w:left="652"/>
        <w:spacing w:after="0"/>
        <w:rPr>
          <w:sz w:val="20"/>
          <w:szCs w:val="20"/>
          <w:color w:val="auto"/>
        </w:rPr>
      </w:pPr>
      <w:r>
        <w:rPr>
          <w:rFonts w:ascii="Arial" w:cs="Arial" w:eastAsia="Arial" w:hAnsi="Arial"/>
          <w:sz w:val="22"/>
          <w:szCs w:val="22"/>
          <w:color w:val="auto"/>
        </w:rPr>
        <w:t>Plan and Global Guidelines, adopted July 29, 2019, as may be amended or superseded from time to time.</w:t>
      </w:r>
    </w:p>
    <w:p>
      <w:pPr>
        <w:spacing w:after="0" w:line="241" w:lineRule="exact"/>
        <w:rPr>
          <w:sz w:val="20"/>
          <w:szCs w:val="20"/>
          <w:color w:val="auto"/>
        </w:rPr>
      </w:pPr>
    </w:p>
    <w:p>
      <w:pPr>
        <w:ind w:left="-8" w:firstLine="8"/>
        <w:spacing w:after="0" w:line="262" w:lineRule="auto"/>
        <w:tabs>
          <w:tab w:leader="none" w:pos="64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Rights as a Stockholder. </w:t>
      </w:r>
      <w:r>
        <w:rPr>
          <w:rFonts w:ascii="Arial" w:cs="Arial" w:eastAsia="Arial" w:hAnsi="Arial"/>
          <w:sz w:val="21"/>
          <w:szCs w:val="21"/>
          <w:color w:val="auto"/>
        </w:rPr>
        <w:t>The Participant shall not be deemed for any purpose, nor have any of the rights or privileges of,</w:t>
      </w:r>
      <w:r>
        <w:rPr>
          <w:rFonts w:ascii="Arial" w:cs="Arial" w:eastAsia="Arial" w:hAnsi="Arial"/>
          <w:sz w:val="21"/>
          <w:szCs w:val="21"/>
          <w:b w:val="1"/>
          <w:bCs w:val="1"/>
          <w:color w:val="auto"/>
        </w:rPr>
        <w:t xml:space="preserve"> </w:t>
      </w:r>
      <w:r>
        <w:rPr>
          <w:rFonts w:ascii="Arial" w:cs="Arial" w:eastAsia="Arial" w:hAnsi="Arial"/>
          <w:sz w:val="21"/>
          <w:szCs w:val="21"/>
          <w:color w:val="auto"/>
        </w:rPr>
        <w:t>a stockholder of the Company in respect of any Shares underlying the PSUs unless, until and to the extent that (i) the Company shall have issued and delivered to the Participant the Shares underlying the vested PSUs and (ii) the Participant’s name shall have been entered as a stockholder of record with respect to such Shares on the books of the Company. The Company shall cause the actions described in clauses (i) and (ii) of the preceding sentence to occur promptly following settlement as contemplated by this Agreement, subject to compliance with applicable laws.</w:t>
      </w:r>
    </w:p>
    <w:p>
      <w:pPr>
        <w:spacing w:after="0" w:line="200" w:lineRule="exact"/>
        <w:rPr>
          <w:rFonts w:ascii="Arial" w:cs="Arial" w:eastAsia="Arial" w:hAnsi="Arial"/>
          <w:sz w:val="21"/>
          <w:szCs w:val="21"/>
          <w:b w:val="1"/>
          <w:bCs w:val="1"/>
          <w:color w:val="auto"/>
        </w:rPr>
      </w:pPr>
    </w:p>
    <w:p>
      <w:pPr>
        <w:ind w:left="-8" w:right="20" w:firstLine="8"/>
        <w:spacing w:after="0" w:line="259" w:lineRule="auto"/>
        <w:tabs>
          <w:tab w:leader="none" w:pos="64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Legal Requirements. </w:t>
      </w:r>
      <w:r>
        <w:rPr>
          <w:rFonts w:ascii="Arial" w:cs="Arial" w:eastAsia="Arial" w:hAnsi="Arial"/>
          <w:sz w:val="21"/>
          <w:szCs w:val="21"/>
          <w:color w:val="auto"/>
        </w:rPr>
        <w:t>The granting and settlement of the PSUs, and any other obligations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under this Agreement, shall be subject to all applicable Federal, provincial, state, local and foreign laws, rules and regulations and to such approvals by any regulatory or governmental agency as may be required. The Committee shall have the right to impose such restrictions on the PSUs as it deems reasonably necessary or advisable under applicable Federal securities laws, the rules and regulations of any stock exchange or market upon which Shares are then listed or traded, and/or any blue sky or state securities laws applicable to such Shares. It is expressly understood that the Committee is authorized to administer, construe, and make all determinations necessary or appropriate to the administration of the Plan and this Agreement, all of which shall be binding upon the Participant. The Participant agrees to take all steps the Committee or the Company determines are reasonably necessary to comply with all applicable provisions of Federal and state securities law in exercising his or her rights under this Agreement.</w:t>
      </w:r>
    </w:p>
    <w:p>
      <w:pPr>
        <w:spacing w:after="0" w:line="202" w:lineRule="exact"/>
        <w:rPr>
          <w:rFonts w:ascii="Arial" w:cs="Arial" w:eastAsia="Arial" w:hAnsi="Arial"/>
          <w:sz w:val="21"/>
          <w:szCs w:val="21"/>
          <w:b w:val="1"/>
          <w:bCs w:val="1"/>
          <w:color w:val="auto"/>
        </w:rPr>
      </w:pPr>
    </w:p>
    <w:p>
      <w:pPr>
        <w:ind w:left="-8" w:right="20" w:firstLine="8"/>
        <w:spacing w:after="0" w:line="295" w:lineRule="auto"/>
        <w:tabs>
          <w:tab w:leader="none" w:pos="640"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Clawback. </w:t>
      </w:r>
      <w:r>
        <w:rPr>
          <w:rFonts w:ascii="Arial" w:cs="Arial" w:eastAsia="Arial" w:hAnsi="Arial"/>
          <w:sz w:val="19"/>
          <w:szCs w:val="19"/>
          <w:color w:val="auto"/>
        </w:rPr>
        <w:t>The PSUs and/or the Shares acquired upon settlement of the PSUs shall be subject (including on a retroactive</w:t>
      </w:r>
      <w:r>
        <w:rPr>
          <w:rFonts w:ascii="Arial" w:cs="Arial" w:eastAsia="Arial" w:hAnsi="Arial"/>
          <w:sz w:val="19"/>
          <w:szCs w:val="19"/>
          <w:b w:val="1"/>
          <w:bCs w:val="1"/>
          <w:color w:val="auto"/>
        </w:rPr>
        <w:t xml:space="preserve"> </w:t>
      </w:r>
      <w:r>
        <w:rPr>
          <w:rFonts w:ascii="Arial" w:cs="Arial" w:eastAsia="Arial" w:hAnsi="Arial"/>
          <w:sz w:val="19"/>
          <w:szCs w:val="19"/>
          <w:color w:val="auto"/>
        </w:rPr>
        <w:t>basis) to clawback, forfeiture or similar requirements (and such requirements shall be deemed incorporated by reference into this Agreement) to the extent required by applicable law (including, without limitation, Section 304 of the Sarbanes-Oxley Act and Section 954 of the Dodd-Frank Wall Street Reform and Consumer Protection Act) if such requirement is in effect at the relevant time, the rules and regulations of any applicable securities exchange or inter-dealer quotation system on which the Shares may be listed or quoted or if so required pursuant to a written policy adopted by the Company.</w:t>
      </w:r>
    </w:p>
    <w:p>
      <w:pPr>
        <w:spacing w:after="0" w:line="170" w:lineRule="exact"/>
        <w:rPr>
          <w:rFonts w:ascii="Arial" w:cs="Arial" w:eastAsia="Arial" w:hAnsi="Arial"/>
          <w:sz w:val="19"/>
          <w:szCs w:val="19"/>
          <w:b w:val="1"/>
          <w:bCs w:val="1"/>
          <w:color w:val="auto"/>
        </w:rPr>
      </w:pPr>
    </w:p>
    <w:p>
      <w:pPr>
        <w:ind w:left="652" w:hanging="652"/>
        <w:spacing w:after="0"/>
        <w:tabs>
          <w:tab w:leader="none" w:pos="652"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52" w:lineRule="exact"/>
        <w:rPr>
          <w:rFonts w:ascii="Arial" w:cs="Arial" w:eastAsia="Arial" w:hAnsi="Arial"/>
          <w:sz w:val="22"/>
          <w:szCs w:val="22"/>
          <w:b w:val="1"/>
          <w:bCs w:val="1"/>
          <w:color w:val="auto"/>
        </w:rPr>
      </w:pPr>
    </w:p>
    <w:p>
      <w:pPr>
        <w:ind w:left="-8" w:right="40" w:firstLine="656"/>
        <w:spacing w:after="0" w:line="302" w:lineRule="auto"/>
        <w:tabs>
          <w:tab w:leader="none" w:pos="1285"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PSUs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the Plan. Any attempted Transfer of the PSUs contrary to the provisions hereof, and the levy of any execution, attachment or similar process upon the PSUs, shall be null and void and without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92"/>
          </w:cols>
          <w:pgMar w:left="328" w:top="1428" w:right="379" w:bottom="1440" w:gutter="0" w:footer="0" w:header="0"/>
        </w:sectPr>
      </w:pPr>
    </w:p>
    <w:bookmarkStart w:id="81" w:name="page82"/>
    <w:bookmarkEnd w:id="81"/>
    <w:p>
      <w:pPr>
        <w:ind w:left="-20" w:right="320" w:firstLine="656"/>
        <w:spacing w:after="0" w:line="253" w:lineRule="auto"/>
        <w:tabs>
          <w:tab w:leader="none" w:pos="127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The Committee at any time, and from time to time, may amend the terms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rights of the Participant shall not be materially adversely affected without the Participant’s written consent.</w:t>
      </w:r>
    </w:p>
    <w:p>
      <w:pPr>
        <w:spacing w:after="0" w:line="212" w:lineRule="exact"/>
        <w:rPr>
          <w:rFonts w:ascii="Arial" w:cs="Arial" w:eastAsia="Arial" w:hAnsi="Arial"/>
          <w:sz w:val="22"/>
          <w:szCs w:val="22"/>
          <w:color w:val="auto"/>
        </w:rPr>
      </w:pPr>
    </w:p>
    <w:p>
      <w:pPr>
        <w:ind w:left="-20" w:firstLine="656"/>
        <w:spacing w:after="0" w:line="286" w:lineRule="auto"/>
        <w:tabs>
          <w:tab w:leader="none" w:pos="127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By accepting this grant of PSUs, the Participant hereby agrees that he or she shall be bound by, and shall comply with, (i) the Agreement Relating To Patents, Copyrights, Inventions, Confidentiality and Proprietary Information, in the form provided by the Company (if applicable) and (ii) all other agreements relating to confidentiality that the Participant has executed during the course of employment with the Company and its Affiliates as in effect from time to time (collectively, the “</w:t>
      </w:r>
      <w:r>
        <w:rPr>
          <w:rFonts w:ascii="Arial" w:cs="Arial" w:eastAsia="Arial" w:hAnsi="Arial"/>
          <w:sz w:val="19"/>
          <w:szCs w:val="19"/>
          <w:u w:val="single" w:color="auto"/>
          <w:color w:val="auto"/>
        </w:rPr>
        <w:t>Executed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Confidentiality Agreements</w:t>
      </w:r>
      <w:r>
        <w:rPr>
          <w:rFonts w:ascii="Arial" w:cs="Arial" w:eastAsia="Arial" w:hAnsi="Arial"/>
          <w:sz w:val="19"/>
          <w:szCs w:val="19"/>
          <w:color w:val="auto"/>
        </w:rPr>
        <w:t>”). Participant also agrees that, in addition to any Executed Confidentiality Agreements, Participant shall not use and/or communicate or disclose, in any manner, any confidential, proprietary or privileged Viatris company information or knowledge, which he or she may have had access to while employed with a Viatris company, relating to intellectual property, trade secrets, business plans and strategies, customer plans and strategies and relationships, pricing, research and development plans and strategies, personnel, organization, strategic plans, or the commercialization of the products of Viatris or any of its subsidiaries, consistent with applicable law, including investigations by government agencies.</w:t>
      </w:r>
    </w:p>
    <w:p>
      <w:pPr>
        <w:spacing w:after="0" w:line="188" w:lineRule="exact"/>
        <w:rPr>
          <w:rFonts w:ascii="Arial" w:cs="Arial" w:eastAsia="Arial" w:hAnsi="Arial"/>
          <w:sz w:val="19"/>
          <w:szCs w:val="19"/>
          <w:color w:val="auto"/>
        </w:rPr>
      </w:pPr>
    </w:p>
    <w:p>
      <w:pPr>
        <w:ind w:left="-20" w:right="20" w:firstLine="656"/>
        <w:spacing w:after="0" w:line="286" w:lineRule="auto"/>
        <w:tabs>
          <w:tab w:leader="none" w:pos="127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PSUs are intended to be exempt from, or compliant with, Section 409A of the Code and shall be interpreted accordingly.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reasonable discretion and with the Participant’s consent, modify such provision to (i) comply with, or avoid being subject to, Section 409A of the Code, or to avoid the incurrence of taxes, interest and penalties under Section 409A of the Code, and (ii) 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PSUs or the Shares underlying the PSUs will not be subject to interest and penalties under Section 409A of the Code. Notwithstanding anything to the contrary in the Plan or this Agreement, to the extent that the Participant is a “specified employee” (within the meaning of the Committee’s established methodology for determining “specified employees” for purposes of Section 409A of the Code), payment or distribution of any amounts with respect to the PSUs that are subject to Section 409A of the Code will be made as soon as practicable following the first business day of the seventh month following the Participant’s “separation from service” (within the meaning of Section 409A of the Code) from the Company and its Affiliates, or, if earlier, the date of the Participant’s death.</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00"/>
          </w:cols>
          <w:pgMar w:left="340" w:top="1428" w:right="359" w:bottom="1440" w:gutter="0" w:footer="0" w:header="0"/>
        </w:sectPr>
      </w:pPr>
    </w:p>
    <w:bookmarkStart w:id="82" w:name="page83"/>
    <w:bookmarkEnd w:id="82"/>
    <w:p>
      <w:pPr>
        <w:spacing w:after="0" w:line="231" w:lineRule="exact"/>
        <w:rPr>
          <w:sz w:val="20"/>
          <w:szCs w:val="20"/>
          <w:color w:val="auto"/>
        </w:rPr>
      </w:pPr>
    </w:p>
    <w:p>
      <w:pPr>
        <w:jc w:val="both"/>
        <w:ind w:firstLine="656"/>
        <w:spacing w:after="0" w:line="253" w:lineRule="auto"/>
        <w:tabs>
          <w:tab w:leader="none" w:pos="1293"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General Assets</w:t>
      </w:r>
      <w:r>
        <w:rPr>
          <w:rFonts w:ascii="Arial" w:cs="Arial" w:eastAsia="Arial" w:hAnsi="Arial"/>
          <w:sz w:val="22"/>
          <w:szCs w:val="22"/>
          <w:color w:val="auto"/>
        </w:rPr>
        <w:t>. All amounts credited in respect of the PSUs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212" w:lineRule="exact"/>
        <w:rPr>
          <w:rFonts w:ascii="Arial" w:cs="Arial" w:eastAsia="Arial" w:hAnsi="Arial"/>
          <w:sz w:val="22"/>
          <w:szCs w:val="22"/>
          <w:color w:val="auto"/>
        </w:rPr>
      </w:pPr>
    </w:p>
    <w:p>
      <w:pPr>
        <w:ind w:right="440" w:firstLine="656"/>
        <w:spacing w:after="0" w:line="248" w:lineRule="auto"/>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and other communications to be given hereunder to any party shall be deemed to be sufficient if contained in a written instrument and shall be deemed to have been duly given when delivered in person, by telecopy, by nationally recognized overnight courier, or by first-class registered or certified mail, postage prepaid, addressed to such party at the address set forth below or such other address as may hereafter be designated in writing by the addressee to the addresser:</w:t>
      </w:r>
    </w:p>
    <w:p>
      <w:pPr>
        <w:spacing w:after="0" w:line="219" w:lineRule="exact"/>
        <w:rPr>
          <w:sz w:val="20"/>
          <w:szCs w:val="20"/>
          <w:color w:val="auto"/>
        </w:rPr>
      </w:pPr>
    </w:p>
    <w:p>
      <w:pPr>
        <w:ind w:left="1400" w:hanging="420"/>
        <w:spacing w:after="0"/>
        <w:tabs>
          <w:tab w:leader="none" w:pos="14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Viatris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1000 Mylan Boulevard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Canonsburg, PA 15317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(724) 514-1533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Human Resources Officer</w:t>
      </w:r>
    </w:p>
    <w:p>
      <w:pPr>
        <w:spacing w:after="0" w:line="229" w:lineRule="exact"/>
        <w:rPr>
          <w:sz w:val="20"/>
          <w:szCs w:val="20"/>
          <w:color w:val="auto"/>
        </w:rPr>
      </w:pPr>
    </w:p>
    <w:p>
      <w:pPr>
        <w:ind w:left="1460" w:hanging="480"/>
        <w:spacing w:after="0"/>
        <w:tabs>
          <w:tab w:leader="none" w:pos="1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to the Participant, to the Participant’s home address on file with the Company.</w:t>
      </w:r>
    </w:p>
    <w:p>
      <w:pPr>
        <w:spacing w:after="0" w:line="220"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mailing, on the third business day following such mailing if sent by certified mail, return receipt requested.</w:t>
      </w:r>
    </w:p>
    <w:p>
      <w:pPr>
        <w:spacing w:after="0" w:line="188" w:lineRule="exact"/>
        <w:rPr>
          <w:sz w:val="20"/>
          <w:szCs w:val="20"/>
          <w:color w:val="auto"/>
        </w:rPr>
      </w:pPr>
    </w:p>
    <w:p>
      <w:pPr>
        <w:ind w:right="340" w:firstLine="656"/>
        <w:spacing w:after="0" w:line="253" w:lineRule="auto"/>
        <w:tabs>
          <w:tab w:leader="none" w:pos="111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12" w:lineRule="exact"/>
        <w:rPr>
          <w:rFonts w:ascii="Arial" w:cs="Arial" w:eastAsia="Arial" w:hAnsi="Arial"/>
          <w:sz w:val="22"/>
          <w:szCs w:val="22"/>
          <w:color w:val="auto"/>
        </w:rPr>
      </w:pPr>
    </w:p>
    <w:p>
      <w:pPr>
        <w:ind w:right="60" w:firstLine="656"/>
        <w:spacing w:after="0" w:line="250" w:lineRule="auto"/>
        <w:tabs>
          <w:tab w:leader="none" w:pos="111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No Rights to Employment</w:t>
      </w:r>
      <w:r>
        <w:rPr>
          <w:rFonts w:ascii="Arial" w:cs="Arial" w:eastAsia="Arial" w:hAnsi="Arial"/>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14" w:lineRule="exact"/>
        <w:rPr>
          <w:rFonts w:ascii="Arial" w:cs="Arial" w:eastAsia="Arial" w:hAnsi="Arial"/>
          <w:sz w:val="22"/>
          <w:szCs w:val="22"/>
          <w:color w:val="auto"/>
        </w:rPr>
      </w:pPr>
    </w:p>
    <w:p>
      <w:pPr>
        <w:ind w:right="140" w:firstLine="656"/>
        <w:spacing w:after="0" w:line="253" w:lineRule="auto"/>
        <w:tabs>
          <w:tab w:leader="none" w:pos="1068"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In lieu of issuing a fraction of a Share resulting from an adjustment of the PSUs pursuant to Section 4(c) of the Plan or otherwise, the Company shall be entitled to pay to the Participant an amount equal to the Fair Market Value of such fractional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0"/>
          </w:cols>
          <w:pgMar w:left="320" w:top="1440" w:right="359" w:bottom="1440" w:gutter="0" w:footer="0" w:header="0"/>
        </w:sectPr>
      </w:pPr>
    </w:p>
    <w:bookmarkStart w:id="83" w:name="page84"/>
    <w:bookmarkEnd w:id="83"/>
    <w:p>
      <w:pPr>
        <w:ind w:firstLine="656"/>
        <w:spacing w:after="0" w:line="261" w:lineRule="auto"/>
        <w:tabs>
          <w:tab w:leader="none" w:pos="1068"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Beneficiary</w:t>
      </w:r>
      <w:r>
        <w:rPr>
          <w:rFonts w:ascii="Arial" w:cs="Arial" w:eastAsia="Arial" w:hAnsi="Arial"/>
          <w:sz w:val="21"/>
          <w:szCs w:val="21"/>
          <w:color w:val="auto"/>
        </w:rPr>
        <w:t>. The Participant may file with the Committee a written designation of a beneficiary on such form as may be prescribed by the Committee and may, from time to time, amend or revoke such designation. If no beneficiary is designated, if the designation is ineffective, or if the beneficiary dies before the balance of a Participant’s benefit is paid, the balance shall be paid to the Participant’s estate. Notwithstanding the foregoing, however, a Participant’s beneficiary shall be determined under applicable state law if such state law does not recognize beneficiary designations under Awards of this type and is not preempted by laws which recognize the provisions of this Section 10(j).</w:t>
      </w:r>
    </w:p>
    <w:p>
      <w:pPr>
        <w:spacing w:after="0" w:line="206" w:lineRule="exact"/>
        <w:rPr>
          <w:rFonts w:ascii="Arial" w:cs="Arial" w:eastAsia="Arial" w:hAnsi="Arial"/>
          <w:sz w:val="21"/>
          <w:szCs w:val="21"/>
          <w:color w:val="auto"/>
        </w:rPr>
      </w:pPr>
    </w:p>
    <w:p>
      <w:pPr>
        <w:ind w:right="480" w:firstLine="656"/>
        <w:spacing w:after="0" w:line="253" w:lineRule="auto"/>
        <w:tabs>
          <w:tab w:leader="none" w:pos="111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212" w:lineRule="exact"/>
        <w:rPr>
          <w:rFonts w:ascii="Arial" w:cs="Arial" w:eastAsia="Arial" w:hAnsi="Arial"/>
          <w:sz w:val="22"/>
          <w:szCs w:val="22"/>
          <w:color w:val="auto"/>
        </w:rPr>
      </w:pPr>
    </w:p>
    <w:p>
      <w:pPr>
        <w:ind w:right="240" w:firstLine="656"/>
        <w:spacing w:after="0" w:line="253" w:lineRule="auto"/>
        <w:tabs>
          <w:tab w:leader="none" w:pos="106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Exhibit A) and the Plan contain the entire agreement and understanding of the parties hereto with respect to the subject matter contained herein and supersede all prior communications, representations and negotiations in respect thereto.</w:t>
      </w:r>
    </w:p>
    <w:p>
      <w:pPr>
        <w:spacing w:after="0" w:line="203" w:lineRule="exact"/>
        <w:rPr>
          <w:rFonts w:ascii="Arial" w:cs="Arial" w:eastAsia="Arial" w:hAnsi="Arial"/>
          <w:sz w:val="22"/>
          <w:szCs w:val="22"/>
          <w:color w:val="auto"/>
        </w:rPr>
      </w:pPr>
    </w:p>
    <w:p>
      <w:pPr>
        <w:ind w:right="60" w:firstLine="656"/>
        <w:spacing w:after="0" w:line="250" w:lineRule="auto"/>
        <w:tabs>
          <w:tab w:leader="none" w:pos="1131"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Limitation Of Liability</w:t>
      </w:r>
      <w:r>
        <w:rPr>
          <w:rFonts w:ascii="Arial" w:cs="Arial" w:eastAsia="Arial" w:hAnsi="Arial"/>
          <w:sz w:val="20"/>
          <w:szCs w:val="20"/>
          <w:color w:val="auto"/>
        </w:rPr>
        <w:t>. The Participant agrees that any liability of the officers, the Committee, and the Board of Directors of the Company to the Participant under this Agreement shall be limited to those actions or failure to take actions which constitute self-dealing, willful misconduct or recklessness.</w:t>
      </w:r>
    </w:p>
    <w:p>
      <w:pPr>
        <w:spacing w:after="0" w:line="221" w:lineRule="exact"/>
        <w:rPr>
          <w:rFonts w:ascii="Arial" w:cs="Arial" w:eastAsia="Arial" w:hAnsi="Arial"/>
          <w:sz w:val="20"/>
          <w:szCs w:val="20"/>
          <w:color w:val="auto"/>
        </w:rPr>
      </w:pPr>
    </w:p>
    <w:p>
      <w:pPr>
        <w:ind w:left="1120" w:hanging="464"/>
        <w:spacing w:after="0"/>
        <w:tabs>
          <w:tab w:leader="none" w:pos="112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interpreted in accordance with the laws of the</w:t>
      </w:r>
    </w:p>
    <w:p>
      <w:pPr>
        <w:spacing w:after="0" w:line="21" w:lineRule="exact"/>
        <w:rPr>
          <w:rFonts w:ascii="Arial" w:cs="Arial" w:eastAsia="Arial" w:hAnsi="Arial"/>
          <w:sz w:val="22"/>
          <w:szCs w:val="22"/>
          <w:color w:val="auto"/>
        </w:rPr>
      </w:pPr>
    </w:p>
    <w:p>
      <w:pPr>
        <w:ind w:right="120"/>
        <w:spacing w:after="0" w:line="245" w:lineRule="auto"/>
        <w:rPr>
          <w:rFonts w:ascii="Arial" w:cs="Arial" w:eastAsia="Arial" w:hAnsi="Arial"/>
          <w:sz w:val="22"/>
          <w:szCs w:val="22"/>
          <w:color w:val="auto"/>
        </w:rPr>
      </w:pPr>
      <w:r>
        <w:rPr>
          <w:rFonts w:ascii="Arial" w:cs="Arial" w:eastAsia="Arial" w:hAnsi="Arial"/>
          <w:sz w:val="22"/>
          <w:szCs w:val="22"/>
          <w:color w:val="auto"/>
        </w:rPr>
        <w:t>Commonwealth of Pennsylvania without regard to principles of conflicts of law thereof, or principles of conflicts of laws of any other jurisdiction which could cause the application of the laws of any jurisdiction other than the Commonwealth of Pennsylvania.</w:t>
      </w:r>
    </w:p>
    <w:p>
      <w:pPr>
        <w:spacing w:after="0" w:line="219" w:lineRule="exact"/>
        <w:rPr>
          <w:rFonts w:ascii="Arial" w:cs="Arial" w:eastAsia="Arial" w:hAnsi="Arial"/>
          <w:sz w:val="22"/>
          <w:szCs w:val="22"/>
          <w:color w:val="auto"/>
        </w:rPr>
      </w:pPr>
    </w:p>
    <w:p>
      <w:pPr>
        <w:ind w:firstLine="656"/>
        <w:spacing w:after="0" w:line="292" w:lineRule="auto"/>
        <w:tabs>
          <w:tab w:leader="none" w:pos="111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 The Participant and the Company (on behalf of itself and its Affiliates) each consents to jurisdiction in the United States District Court for the Western District of Pennsylvania, or if that court is unable to exercise jurisdiction for any reason, the Court of Common Pleas of Washington County, Pennsylvania, and each waives any other requirement (whether imposed by statute, rule of court or otherwise) with respect to personal jurisdiction or service of process and waives any objection to jurisdiction based on improper venue or improper jurisdiction. EACH OF THE PARTIES HERETO HEREBY IRREVOCABLY WAIVES ALL RIGHT TO TRIAL BY JURY, IN ANY ACTION, PROCEEDING OR COUNTERCLAIM ARISING OUT OF OR RELATING TO THE PLAN OR THIS AGREEMENT.</w:t>
      </w:r>
    </w:p>
    <w:p>
      <w:pPr>
        <w:spacing w:after="0" w:line="177" w:lineRule="exact"/>
        <w:rPr>
          <w:rFonts w:ascii="Arial" w:cs="Arial" w:eastAsia="Arial" w:hAnsi="Arial"/>
          <w:sz w:val="19"/>
          <w:szCs w:val="19"/>
          <w:color w:val="auto"/>
        </w:rPr>
      </w:pPr>
    </w:p>
    <w:p>
      <w:pPr>
        <w:ind w:right="120" w:firstLine="656"/>
        <w:spacing w:after="0" w:line="263" w:lineRule="auto"/>
        <w:tabs>
          <w:tab w:leader="none" w:pos="111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are not to serve as a basis for interpretation or construction, and shall not constitute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00"/>
          </w:cols>
          <w:pgMar w:left="320" w:top="1428" w:right="379" w:bottom="1440" w:gutter="0" w:footer="0" w:header="0"/>
        </w:sectPr>
      </w:pPr>
    </w:p>
    <w:bookmarkStart w:id="84" w:name="page85"/>
    <w:bookmarkEnd w:id="84"/>
    <w:p>
      <w:pPr>
        <w:ind w:left="-100" w:firstLine="656"/>
        <w:spacing w:after="0" w:line="265" w:lineRule="auto"/>
        <w:tabs>
          <w:tab w:leader="none" w:pos="1016"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(including via facsimile, electronic image scan (pdf) and electronic signature on the Merrill Lynch intranet system),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40"/>
          </w:cols>
          <w:pgMar w:left="420" w:top="1428" w:right="439" w:bottom="1440" w:gutter="0" w:footer="0" w:header="0"/>
        </w:sectPr>
      </w:pPr>
    </w:p>
    <w:bookmarkStart w:id="85" w:name="page86"/>
    <w:bookmarkEnd w:id="85"/>
    <w:p>
      <w:pPr>
        <w:ind w:firstLine="1296"/>
        <w:spacing w:after="0" w:line="263" w:lineRule="auto"/>
        <w:rPr>
          <w:sz w:val="20"/>
          <w:szCs w:val="20"/>
          <w:color w:val="auto"/>
        </w:rPr>
      </w:pPr>
      <w:r>
        <w:rPr>
          <w:rFonts w:ascii="Arial" w:cs="Arial" w:eastAsia="Arial" w:hAnsi="Arial"/>
          <w:sz w:val="22"/>
          <w:szCs w:val="22"/>
          <w:color w:val="auto"/>
        </w:rPr>
        <w:t>IN WITNESS WHEREOF, this Agreement has been executed and delivered by the parties hereto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VIATRIS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[Participant Name]</w:t>
      </w:r>
    </w:p>
    <w:p>
      <w:pPr>
        <w:sectPr>
          <w:pgSz w:w="11900" w:h="16838" w:orient="portrait"/>
          <w:cols w:equalWidth="0" w:num="1">
            <w:col w:w="10900"/>
          </w:cols>
          <w:pgMar w:left="320" w:top="1428" w:right="67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color w:val="auto"/>
        </w:rPr>
        <w:t>EXHIBIT A</w:t>
      </w:r>
    </w:p>
    <w:p>
      <w:pPr>
        <w:sectPr>
          <w:pgSz w:w="11900" w:h="16838" w:orient="portrait"/>
          <w:cols w:equalWidth="0" w:num="1">
            <w:col w:w="9019"/>
          </w:cols>
          <w:pgMar w:left="1440" w:top="1422" w:right="1440"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 ]</w:t>
      </w:r>
    </w:p>
    <w:p>
      <w:pPr>
        <w:sectPr>
          <w:pgSz w:w="11900" w:h="16838" w:orient="portrait"/>
          <w:cols w:equalWidth="0" w:num="1">
            <w:col w:w="9019"/>
          </w:cols>
          <w:pgMar w:left="1440" w:top="1422" w:right="1440"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VIATRIS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DIRECTOR RESTRICTED STOCK UNIT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THIS DIRECTOR RESTRICTED STOCK UNIT AWARD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[________] (the “</w:t>
      </w:r>
      <w:r>
        <w:rPr>
          <w:rFonts w:ascii="Arial" w:cs="Arial" w:eastAsia="Arial" w:hAnsi="Arial"/>
          <w:sz w:val="19"/>
          <w:szCs w:val="19"/>
          <w:u w:val="single" w:color="auto"/>
          <w:color w:val="auto"/>
        </w:rPr>
        <w:t>Date of Grant</w:t>
      </w:r>
      <w:r>
        <w:rPr>
          <w:rFonts w:ascii="Arial" w:cs="Arial" w:eastAsia="Arial" w:hAnsi="Arial"/>
          <w:sz w:val="19"/>
          <w:szCs w:val="19"/>
          <w:color w:val="auto"/>
        </w:rPr>
        <w:t>”), is made by and between Viatris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Participant</w:t>
      </w:r>
      <w:r>
        <w:rPr>
          <w:rFonts w:ascii="Arial" w:cs="Arial" w:eastAsia="Arial" w:hAnsi="Arial"/>
          <w:sz w:val="22"/>
          <w:szCs w:val="22"/>
          <w:color w:val="auto"/>
        </w:rPr>
        <w:t>”) in respect of Participant’s service as a member of the Board of Directors of the Company.</w:t>
      </w:r>
    </w:p>
    <w:p>
      <w:pPr>
        <w:spacing w:after="0" w:line="196"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Restricted Stock Units.</w:t>
      </w:r>
    </w:p>
    <w:p>
      <w:pPr>
        <w:spacing w:after="0" w:line="252" w:lineRule="exact"/>
        <w:rPr>
          <w:rFonts w:ascii="Arial" w:cs="Arial" w:eastAsia="Arial" w:hAnsi="Arial"/>
          <w:sz w:val="22"/>
          <w:szCs w:val="22"/>
          <w:b w:val="1"/>
          <w:bCs w:val="1"/>
          <w:color w:val="auto"/>
        </w:rPr>
      </w:pPr>
    </w:p>
    <w:p>
      <w:pPr>
        <w:ind w:right="80" w:firstLine="656"/>
        <w:spacing w:after="0" w:line="248" w:lineRule="auto"/>
        <w:tabs>
          <w:tab w:leader="none" w:pos="1293"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Participant a total of [______]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 on the terms and conditions set forth in this Agreement and as otherwise provided in the Viatris Inc. 2020 Stock Incentive Plan (as may be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Each RSU represents the right to receive one share of the Company’s common stock, par value $0.01 per share (“</w:t>
      </w:r>
      <w:r>
        <w:rPr>
          <w:rFonts w:ascii="Arial" w:cs="Arial" w:eastAsia="Arial" w:hAnsi="Arial"/>
          <w:sz w:val="22"/>
          <w:szCs w:val="22"/>
          <w:u w:val="single" w:color="auto"/>
          <w:color w:val="auto"/>
        </w:rPr>
        <w:t>Share</w:t>
      </w:r>
      <w:r>
        <w:rPr>
          <w:rFonts w:ascii="Arial" w:cs="Arial" w:eastAsia="Arial" w:hAnsi="Arial"/>
          <w:sz w:val="22"/>
          <w:szCs w:val="22"/>
          <w:color w:val="auto"/>
        </w:rPr>
        <w:t>”). The RSUs shall be credited to a separate book-entry account maintained for the Participant on the books of the Company.</w:t>
      </w:r>
    </w:p>
    <w:p>
      <w:pPr>
        <w:spacing w:after="0" w:line="218" w:lineRule="exact"/>
        <w:rPr>
          <w:rFonts w:ascii="Arial" w:cs="Arial" w:eastAsia="Arial" w:hAnsi="Arial"/>
          <w:sz w:val="22"/>
          <w:szCs w:val="22"/>
          <w:color w:val="auto"/>
        </w:rPr>
      </w:pPr>
    </w:p>
    <w:p>
      <w:pPr>
        <w:ind w:right="20" w:firstLine="656"/>
        <w:spacing w:after="0" w:line="287" w:lineRule="auto"/>
        <w:tabs>
          <w:tab w:leader="none" w:pos="1291"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Etc.</w:t>
      </w:r>
      <w:r>
        <w:rPr>
          <w:rFonts w:ascii="Arial" w:cs="Arial" w:eastAsia="Arial" w:hAnsi="Arial"/>
          <w:sz w:val="19"/>
          <w:szCs w:val="19"/>
          <w:color w:val="auto"/>
        </w:rPr>
        <w:t xml:space="preserve"> The provisions of the Plan are hereby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 Without limiting the foregoing, the Participant acknowledges that the RSUs and any Shares acquired upon settlement of the RSUs are subject to provisions of the Plan under which, in certain circumstances, an adjustment may be made to the number of the RSUs and any Shares acquired upon settlement of the RSUs.</w:t>
      </w:r>
    </w:p>
    <w:p>
      <w:pPr>
        <w:spacing w:after="0" w:line="184" w:lineRule="exact"/>
        <w:rPr>
          <w:rFonts w:ascii="Arial" w:cs="Arial" w:eastAsia="Arial" w:hAnsi="Arial"/>
          <w:sz w:val="19"/>
          <w:szCs w:val="19"/>
          <w:color w:val="auto"/>
        </w:rPr>
      </w:pPr>
    </w:p>
    <w:p>
      <w:pPr>
        <w:ind w:left="660" w:hanging="652"/>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Vesting; Settlement.</w:t>
      </w:r>
    </w:p>
    <w:p>
      <w:pPr>
        <w:spacing w:after="0" w:line="252" w:lineRule="exact"/>
        <w:rPr>
          <w:rFonts w:ascii="Arial" w:cs="Arial" w:eastAsia="Arial" w:hAnsi="Arial"/>
          <w:sz w:val="22"/>
          <w:szCs w:val="22"/>
          <w:b w:val="1"/>
          <w:bCs w:val="1"/>
          <w:color w:val="auto"/>
        </w:rPr>
      </w:pPr>
    </w:p>
    <w:p>
      <w:pPr>
        <w:ind w:firstLine="656"/>
        <w:spacing w:after="0" w:line="247" w:lineRule="auto"/>
        <w:tabs>
          <w:tab w:leader="none" w:pos="1293"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RSUs shall become vested on the first anniversary of the Grant Date (the “</w:t>
      </w:r>
      <w:r>
        <w:rPr>
          <w:rFonts w:ascii="Arial" w:cs="Arial" w:eastAsia="Arial" w:hAnsi="Arial"/>
          <w:sz w:val="22"/>
          <w:szCs w:val="22"/>
          <w:u w:val="single" w:color="auto"/>
          <w:color w:val="auto"/>
        </w:rPr>
        <w:t>Vesting Date</w:t>
      </w:r>
      <w:r>
        <w:rPr>
          <w:rFonts w:ascii="Arial" w:cs="Arial" w:eastAsia="Arial" w:hAnsi="Arial"/>
          <w:sz w:val="22"/>
          <w:szCs w:val="22"/>
          <w:color w:val="auto"/>
        </w:rPr>
        <w:t>”), subject to the Participant’s continued service as a member of the Board as of the Vesting Date and the terms of the Plan and this Agreement. Subject to Section 5, unless otherwise determined by the Board or the Committee, as applicable, in its sole discretion, in the event the Participant’s service as a member of the Board terminates prior to the Vesting Date, the RSUs shall be forfeited and returned to the Company, and all rights of the Participant with respect to the RSUs shall terminate, as of the date of such termination of service.</w:t>
      </w:r>
    </w:p>
    <w:p>
      <w:pPr>
        <w:sectPr>
          <w:pgSz w:w="11900" w:h="16838" w:orient="portrait"/>
          <w:cols w:equalWidth="0" w:num="1">
            <w:col w:w="11240"/>
          </w:cols>
          <w:pgMar w:left="320" w:top="1422" w:right="339" w:bottom="1440" w:gutter="0" w:footer="0" w:header="0"/>
        </w:sectPr>
      </w:pPr>
    </w:p>
    <w:bookmarkStart w:id="88" w:name="page89"/>
    <w:bookmarkEnd w:id="88"/>
    <w:p>
      <w:pPr>
        <w:spacing w:after="0" w:line="231" w:lineRule="exact"/>
        <w:rPr>
          <w:sz w:val="20"/>
          <w:szCs w:val="20"/>
          <w:color w:val="auto"/>
        </w:rPr>
      </w:pPr>
    </w:p>
    <w:p>
      <w:pPr>
        <w:ind w:left="-8" w:right="640" w:firstLine="656"/>
        <w:spacing w:after="0" w:line="263" w:lineRule="auto"/>
        <w:tabs>
          <w:tab w:leader="none" w:pos="1283"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Except as otherwise provided herein, each vested RSU shall be settled in Shares within 30 days following the applicable Vesting Date.</w:t>
      </w:r>
    </w:p>
    <w:p>
      <w:pPr>
        <w:spacing w:after="0" w:line="195" w:lineRule="exact"/>
        <w:rPr>
          <w:rFonts w:ascii="Arial" w:cs="Arial" w:eastAsia="Arial" w:hAnsi="Arial"/>
          <w:sz w:val="22"/>
          <w:szCs w:val="22"/>
          <w:color w:val="auto"/>
        </w:rPr>
      </w:pPr>
    </w:p>
    <w:p>
      <w:pPr>
        <w:ind w:left="-8" w:right="20" w:firstLine="8"/>
        <w:spacing w:after="0" w:line="293" w:lineRule="auto"/>
        <w:tabs>
          <w:tab w:leader="none" w:pos="64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Each RSU shall be credited with Dividend Equivalents, which shall be withheld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credited to the Participant’s account (either in cash or additional RSUs in the discretion of the Committee). Dividend Equivalents credited to the Participant’s account and attributable to a RSU shall be distributed (without interest) to the Participant at the same time as the underlying Share is delivered upon settlement of such RSU and, if such RSU is forfeited, the Participant shall have no right to such Dividend Equivalents. Any adjustments for Dividend Equivalents shall be in the sole discretion of the Committee and Dividend Equivalents shall be paid either in cash or Shares in the discretion of the Committee. It is the current intention of the Company that Dividend Equivalents will accrue in additional RSUs.</w:t>
      </w:r>
    </w:p>
    <w:p>
      <w:pPr>
        <w:spacing w:after="0" w:line="171" w:lineRule="exact"/>
        <w:rPr>
          <w:rFonts w:ascii="Arial" w:cs="Arial" w:eastAsia="Arial" w:hAnsi="Arial"/>
          <w:sz w:val="19"/>
          <w:szCs w:val="19"/>
          <w:b w:val="1"/>
          <w:bCs w:val="1"/>
          <w:color w:val="auto"/>
        </w:rPr>
      </w:pPr>
    </w:p>
    <w:p>
      <w:pPr>
        <w:ind w:left="-8" w:right="40" w:firstLine="8"/>
        <w:spacing w:after="0" w:line="289" w:lineRule="auto"/>
        <w:tabs>
          <w:tab w:leader="none" w:pos="64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Withholding. </w:t>
      </w:r>
      <w:r>
        <w:rPr>
          <w:rFonts w:ascii="Arial" w:cs="Arial" w:eastAsia="Arial" w:hAnsi="Arial"/>
          <w:sz w:val="19"/>
          <w:szCs w:val="19"/>
          <w:color w:val="auto"/>
        </w:rPr>
        <w:t>Vesting and settlement of the RSUs shall be subject to the Participant satisfying any applicable U.S.</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and local tax withholding obligations and non-U.S. tax withholding obligations. The Company shall be entitled, if the Committee deems it necessary or desirable, to withhold (or secure payment from the Participant in lieu of withholding) the maximum amount of any withholding or other tax permitted by law to be withheld. The Company shall have the right and is hereby authorized to withhold from any amounts payable to the Participant in connection with the RSUs or otherwise the amount of any required withholding taxes in respect of the RSUs, its settlement or any payment or transfer of the RSUs or under the Plan and to take any such other action as the Committee or the Company deem necessary to satisfy all obligations for the payment of such withholding taxes. The Participant may satisfy, in whole or in part, the tax obligations by authorizing the Company to withhold Shares that would otherwise be deliverable to the Participant upon settlement of the RSUs with a Fair Market Value equal to such withholding liability.</w:t>
      </w:r>
    </w:p>
    <w:p>
      <w:pPr>
        <w:spacing w:after="0" w:line="200" w:lineRule="exact"/>
        <w:rPr>
          <w:rFonts w:ascii="Arial" w:cs="Arial" w:eastAsia="Arial" w:hAnsi="Arial"/>
          <w:sz w:val="19"/>
          <w:szCs w:val="19"/>
          <w:b w:val="1"/>
          <w:bCs w:val="1"/>
          <w:color w:val="auto"/>
        </w:rPr>
      </w:pPr>
    </w:p>
    <w:p>
      <w:pPr>
        <w:spacing w:after="0" w:line="240" w:lineRule="exact"/>
        <w:rPr>
          <w:rFonts w:ascii="Arial" w:cs="Arial" w:eastAsia="Arial" w:hAnsi="Arial"/>
          <w:sz w:val="19"/>
          <w:szCs w:val="19"/>
          <w:b w:val="1"/>
          <w:bCs w:val="1"/>
          <w:color w:val="auto"/>
        </w:rPr>
      </w:pPr>
    </w:p>
    <w:p>
      <w:pPr>
        <w:ind w:left="-8" w:right="680" w:firstLine="8"/>
        <w:spacing w:after="0" w:line="269" w:lineRule="auto"/>
        <w:tabs>
          <w:tab w:leader="none" w:pos="64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Notwithstanding anything to the contrary in the Plan, in the event of a Change in Control, the</w:t>
      </w:r>
      <w:r>
        <w:rPr>
          <w:rFonts w:ascii="Arial" w:cs="Arial" w:eastAsia="Arial" w:hAnsi="Arial"/>
          <w:sz w:val="22"/>
          <w:szCs w:val="22"/>
          <w:b w:val="1"/>
          <w:bCs w:val="1"/>
          <w:color w:val="auto"/>
        </w:rPr>
        <w:t xml:space="preserve"> </w:t>
      </w:r>
      <w:r>
        <w:rPr>
          <w:rFonts w:ascii="Arial" w:cs="Arial" w:eastAsia="Arial" w:hAnsi="Arial"/>
          <w:sz w:val="22"/>
          <w:szCs w:val="22"/>
          <w:color w:val="auto"/>
        </w:rPr>
        <w:t>treatment of the RSUs shall be determined by the Board or the Committee, as applicable.</w:t>
      </w:r>
    </w:p>
    <w:p>
      <w:pPr>
        <w:spacing w:after="0" w:line="188" w:lineRule="exact"/>
        <w:rPr>
          <w:rFonts w:ascii="Arial" w:cs="Arial" w:eastAsia="Arial" w:hAnsi="Arial"/>
          <w:sz w:val="22"/>
          <w:szCs w:val="22"/>
          <w:b w:val="1"/>
          <w:bCs w:val="1"/>
          <w:color w:val="auto"/>
        </w:rPr>
      </w:pPr>
    </w:p>
    <w:p>
      <w:pPr>
        <w:ind w:left="-8" w:firstLine="8"/>
        <w:spacing w:after="0" w:line="262" w:lineRule="auto"/>
        <w:tabs>
          <w:tab w:leader="none" w:pos="64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Rights as a Stockholder. </w:t>
      </w:r>
      <w:r>
        <w:rPr>
          <w:rFonts w:ascii="Arial" w:cs="Arial" w:eastAsia="Arial" w:hAnsi="Arial"/>
          <w:sz w:val="21"/>
          <w:szCs w:val="21"/>
          <w:color w:val="auto"/>
        </w:rPr>
        <w:t>The Participant shall not be deemed for any purpose, nor have any of the rights or privileges of,</w:t>
      </w:r>
      <w:r>
        <w:rPr>
          <w:rFonts w:ascii="Arial" w:cs="Arial" w:eastAsia="Arial" w:hAnsi="Arial"/>
          <w:sz w:val="21"/>
          <w:szCs w:val="21"/>
          <w:b w:val="1"/>
          <w:bCs w:val="1"/>
          <w:color w:val="auto"/>
        </w:rPr>
        <w:t xml:space="preserve"> </w:t>
      </w:r>
      <w:r>
        <w:rPr>
          <w:rFonts w:ascii="Arial" w:cs="Arial" w:eastAsia="Arial" w:hAnsi="Arial"/>
          <w:sz w:val="21"/>
          <w:szCs w:val="21"/>
          <w:color w:val="auto"/>
        </w:rPr>
        <w:t>a stockholder of the Company in respect of any Shares underlying the RSUs unless, until and to the extent that (i) the Company shall have issued and delivered to the Participant the Shares underlying the vested RSUs and (ii) the Participant’s name shall have been entered as a stockholder of record with respect to such Shares on the books of the Company. The Company shall cause the actions described in clauses (i) and (ii) of the preceding sentence to occur promptly following settlement as contemplated by this Agreement, subject to compliance with applicable laws.</w:t>
      </w:r>
    </w:p>
    <w:p>
      <w:pPr>
        <w:spacing w:after="0" w:line="200" w:lineRule="exact"/>
        <w:rPr>
          <w:rFonts w:ascii="Arial" w:cs="Arial" w:eastAsia="Arial" w:hAnsi="Arial"/>
          <w:sz w:val="21"/>
          <w:szCs w:val="21"/>
          <w:b w:val="1"/>
          <w:bCs w:val="1"/>
          <w:color w:val="auto"/>
        </w:rPr>
      </w:pPr>
    </w:p>
    <w:p>
      <w:pPr>
        <w:ind w:left="-8" w:right="460" w:firstLine="8"/>
        <w:spacing w:after="0" w:line="256" w:lineRule="auto"/>
        <w:tabs>
          <w:tab w:leader="none" w:pos="64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Legal Requirements. </w:t>
      </w:r>
      <w:r>
        <w:rPr>
          <w:rFonts w:ascii="Arial" w:cs="Arial" w:eastAsia="Arial" w:hAnsi="Arial"/>
          <w:sz w:val="22"/>
          <w:szCs w:val="22"/>
          <w:color w:val="auto"/>
        </w:rPr>
        <w:t>The granting and settlement of the RSUs, and any other obligations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under this Agreement, shall be subject to all applicable Federal, provincial, state, local and foreign laws, rules and regulations and to such approvals by</w:t>
      </w:r>
    </w:p>
    <w:p>
      <w:pPr>
        <w:spacing w:after="0" w:line="200" w:lineRule="exact"/>
        <w:rPr>
          <w:sz w:val="20"/>
          <w:szCs w:val="20"/>
          <w:color w:val="auto"/>
        </w:rPr>
      </w:pP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12"/>
          </w:cols>
          <w:pgMar w:left="328" w:top="1440" w:right="359" w:bottom="1440" w:gutter="0" w:footer="0" w:header="0"/>
        </w:sectPr>
      </w:pPr>
    </w:p>
    <w:bookmarkStart w:id="89" w:name="page90"/>
    <w:bookmarkEnd w:id="89"/>
    <w:p>
      <w:pPr>
        <w:spacing w:after="0" w:line="292" w:lineRule="auto"/>
        <w:rPr>
          <w:sz w:val="20"/>
          <w:szCs w:val="20"/>
          <w:color w:val="auto"/>
        </w:rPr>
      </w:pPr>
      <w:r>
        <w:rPr>
          <w:rFonts w:ascii="Arial" w:cs="Arial" w:eastAsia="Arial" w:hAnsi="Arial"/>
          <w:sz w:val="19"/>
          <w:szCs w:val="19"/>
          <w:color w:val="auto"/>
        </w:rPr>
        <w:t>any regulatory or governmental agency as may be required. The Committee shall have the right to impose such restrictions on the RSUs as it deems reasonably necessary or advisable under applicable Federal securities laws, the rules and regulations of any stock exchange or market upon which Shares are then listed or traded, and/or any blue sky or state securities laws applicable to such Shares. It is expressly understood that the Committee is authorized to administer, construe, and make all determinations necessary or appropriate to the administration of the Plan and this Agreement, all of which shall be binding upon the Participant. The Participant agrees to take all steps the Committee or the Company determines are reasonably necessary to comply with all applicable provisions of Federal and state securities law in exercising his or her rights under this Agreement.</w:t>
      </w:r>
    </w:p>
    <w:p>
      <w:pPr>
        <w:spacing w:after="0" w:line="172" w:lineRule="exact"/>
        <w:rPr>
          <w:sz w:val="20"/>
          <w:szCs w:val="20"/>
          <w:color w:val="auto"/>
        </w:rPr>
      </w:pPr>
    </w:p>
    <w:p>
      <w:pPr>
        <w:ind w:firstLine="8"/>
        <w:spacing w:after="0" w:line="295" w:lineRule="auto"/>
        <w:tabs>
          <w:tab w:leader="none" w:pos="648"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Clawback. </w:t>
      </w:r>
      <w:r>
        <w:rPr>
          <w:rFonts w:ascii="Arial" w:cs="Arial" w:eastAsia="Arial" w:hAnsi="Arial"/>
          <w:sz w:val="19"/>
          <w:szCs w:val="19"/>
          <w:color w:val="auto"/>
        </w:rPr>
        <w:t>The RSUs and/or the Shares acquired upon settlement of the RSUs shall be subject (including on a retroactive</w:t>
      </w:r>
      <w:r>
        <w:rPr>
          <w:rFonts w:ascii="Arial" w:cs="Arial" w:eastAsia="Arial" w:hAnsi="Arial"/>
          <w:sz w:val="19"/>
          <w:szCs w:val="19"/>
          <w:b w:val="1"/>
          <w:bCs w:val="1"/>
          <w:color w:val="auto"/>
        </w:rPr>
        <w:t xml:space="preserve"> </w:t>
      </w:r>
      <w:r>
        <w:rPr>
          <w:rFonts w:ascii="Arial" w:cs="Arial" w:eastAsia="Arial" w:hAnsi="Arial"/>
          <w:sz w:val="19"/>
          <w:szCs w:val="19"/>
          <w:color w:val="auto"/>
        </w:rPr>
        <w:t>basis) to clawback, forfeiture or similar requirements (and such requirements shall be deemed incorporated by reference into this Agreement) to the extent required by applicable law (including, without limitation, Section 304 of the Sarbanes-Oxley Act and Section 954 of the Dodd-Frank Wall Street Reform and Consumer Protection Act) if such requirement is in effect at the relevant time, the rules and regulations of any applicable securities exchange or inter-dealer quotation system on which the Shares may be listed or quoted or if so required pursuant to a written policy adopted by the Company.</w:t>
      </w:r>
    </w:p>
    <w:p>
      <w:pPr>
        <w:spacing w:after="0" w:line="170" w:lineRule="exact"/>
        <w:rPr>
          <w:rFonts w:ascii="Arial" w:cs="Arial" w:eastAsia="Arial" w:hAnsi="Arial"/>
          <w:sz w:val="19"/>
          <w:szCs w:val="19"/>
          <w:b w:val="1"/>
          <w:bCs w:val="1"/>
          <w:color w:val="auto"/>
        </w:rPr>
      </w:pPr>
    </w:p>
    <w:p>
      <w:pPr>
        <w:ind w:left="660" w:hanging="652"/>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52" w:lineRule="exact"/>
        <w:rPr>
          <w:rFonts w:ascii="Arial" w:cs="Arial" w:eastAsia="Arial" w:hAnsi="Arial"/>
          <w:sz w:val="22"/>
          <w:szCs w:val="22"/>
          <w:b w:val="1"/>
          <w:bCs w:val="1"/>
          <w:color w:val="auto"/>
        </w:rPr>
      </w:pPr>
    </w:p>
    <w:p>
      <w:pPr>
        <w:ind w:right="20" w:firstLine="656"/>
        <w:spacing w:after="0" w:line="302" w:lineRule="auto"/>
        <w:tabs>
          <w:tab w:leader="none" w:pos="1293"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RSUs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the Plan. Any attempted Transfer of the RSUs contrary to the provisions hereof, and the levy of any execution, attachment or similar process upon the RSUs, shall be null and void and without effect.</w:t>
      </w:r>
    </w:p>
    <w:p>
      <w:pPr>
        <w:spacing w:after="0" w:line="169" w:lineRule="exact"/>
        <w:rPr>
          <w:rFonts w:ascii="Arial" w:cs="Arial" w:eastAsia="Arial" w:hAnsi="Arial"/>
          <w:sz w:val="19"/>
          <w:szCs w:val="19"/>
          <w:color w:val="auto"/>
        </w:rPr>
      </w:pPr>
    </w:p>
    <w:p>
      <w:pPr>
        <w:ind w:right="300" w:firstLine="656"/>
        <w:spacing w:after="0" w:line="253" w:lineRule="auto"/>
        <w:tabs>
          <w:tab w:leader="none" w:pos="1291"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The Committee at any time, and from time to time, may amend the terms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rights of the Participant shall not be materially adversely affected without the Participant’s written consent.</w:t>
      </w:r>
    </w:p>
    <w:p>
      <w:pPr>
        <w:spacing w:after="0" w:line="212" w:lineRule="exact"/>
        <w:rPr>
          <w:rFonts w:ascii="Arial" w:cs="Arial" w:eastAsia="Arial" w:hAnsi="Arial"/>
          <w:sz w:val="22"/>
          <w:szCs w:val="22"/>
          <w:color w:val="auto"/>
        </w:rPr>
      </w:pPr>
    </w:p>
    <w:p>
      <w:pPr>
        <w:ind w:right="40" w:firstLine="656"/>
        <w:spacing w:after="0" w:line="289" w:lineRule="auto"/>
        <w:tabs>
          <w:tab w:leader="none" w:pos="1293"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By accepting this grant of RSUs, the Participant hereby agrees that he or she shall be bound by, and shall comply with, (i) the Agreement Relating To Patents, Copyrights, Inventions, Confidentiality and Proprietary Information, in the form provided by the Company (if applicable) and (ii) all other agreements relating to confidentiality that the Participant has executed during the course of employment with the Company and its Affiliates as in effect from time to time (collectively, the “</w:t>
      </w:r>
      <w:r>
        <w:rPr>
          <w:rFonts w:ascii="Arial" w:cs="Arial" w:eastAsia="Arial" w:hAnsi="Arial"/>
          <w:sz w:val="19"/>
          <w:szCs w:val="19"/>
          <w:u w:val="single" w:color="auto"/>
          <w:color w:val="auto"/>
        </w:rPr>
        <w:t>Executed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Confidentiality Agreements</w:t>
      </w:r>
      <w:r>
        <w:rPr>
          <w:rFonts w:ascii="Arial" w:cs="Arial" w:eastAsia="Arial" w:hAnsi="Arial"/>
          <w:sz w:val="19"/>
          <w:szCs w:val="19"/>
          <w:color w:val="auto"/>
        </w:rPr>
        <w:t>”). Participant also agrees that, in addition to any Executed Confidentiality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20" w:top="1428" w:right="379" w:bottom="1440" w:gutter="0" w:footer="0" w:header="0"/>
        </w:sectPr>
      </w:pPr>
    </w:p>
    <w:bookmarkStart w:id="90" w:name="page91"/>
    <w:bookmarkEnd w:id="90"/>
    <w:p>
      <w:pPr>
        <w:ind w:right="120"/>
        <w:spacing w:after="0" w:line="297" w:lineRule="auto"/>
        <w:rPr>
          <w:sz w:val="20"/>
          <w:szCs w:val="20"/>
          <w:color w:val="auto"/>
        </w:rPr>
      </w:pPr>
      <w:r>
        <w:rPr>
          <w:rFonts w:ascii="Arial" w:cs="Arial" w:eastAsia="Arial" w:hAnsi="Arial"/>
          <w:sz w:val="19"/>
          <w:szCs w:val="19"/>
          <w:color w:val="auto"/>
        </w:rPr>
        <w:t>Agreements, Participant shall not use and/or communicate or disclose, in any manner, any confidential, proprietary or privileged Viatris company information or knowledge, which he or she may have had access to while employed with a Viatris company, relating to intellectual property, trade secrets, business plans and strategies, customer plans and strategies and relationships, pricing, research and development plans and strategies, personnel, organization, strategic plans, or the commercialization of the products of Viatris or any of its subsidiaries, consistent with applicable law, including investigations by government agencies.</w:t>
      </w:r>
    </w:p>
    <w:p>
      <w:pPr>
        <w:spacing w:after="0" w:line="174" w:lineRule="exact"/>
        <w:rPr>
          <w:sz w:val="20"/>
          <w:szCs w:val="20"/>
          <w:color w:val="auto"/>
        </w:rPr>
      </w:pPr>
    </w:p>
    <w:p>
      <w:pPr>
        <w:ind w:right="20" w:firstLine="656"/>
        <w:spacing w:after="0" w:line="288" w:lineRule="auto"/>
        <w:tabs>
          <w:tab w:leader="none" w:pos="1291"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RSUs are intended to be exempt from, or compliant with, Section 409A of the Code and shall be interpreted accordingly.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reasonable discretion and with the Participant’s consent, modify such provision to (i) comply with, or avoid being subject to, Section 409A of the Code, or to avoid the incurrence of taxes, interest and penalties under Section 409A of the Code, and (ii) maintain, to the maximum extent practicable, the original intent and economic benefit to the Participant of the applicable provision without materially increasing the cost to the Company or contravening the provisions of Section 409A of the Code. This Section 9(d) does not create an obligation on the part of the Company to modify the Plan or this Agreement and does not guarantee that the RSUs or the Shares underlying the RSUs will not be subject to interest and penalties under Section 409A of the Code.</w:t>
      </w:r>
    </w:p>
    <w:p>
      <w:pPr>
        <w:spacing w:after="0" w:line="186" w:lineRule="exact"/>
        <w:rPr>
          <w:rFonts w:ascii="Arial" w:cs="Arial" w:eastAsia="Arial" w:hAnsi="Arial"/>
          <w:sz w:val="19"/>
          <w:szCs w:val="19"/>
          <w:color w:val="auto"/>
        </w:rPr>
      </w:pPr>
    </w:p>
    <w:p>
      <w:pPr>
        <w:jc w:val="both"/>
        <w:ind w:firstLine="656"/>
        <w:spacing w:after="0" w:line="253" w:lineRule="auto"/>
        <w:tabs>
          <w:tab w:leader="none" w:pos="1293"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General Assets</w:t>
      </w:r>
      <w:r>
        <w:rPr>
          <w:rFonts w:ascii="Arial" w:cs="Arial" w:eastAsia="Arial" w:hAnsi="Arial"/>
          <w:sz w:val="22"/>
          <w:szCs w:val="22"/>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212" w:lineRule="exact"/>
        <w:rPr>
          <w:rFonts w:ascii="Arial" w:cs="Arial" w:eastAsia="Arial" w:hAnsi="Arial"/>
          <w:sz w:val="22"/>
          <w:szCs w:val="22"/>
          <w:color w:val="auto"/>
        </w:rPr>
      </w:pPr>
    </w:p>
    <w:p>
      <w:pPr>
        <w:ind w:right="440" w:firstLine="656"/>
        <w:spacing w:after="0" w:line="248" w:lineRule="auto"/>
        <w:tabs>
          <w:tab w:leader="none" w:pos="129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and other communications to be given hereunder to any party shall be deemed to be sufficient if contained in a written instrument and shall be deemed to have been duly given when delivered in person, by telecopy, by nationally recognized overnight courier, or by first-class registered or certified mail, postage prepaid, addressed to such party at the address set forth below or such other address as may hereafter be designated in writing by the addressee to the addresser:</w:t>
      </w:r>
    </w:p>
    <w:p>
      <w:pPr>
        <w:spacing w:after="0" w:line="219" w:lineRule="exact"/>
        <w:rPr>
          <w:sz w:val="20"/>
          <w:szCs w:val="20"/>
          <w:color w:val="auto"/>
        </w:rPr>
      </w:pPr>
    </w:p>
    <w:p>
      <w:pPr>
        <w:ind w:left="1400" w:hanging="420"/>
        <w:spacing w:after="0"/>
        <w:tabs>
          <w:tab w:leader="none" w:pos="14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Viatris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1000 Mylan Boulevard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Canonsburg, PA 15317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(724) 514-1533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Human Resources Officer</w:t>
      </w:r>
    </w:p>
    <w:p>
      <w:pPr>
        <w:spacing w:after="0" w:line="229" w:lineRule="exact"/>
        <w:rPr>
          <w:sz w:val="20"/>
          <w:szCs w:val="20"/>
          <w:color w:val="auto"/>
        </w:rPr>
      </w:pPr>
    </w:p>
    <w:p>
      <w:pPr>
        <w:ind w:left="1460" w:hanging="480"/>
        <w:spacing w:after="0"/>
        <w:tabs>
          <w:tab w:leader="none" w:pos="14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to the Participant, to the Participant’s home address on file with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1" w:lineRule="exact"/>
        <w:rPr>
          <w:rFonts w:ascii="Arial" w:cs="Arial" w:eastAsia="Arial" w:hAnsi="Arial"/>
          <w:sz w:val="22"/>
          <w:szCs w:val="22"/>
          <w:color w:val="auto"/>
        </w:rPr>
      </w:pPr>
    </w:p>
    <w:p>
      <w:pPr>
        <w:ind w:left="5580"/>
        <w:spacing w:after="0"/>
        <w:rPr>
          <w:rFonts w:ascii="Arial" w:cs="Arial" w:eastAsia="Arial" w:hAnsi="Arial"/>
          <w:sz w:val="22"/>
          <w:szCs w:val="22"/>
          <w:color w:val="auto"/>
        </w:rPr>
      </w:pPr>
      <w:r>
        <w:rPr>
          <w:rFonts w:ascii="Arial" w:cs="Arial" w:eastAsia="Arial" w:hAnsi="Arial"/>
          <w:sz w:val="20"/>
          <w:szCs w:val="20"/>
          <w:color w:val="auto"/>
        </w:rPr>
        <w:t>4</w:t>
      </w:r>
    </w:p>
    <w:p>
      <w:pPr>
        <w:sectPr>
          <w:pgSz w:w="11900" w:h="16838" w:orient="portrait"/>
          <w:cols w:equalWidth="0" w:num="1">
            <w:col w:w="11220"/>
          </w:cols>
          <w:pgMar w:left="320" w:top="1428" w:right="359" w:bottom="1440" w:gutter="0" w:footer="0" w:header="0"/>
        </w:sectPr>
      </w:pPr>
    </w:p>
    <w:bookmarkStart w:id="91" w:name="page92"/>
    <w:bookmarkEnd w:id="91"/>
    <w:p>
      <w:pPr>
        <w:ind w:right="140"/>
        <w:spacing w:after="0" w:line="250" w:lineRule="auto"/>
        <w:rPr>
          <w:sz w:val="20"/>
          <w:szCs w:val="20"/>
          <w:color w:val="auto"/>
        </w:rPr>
      </w:pPr>
      <w:r>
        <w:rPr>
          <w:rFonts w:ascii="Arial" w:cs="Arial" w:eastAsia="Arial" w:hAnsi="Arial"/>
          <w:sz w:val="22"/>
          <w:szCs w:val="22"/>
          <w:color w:val="auto"/>
        </w:rPr>
        <w:t>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mailing, on the third business day following such mailing if sent by certified mail, return receipt requested.</w:t>
      </w:r>
    </w:p>
    <w:p>
      <w:pPr>
        <w:spacing w:after="0" w:line="188" w:lineRule="exact"/>
        <w:rPr>
          <w:sz w:val="20"/>
          <w:szCs w:val="20"/>
          <w:color w:val="auto"/>
        </w:rPr>
      </w:pPr>
    </w:p>
    <w:p>
      <w:pPr>
        <w:ind w:right="340" w:firstLine="656"/>
        <w:spacing w:after="0" w:line="253" w:lineRule="auto"/>
        <w:tabs>
          <w:tab w:leader="none" w:pos="111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12" w:lineRule="exact"/>
        <w:rPr>
          <w:rFonts w:ascii="Arial" w:cs="Arial" w:eastAsia="Arial" w:hAnsi="Arial"/>
          <w:sz w:val="22"/>
          <w:szCs w:val="22"/>
          <w:color w:val="auto"/>
        </w:rPr>
      </w:pPr>
    </w:p>
    <w:p>
      <w:pPr>
        <w:ind w:firstLine="656"/>
        <w:spacing w:after="0" w:line="250" w:lineRule="auto"/>
        <w:tabs>
          <w:tab w:leader="none" w:pos="111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 Rights to Service</w:t>
      </w:r>
      <w:r>
        <w:rPr>
          <w:rFonts w:ascii="Arial" w:cs="Arial" w:eastAsia="Arial" w:hAnsi="Arial"/>
          <w:sz w:val="22"/>
          <w:szCs w:val="22"/>
          <w:color w:val="auto"/>
        </w:rPr>
        <w:t>. Nothing contained in this Agreement shall be construed as giving the Participant any right to be retained, in any position, as a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14" w:lineRule="exact"/>
        <w:rPr>
          <w:rFonts w:ascii="Arial" w:cs="Arial" w:eastAsia="Arial" w:hAnsi="Arial"/>
          <w:sz w:val="22"/>
          <w:szCs w:val="22"/>
          <w:color w:val="auto"/>
        </w:rPr>
      </w:pPr>
    </w:p>
    <w:p>
      <w:pPr>
        <w:ind w:right="140" w:firstLine="656"/>
        <w:spacing w:after="0" w:line="253" w:lineRule="auto"/>
        <w:tabs>
          <w:tab w:leader="none" w:pos="106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In lieu of issuing a fraction of a Share resulting from an adjustment of the RSUs pursuant to Section 4(c) of the Plan or otherwise, the Company shall be entitled to pay to the Participant an amount equal to the Fair Market Value of such fractional share.</w:t>
      </w:r>
    </w:p>
    <w:p>
      <w:pPr>
        <w:spacing w:after="0" w:line="212" w:lineRule="exact"/>
        <w:rPr>
          <w:rFonts w:ascii="Arial" w:cs="Arial" w:eastAsia="Arial" w:hAnsi="Arial"/>
          <w:sz w:val="22"/>
          <w:szCs w:val="22"/>
          <w:color w:val="auto"/>
        </w:rPr>
      </w:pPr>
    </w:p>
    <w:p>
      <w:pPr>
        <w:ind w:right="20" w:firstLine="656"/>
        <w:spacing w:after="0" w:line="261" w:lineRule="auto"/>
        <w:tabs>
          <w:tab w:leader="none" w:pos="1068"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Beneficiary</w:t>
      </w:r>
      <w:r>
        <w:rPr>
          <w:rFonts w:ascii="Arial" w:cs="Arial" w:eastAsia="Arial" w:hAnsi="Arial"/>
          <w:sz w:val="21"/>
          <w:szCs w:val="21"/>
          <w:color w:val="auto"/>
        </w:rPr>
        <w:t>. The Participant may file with the Committee a written designation of a beneficiary on such form as may be prescribed by the Committee and may, from time to time, amend or revoke such designation. If no beneficiary is designated, if the designation is ineffective, or if the beneficiary dies before the balance of a Participant’s benefit is paid, the balance shall be paid to the Participant’s estate. Notwithstanding the foregoing, however, a Participant’s beneficiary shall be determined under applicable state law if such state law does not recognize beneficiary designations under Awards of this type and is not preempted by laws which recognize the provisions of this Section 9(j).</w:t>
      </w:r>
    </w:p>
    <w:p>
      <w:pPr>
        <w:spacing w:after="0" w:line="206" w:lineRule="exact"/>
        <w:rPr>
          <w:rFonts w:ascii="Arial" w:cs="Arial" w:eastAsia="Arial" w:hAnsi="Arial"/>
          <w:sz w:val="21"/>
          <w:szCs w:val="21"/>
          <w:color w:val="auto"/>
        </w:rPr>
      </w:pPr>
    </w:p>
    <w:p>
      <w:pPr>
        <w:ind w:right="500" w:firstLine="656"/>
        <w:spacing w:after="0" w:line="253" w:lineRule="auto"/>
        <w:tabs>
          <w:tab w:leader="none" w:pos="111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212" w:lineRule="exact"/>
        <w:rPr>
          <w:rFonts w:ascii="Arial" w:cs="Arial" w:eastAsia="Arial" w:hAnsi="Arial"/>
          <w:sz w:val="22"/>
          <w:szCs w:val="22"/>
          <w:color w:val="auto"/>
        </w:rPr>
      </w:pPr>
    </w:p>
    <w:p>
      <w:pPr>
        <w:ind w:right="40" w:firstLine="656"/>
        <w:spacing w:after="0" w:line="253" w:lineRule="auto"/>
        <w:tabs>
          <w:tab w:leader="none" w:pos="106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contain the entire agreement and understanding of the parties hereto with respect to the subject matter contained herein and supersede all prior communications, representations and negotiations in respect thereto.</w:t>
      </w:r>
    </w:p>
    <w:p>
      <w:pPr>
        <w:spacing w:after="0" w:line="203" w:lineRule="exact"/>
        <w:rPr>
          <w:rFonts w:ascii="Arial" w:cs="Arial" w:eastAsia="Arial" w:hAnsi="Arial"/>
          <w:sz w:val="22"/>
          <w:szCs w:val="22"/>
          <w:color w:val="auto"/>
        </w:rPr>
      </w:pPr>
    </w:p>
    <w:p>
      <w:pPr>
        <w:ind w:right="80" w:firstLine="656"/>
        <w:spacing w:after="0" w:line="250" w:lineRule="auto"/>
        <w:tabs>
          <w:tab w:leader="none" w:pos="1131"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Limitation Of Liability</w:t>
      </w:r>
      <w:r>
        <w:rPr>
          <w:rFonts w:ascii="Arial" w:cs="Arial" w:eastAsia="Arial" w:hAnsi="Arial"/>
          <w:sz w:val="20"/>
          <w:szCs w:val="20"/>
          <w:color w:val="auto"/>
        </w:rPr>
        <w:t>. The Participant agrees that any liability of the officers, the Committee, and the Board of Directors of the Company to the Participant under this Agreement shall be limited to those actions or failure to take actions which constitute self-dealing, willful misconduct or recklessness.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428" w:right="359" w:bottom="1440" w:gutter="0" w:footer="0" w:header="0"/>
        </w:sectPr>
      </w:pPr>
    </w:p>
    <w:bookmarkStart w:id="92" w:name="page93"/>
    <w:bookmarkEnd w:id="92"/>
    <w:p>
      <w:pPr>
        <w:ind w:left="1120" w:hanging="464"/>
        <w:spacing w:after="0"/>
        <w:tabs>
          <w:tab w:leader="none" w:pos="11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interpreted in accordance with the laws of the</w:t>
      </w:r>
    </w:p>
    <w:p>
      <w:pPr>
        <w:spacing w:after="0" w:line="21" w:lineRule="exact"/>
        <w:rPr>
          <w:rFonts w:ascii="Arial" w:cs="Arial" w:eastAsia="Arial" w:hAnsi="Arial"/>
          <w:sz w:val="22"/>
          <w:szCs w:val="22"/>
          <w:color w:val="auto"/>
        </w:rPr>
      </w:pPr>
    </w:p>
    <w:p>
      <w:pPr>
        <w:ind w:right="120"/>
        <w:spacing w:after="0" w:line="245" w:lineRule="auto"/>
        <w:rPr>
          <w:rFonts w:ascii="Arial" w:cs="Arial" w:eastAsia="Arial" w:hAnsi="Arial"/>
          <w:sz w:val="22"/>
          <w:szCs w:val="22"/>
          <w:color w:val="auto"/>
        </w:rPr>
      </w:pPr>
      <w:r>
        <w:rPr>
          <w:rFonts w:ascii="Arial" w:cs="Arial" w:eastAsia="Arial" w:hAnsi="Arial"/>
          <w:sz w:val="22"/>
          <w:szCs w:val="22"/>
          <w:color w:val="auto"/>
        </w:rPr>
        <w:t>Commonwealth of Pennsylvania without regard to principles of conflicts of law thereof, or principles of conflicts of laws of any other jurisdiction which could cause the application of the laws of any jurisdiction other than the Commonwealth of Pennsylvania.</w:t>
      </w:r>
    </w:p>
    <w:p>
      <w:pPr>
        <w:spacing w:after="0" w:line="219" w:lineRule="exact"/>
        <w:rPr>
          <w:rFonts w:ascii="Arial" w:cs="Arial" w:eastAsia="Arial" w:hAnsi="Arial"/>
          <w:sz w:val="22"/>
          <w:szCs w:val="22"/>
          <w:color w:val="auto"/>
        </w:rPr>
      </w:pPr>
    </w:p>
    <w:p>
      <w:pPr>
        <w:ind w:firstLine="656"/>
        <w:spacing w:after="0" w:line="292" w:lineRule="auto"/>
        <w:tabs>
          <w:tab w:leader="none" w:pos="111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 The Participant and the Company (on behalf of itself and its Affiliates) each consents to jurisdiction in the United States District Court for the Western District of Pennsylvania, or if that court is unable to exercise jurisdiction for any reason, the Court of Common Pleas of Washington County, Pennsylvania, and each waives any other requirement (whether imposed by statute, rule of court or otherwise) with respect to personal jurisdiction or service of process and waives any objection to jurisdiction based on improper venue or improper jurisdiction. EACH OF THE PARTIES HERETO HEREBY IRREVOCABLY WAIVES ALL RIGHT TO TRIAL BY JURY, IN ANY ACTION, PROCEEDING OR COUNTERCLAIM ARISING OUT OF OR RELATING TO THE PLAN OR THIS AGREEMENT.</w:t>
      </w:r>
    </w:p>
    <w:p>
      <w:pPr>
        <w:spacing w:after="0" w:line="177" w:lineRule="exact"/>
        <w:rPr>
          <w:rFonts w:ascii="Arial" w:cs="Arial" w:eastAsia="Arial" w:hAnsi="Arial"/>
          <w:sz w:val="19"/>
          <w:szCs w:val="19"/>
          <w:color w:val="auto"/>
        </w:rPr>
      </w:pPr>
    </w:p>
    <w:p>
      <w:pPr>
        <w:ind w:right="120" w:firstLine="656"/>
        <w:spacing w:after="0" w:line="263" w:lineRule="auto"/>
        <w:tabs>
          <w:tab w:leader="none" w:pos="111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are not to serve as a basis for interpretation or construction, and shall not constitute a part, of this Agreement.</w:t>
      </w:r>
    </w:p>
    <w:p>
      <w:pPr>
        <w:spacing w:after="0" w:line="201" w:lineRule="exact"/>
        <w:rPr>
          <w:rFonts w:ascii="Arial" w:cs="Arial" w:eastAsia="Arial" w:hAnsi="Arial"/>
          <w:sz w:val="22"/>
          <w:szCs w:val="22"/>
          <w:color w:val="auto"/>
        </w:rPr>
      </w:pPr>
    </w:p>
    <w:p>
      <w:pPr>
        <w:ind w:right="60" w:firstLine="656"/>
        <w:spacing w:after="0" w:line="265" w:lineRule="auto"/>
        <w:tabs>
          <w:tab w:leader="none" w:pos="111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(including via facsimile, electronic image scan (pdf) and electronic signature on the Merrill Lynch intranet system),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428" w:right="379" w:bottom="1440" w:gutter="0" w:footer="0" w:header="0"/>
        </w:sectPr>
      </w:pPr>
    </w:p>
    <w:bookmarkStart w:id="93" w:name="page94"/>
    <w:bookmarkEnd w:id="93"/>
    <w:p>
      <w:pPr>
        <w:ind w:firstLine="1296"/>
        <w:spacing w:after="0" w:line="263" w:lineRule="auto"/>
        <w:rPr>
          <w:sz w:val="20"/>
          <w:szCs w:val="20"/>
          <w:color w:val="auto"/>
        </w:rPr>
      </w:pPr>
      <w:r>
        <w:rPr>
          <w:rFonts w:ascii="Arial" w:cs="Arial" w:eastAsia="Arial" w:hAnsi="Arial"/>
          <w:sz w:val="22"/>
          <w:szCs w:val="22"/>
          <w:color w:val="auto"/>
        </w:rPr>
        <w:t>IN WITNESS WHEREOF, this Agreement has been executed and delivered by the parties hereto as of the date first written above.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VIATRIS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_________________________________</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[Participant Name]</w:t>
      </w:r>
    </w:p>
    <w:p>
      <w:pPr>
        <w:sectPr>
          <w:pgSz w:w="11900" w:h="16838" w:orient="portrait"/>
          <w:cols w:equalWidth="0" w:num="1">
            <w:col w:w="10900"/>
          </w:cols>
          <w:pgMar w:left="320" w:top="1428" w:right="67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31" w:lineRule="exact"/>
        <w:rPr>
          <w:sz w:val="20"/>
          <w:szCs w:val="20"/>
          <w:color w:val="auto"/>
        </w:rPr>
      </w:pPr>
    </w:p>
    <w:p>
      <w:pPr>
        <w:ind w:left="640" w:hanging="187"/>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17" w:lineRule="exact"/>
        <w:rPr>
          <w:rFonts w:ascii="Arial" w:cs="Arial" w:eastAsia="Arial" w:hAnsi="Arial"/>
          <w:sz w:val="18"/>
          <w:szCs w:val="18"/>
          <w:color w:val="auto"/>
        </w:rPr>
      </w:pPr>
    </w:p>
    <w:p>
      <w:pPr>
        <w:ind w:right="140" w:firstLine="453"/>
        <w:spacing w:after="0" w:line="377" w:lineRule="auto"/>
        <w:tabs>
          <w:tab w:leader="none" w:pos="6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08" w:lineRule="auto"/>
        <w:tabs>
          <w:tab w:leader="none" w:pos="62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295" w:lineRule="auto"/>
        <w:tabs>
          <w:tab w:leader="none" w:pos="62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295" w:lineRule="auto"/>
        <w:tabs>
          <w:tab w:leader="none" w:pos="12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295" w:lineRule="auto"/>
        <w:tabs>
          <w:tab w:leader="none" w:pos="124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369" w:lineRule="auto"/>
        <w:tabs>
          <w:tab w:leader="none" w:pos="1231"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280" w:firstLine="480"/>
        <w:spacing w:after="0" w:line="295" w:lineRule="auto"/>
        <w:tabs>
          <w:tab w:leader="none" w:pos="124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41" w:lineRule="auto"/>
        <w:tabs>
          <w:tab w:leader="none" w:pos="62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31750</wp:posOffset>
            </wp:positionV>
            <wp:extent cx="25031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ectPr>
          <w:pgSz w:w="11900" w:h="16838" w:orient="portrait"/>
          <w:cols w:equalWidth="0" w:num="1">
            <w:col w:w="11240"/>
          </w:cols>
          <w:pgMar w:left="320" w:top="90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31" w:lineRule="exact"/>
        <w:rPr>
          <w:sz w:val="20"/>
          <w:szCs w:val="20"/>
          <w:color w:val="auto"/>
        </w:rPr>
      </w:pPr>
    </w:p>
    <w:p>
      <w:pPr>
        <w:ind w:left="640" w:hanging="187"/>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17" w:lineRule="exact"/>
        <w:rPr>
          <w:rFonts w:ascii="Arial" w:cs="Arial" w:eastAsia="Arial" w:hAnsi="Arial"/>
          <w:sz w:val="18"/>
          <w:szCs w:val="18"/>
          <w:color w:val="auto"/>
        </w:rPr>
      </w:pPr>
    </w:p>
    <w:p>
      <w:pPr>
        <w:ind w:right="140" w:firstLine="453"/>
        <w:spacing w:after="0" w:line="377" w:lineRule="auto"/>
        <w:tabs>
          <w:tab w:leader="none" w:pos="6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08" w:lineRule="auto"/>
        <w:tabs>
          <w:tab w:leader="none" w:pos="625"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295" w:lineRule="auto"/>
        <w:tabs>
          <w:tab w:leader="none" w:pos="62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295" w:lineRule="auto"/>
        <w:tabs>
          <w:tab w:leader="none" w:pos="123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295" w:lineRule="auto"/>
        <w:tabs>
          <w:tab w:leader="none" w:pos="124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369" w:lineRule="auto"/>
        <w:tabs>
          <w:tab w:leader="none" w:pos="1231"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280" w:firstLine="480"/>
        <w:spacing w:after="0" w:line="295" w:lineRule="auto"/>
        <w:tabs>
          <w:tab w:leader="none" w:pos="124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41" w:lineRule="auto"/>
        <w:tabs>
          <w:tab w:leader="none" w:pos="62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ectPr>
          <w:pgSz w:w="11900" w:h="16838" w:orient="portrait"/>
          <w:cols w:equalWidth="0" w:num="1">
            <w:col w:w="11240"/>
          </w:cols>
          <w:pgMar w:left="320" w:top="90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140" w:firstLine="445"/>
        <w:spacing w:after="0" w:line="319" w:lineRule="auto"/>
        <w:rPr>
          <w:sz w:val="20"/>
          <w:szCs w:val="20"/>
          <w:color w:val="auto"/>
        </w:rPr>
      </w:pPr>
      <w:r>
        <w:rPr>
          <w:rFonts w:ascii="Arial" w:cs="Arial" w:eastAsia="Arial" w:hAnsi="Arial"/>
          <w:sz w:val="17"/>
          <w:szCs w:val="17"/>
          <w:color w:val="auto"/>
        </w:rPr>
        <w:t>In connection with the Quarterly Report on Form 10-Q of Viatris Inc. (the “Company”) for the period ended March 31, 2021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4" w:lineRule="exact"/>
        <w:rPr>
          <w:sz w:val="20"/>
          <w:szCs w:val="20"/>
          <w:color w:val="auto"/>
        </w:rPr>
      </w:pPr>
    </w:p>
    <w:p>
      <w:pPr>
        <w:ind w:left="1080" w:hanging="181"/>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80" w:hanging="181"/>
        <w:spacing w:after="0"/>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198" w:lineRule="exact"/>
        <w:rPr>
          <w:sz w:val="20"/>
          <w:szCs w:val="20"/>
          <w:color w:val="auto"/>
        </w:rPr>
      </w:pPr>
    </w:p>
    <w:p>
      <w:pPr>
        <w:ind w:right="420" w:firstLine="445"/>
        <w:spacing w:after="0" w:line="30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7" w:lineRule="exact"/>
        <w:rPr>
          <w:sz w:val="20"/>
          <w:szCs w:val="20"/>
          <w:color w:val="auto"/>
        </w:rPr>
      </w:pPr>
    </w:p>
    <w:p>
      <w:pPr>
        <w:ind w:right="520" w:firstLine="445"/>
        <w:spacing w:after="0" w:line="308"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decimal"/>
      <w:start w:val="2"/>
    </w:lvl>
  </w:abstractNum>
  <w:abstractNum w:abstractNumId="5">
    <w:nsid w:val="2CD89A32"/>
    <w:multiLevelType w:val="hybridMultilevel"/>
    <w:lvl w:ilvl="0">
      <w:lvlJc w:val="left"/>
      <w:lvlText w:val="(%1)"/>
      <w:numFmt w:val="lowerLetter"/>
      <w:start w:val="1"/>
    </w:lvl>
  </w:abstractNum>
  <w:abstractNum w:abstractNumId="6">
    <w:nsid w:val="57E4CCAF"/>
    <w:multiLevelType w:val="hybridMultilevel"/>
    <w:lvl w:ilvl="0">
      <w:lvlJc w:val="left"/>
      <w:lvlText w:val="%1."/>
      <w:numFmt w:val="decimal"/>
      <w:start w:val="3"/>
    </w:lvl>
  </w:abstractNum>
  <w:abstractNum w:abstractNumId="7">
    <w:nsid w:val="7A6D8D3C"/>
    <w:multiLevelType w:val="hybridMultilevel"/>
    <w:lvl w:ilvl="0">
      <w:lvlJc w:val="left"/>
      <w:lvlText w:val="%1."/>
      <w:numFmt w:val="decimal"/>
      <w:start w:val="4"/>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decimal"/>
      <w:start w:val="5"/>
    </w:lvl>
  </w:abstractNum>
  <w:abstractNum w:abstractNumId="10">
    <w:nsid w:val="6DE91B18"/>
    <w:multiLevelType w:val="hybridMultilevel"/>
    <w:lvl w:ilvl="0">
      <w:lvlJc w:val="left"/>
      <w:lvlText w:val="%1."/>
      <w:numFmt w:val="decimal"/>
      <w:start w:val="6"/>
    </w:lvl>
  </w:abstractNum>
  <w:abstractNum w:abstractNumId="11">
    <w:nsid w:val="38437FDB"/>
    <w:multiLevelType w:val="hybridMultilevel"/>
    <w:lvl w:ilvl="0">
      <w:lvlJc w:val="left"/>
      <w:lvlText w:val="%1."/>
      <w:numFmt w:val="decimal"/>
      <w:start w:val="8"/>
    </w:lvl>
  </w:abstractNum>
  <w:abstractNum w:abstractNumId="12">
    <w:nsid w:val="7644A45C"/>
    <w:multiLevelType w:val="hybridMultilevel"/>
    <w:lvl w:ilvl="0">
      <w:lvlJc w:val="left"/>
      <w:lvlText w:val="%1."/>
      <w:numFmt w:val="decimal"/>
      <w:start w:val="9"/>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2"/>
    </w:lvl>
  </w:abstractNum>
  <w:abstractNum w:abstractNumId="19">
    <w:nsid w:val="79A1DEAA"/>
    <w:multiLevelType w:val="hybridMultilevel"/>
    <w:lvl w:ilvl="0">
      <w:lvlJc w:val="left"/>
      <w:lvlText w:val="(%1)"/>
      <w:numFmt w:val="lowerLetter"/>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decimal"/>
      <w:start w:val="15"/>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Letter"/>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decimal"/>
      <w:start w:val="22"/>
    </w:lvl>
  </w:abstractNum>
  <w:abstractNum w:abstractNumId="45">
    <w:nsid w:val="5FF87E05"/>
    <w:multiLevelType w:val="hybridMultilevel"/>
    <w:lvl w:ilvl="0">
      <w:lvlJc w:val="left"/>
      <w:lvlText w:val="%1"/>
      <w:numFmt w:val="decimal"/>
      <w:start w:val="32"/>
    </w:lvl>
  </w:abstractNum>
  <w:abstractNum w:abstractNumId="46">
    <w:nsid w:val="2F305DEF"/>
    <w:multiLevelType w:val="hybridMultilevel"/>
    <w:lvl w:ilvl="0">
      <w:lvlJc w:val="left"/>
      <w:lvlText w:val="%1"/>
      <w:numFmt w:val="decimal"/>
      <w:start w:val="104"/>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decimal"/>
      <w:start w:val="1"/>
    </w:lvl>
    <w:lvl w:ilvl="1">
      <w:lvlJc w:val="left"/>
      <w:lvlText w:val="(%2)"/>
      <w:numFmt w:val="lowerLetter"/>
      <w:start w:val="1"/>
    </w:lvl>
  </w:abstractNum>
  <w:abstractNum w:abstractNumId="49">
    <w:nsid w:val="4AD084E9"/>
    <w:multiLevelType w:val="hybridMultilevel"/>
    <w:lvl w:ilvl="0">
      <w:lvlJc w:val="left"/>
      <w:lvlText w:val="%1."/>
      <w:numFmt w:val="decimal"/>
      <w:start w:val="3"/>
    </w:lvl>
    <w:lvl w:ilvl="1">
      <w:lvlJc w:val="left"/>
      <w:lvlText w:val="(%2)"/>
      <w:numFmt w:val="lowerLetter"/>
      <w:start w:val="1"/>
    </w:lvl>
  </w:abstractNum>
  <w:abstractNum w:abstractNumId="50">
    <w:nsid w:val="1F48EAA1"/>
    <w:multiLevelType w:val="hybridMultilevel"/>
    <w:lvl w:ilvl="0">
      <w:lvlJc w:val="left"/>
      <w:lvlText w:val="%1"/>
      <w:numFmt w:val="decimal"/>
      <w:start w:val="1"/>
    </w:lvl>
    <w:lvl w:ilvl="1">
      <w:lvlJc w:val="left"/>
      <w:lvlText w:val="(%2)"/>
      <w:numFmt w:val="lowerLetter"/>
      <w:start w:val="1"/>
    </w:lvl>
  </w:abstractNum>
  <w:abstractNum w:abstractNumId="51">
    <w:nsid w:val="1381823A"/>
    <w:multiLevelType w:val="hybridMultilevel"/>
    <w:lvl w:ilvl="0">
      <w:lvlJc w:val="left"/>
      <w:lvlText w:val="%1."/>
      <w:numFmt w:val="decimal"/>
      <w:start w:val="7"/>
    </w:lvl>
    <w:lvl w:ilvl="1">
      <w:lvlJc w:val="left"/>
      <w:lvlText w:val="%2"/>
      <w:numFmt w:val="lowerLetter"/>
      <w:start w:val="1"/>
    </w:lvl>
  </w:abstractNum>
  <w:abstractNum w:abstractNumId="52">
    <w:nsid w:val="5DB70AE5"/>
    <w:multiLevelType w:val="hybridMultilevel"/>
    <w:lvl w:ilvl="0">
      <w:lvlJc w:val="left"/>
      <w:lvlText w:val="%1."/>
      <w:numFmt w:val="decimal"/>
      <w:start w:val="9"/>
    </w:lvl>
    <w:lvl w:ilvl="1">
      <w:lvlJc w:val="left"/>
      <w:lvlText w:val="(%2)"/>
      <w:numFmt w:val="lowerLetter"/>
      <w:start w:val="1"/>
    </w:lvl>
  </w:abstractNum>
  <w:abstractNum w:abstractNumId="53">
    <w:nsid w:val="100F8FCA"/>
    <w:multiLevelType w:val="hybridMultilevel"/>
    <w:lvl w:ilvl="0">
      <w:lvlJc w:val="left"/>
      <w:lvlText w:val="(%1)"/>
      <w:numFmt w:val="lowerLetter"/>
      <w:start w:val="4"/>
    </w:lvl>
  </w:abstractNum>
  <w:abstractNum w:abstractNumId="54">
    <w:nsid w:val="6590700B"/>
    <w:multiLevelType w:val="hybridMultilevel"/>
    <w:lvl w:ilvl="0">
      <w:lvlJc w:val="left"/>
      <w:lvlText w:val="(%1)"/>
      <w:numFmt w:val="lowerRoman"/>
      <w:start w:val="1"/>
    </w:lvl>
  </w:abstractNum>
  <w:abstractNum w:abstractNumId="55">
    <w:nsid w:val="15014ACB"/>
    <w:multiLevelType w:val="hybridMultilevel"/>
    <w:lvl w:ilvl="0">
      <w:lvlJc w:val="left"/>
      <w:lvlText w:val="(%1)"/>
      <w:numFmt w:val="lowerRoman"/>
      <w:start w:val="2"/>
    </w:lvl>
  </w:abstractNum>
  <w:abstractNum w:abstractNumId="56">
    <w:nsid w:val="5F5E7FD0"/>
    <w:multiLevelType w:val="hybridMultilevel"/>
    <w:lvl w:ilvl="0">
      <w:lvlJc w:val="left"/>
      <w:lvlText w:val="(%1)"/>
      <w:numFmt w:val="lowerLetter"/>
      <w:start w:val="7"/>
    </w:lvl>
  </w:abstractNum>
  <w:abstractNum w:abstractNumId="57">
    <w:nsid w:val="98A3148"/>
    <w:multiLevelType w:val="hybridMultilevel"/>
    <w:lvl w:ilvl="0">
      <w:lvlJc w:val="left"/>
      <w:lvlText w:val="(%1)"/>
      <w:numFmt w:val="lowerLetter"/>
      <w:start w:val="14"/>
    </w:lvl>
  </w:abstractNum>
  <w:abstractNum w:abstractNumId="58">
    <w:nsid w:val="799D0247"/>
    <w:multiLevelType w:val="hybridMultilevel"/>
    <w:lvl w:ilvl="0">
      <w:lvlJc w:val="left"/>
      <w:lvlText w:val="%1."/>
      <w:numFmt w:val="decimal"/>
      <w:start w:val="1"/>
    </w:lvl>
    <w:lvl w:ilvl="1">
      <w:lvlJc w:val="left"/>
      <w:lvlText w:val="(%2)"/>
      <w:numFmt w:val="lowerLetter"/>
      <w:start w:val="1"/>
    </w:lvl>
  </w:abstractNum>
  <w:abstractNum w:abstractNumId="59">
    <w:nsid w:val="6B94764"/>
    <w:multiLevelType w:val="hybridMultilevel"/>
    <w:lvl w:ilvl="0">
      <w:lvlJc w:val="left"/>
      <w:lvlText w:val="%1"/>
      <w:numFmt w:val="decimal"/>
      <w:start w:val="1"/>
    </w:lvl>
    <w:lvl w:ilvl="1">
      <w:lvlJc w:val="left"/>
      <w:lvlText w:val="(%2)"/>
      <w:numFmt w:val="lowerLetter"/>
      <w:start w:val="2"/>
    </w:lvl>
  </w:abstractNum>
  <w:abstractNum w:abstractNumId="60">
    <w:nsid w:val="42C296BD"/>
    <w:multiLevelType w:val="hybridMultilevel"/>
    <w:lvl w:ilvl="0">
      <w:lvlJc w:val="left"/>
      <w:lvlText w:val="%1."/>
      <w:numFmt w:val="decimal"/>
      <w:start w:val="3"/>
    </w:lvl>
    <w:lvl w:ilvl="1">
      <w:lvlJc w:val="left"/>
      <w:lvlText w:val="(%2)"/>
      <w:numFmt w:val="lowerLetter"/>
      <w:start w:val="1"/>
    </w:lvl>
  </w:abstractNum>
  <w:abstractNum w:abstractNumId="61">
    <w:nsid w:val="168E121F"/>
    <w:multiLevelType w:val="hybridMultilevel"/>
    <w:lvl w:ilvl="0">
      <w:lvlJc w:val="left"/>
      <w:lvlText w:val="%1"/>
      <w:numFmt w:val="decimal"/>
      <w:start w:val="1"/>
    </w:lvl>
    <w:lvl w:ilvl="1">
      <w:lvlJc w:val="left"/>
      <w:lvlText w:val="(%2)"/>
      <w:numFmt w:val="lowerLetter"/>
      <w:start w:val="2"/>
    </w:lvl>
  </w:abstractNum>
  <w:abstractNum w:abstractNumId="62">
    <w:nsid w:val="1EBA5D23"/>
    <w:multiLevelType w:val="hybridMultilevel"/>
    <w:lvl w:ilvl="0">
      <w:lvlJc w:val="left"/>
      <w:lvlText w:val="%1."/>
      <w:numFmt w:val="decimal"/>
      <w:start w:val="6"/>
    </w:lvl>
    <w:lvl w:ilvl="1">
      <w:lvlJc w:val="left"/>
      <w:lvlText w:val="(%2)"/>
      <w:numFmt w:val="lowerLetter"/>
      <w:start w:val="1"/>
    </w:lvl>
  </w:abstractNum>
  <w:abstractNum w:abstractNumId="63">
    <w:nsid w:val="661E3F1E"/>
    <w:multiLevelType w:val="hybridMultilevel"/>
    <w:lvl w:ilvl="0">
      <w:lvlJc w:val="left"/>
      <w:lvlText w:val="%1."/>
      <w:numFmt w:val="decimal"/>
      <w:start w:val="7"/>
    </w:lvl>
    <w:lvl w:ilvl="1">
      <w:lvlJc w:val="left"/>
      <w:lvlText w:val="(%2)"/>
      <w:numFmt w:val="lowerLetter"/>
      <w:start w:val="1"/>
    </w:lvl>
  </w:abstractNum>
  <w:abstractNum w:abstractNumId="64">
    <w:nsid w:val="5DC79EA8"/>
    <w:multiLevelType w:val="hybridMultilevel"/>
    <w:lvl w:ilvl="0">
      <w:lvlJc w:val="left"/>
      <w:lvlText w:val="(%1)"/>
      <w:numFmt w:val="lowerLetter"/>
      <w:start w:val="2"/>
    </w:lvl>
  </w:abstractNum>
  <w:abstractNum w:abstractNumId="65">
    <w:nsid w:val="540A471C"/>
    <w:multiLevelType w:val="hybridMultilevel"/>
    <w:lvl w:ilvl="0">
      <w:lvlJc w:val="left"/>
      <w:lvlText w:val="(%1)"/>
      <w:numFmt w:val="lowerLetter"/>
      <w:start w:val="5"/>
    </w:lvl>
  </w:abstractNum>
  <w:abstractNum w:abstractNumId="66">
    <w:nsid w:val="7BD3EE7B"/>
    <w:multiLevelType w:val="hybridMultilevel"/>
    <w:lvl w:ilvl="0">
      <w:lvlJc w:val="left"/>
      <w:lvlText w:val="(%1)"/>
      <w:numFmt w:val="lowerRoman"/>
      <w:start w:val="1"/>
    </w:lvl>
  </w:abstractNum>
  <w:abstractNum w:abstractNumId="67">
    <w:nsid w:val="51D9C564"/>
    <w:multiLevelType w:val="hybridMultilevel"/>
    <w:lvl w:ilvl="0">
      <w:lvlJc w:val="left"/>
      <w:lvlText w:val="(%1)"/>
      <w:numFmt w:val="lowerRoman"/>
      <w:start w:val="2"/>
    </w:lvl>
  </w:abstractNum>
  <w:abstractNum w:abstractNumId="68">
    <w:nsid w:val="613EFDC5"/>
    <w:multiLevelType w:val="hybridMultilevel"/>
    <w:lvl w:ilvl="0">
      <w:lvlJc w:val="left"/>
      <w:lvlText w:val="(%1)"/>
      <w:numFmt w:val="lowerLetter"/>
      <w:start w:val="7"/>
    </w:lvl>
  </w:abstractNum>
  <w:abstractNum w:abstractNumId="69">
    <w:nsid w:val="BF72B14"/>
    <w:multiLevelType w:val="hybridMultilevel"/>
    <w:lvl w:ilvl="0">
      <w:lvlJc w:val="left"/>
      <w:lvlText w:val="(%1)"/>
      <w:numFmt w:val="lowerLetter"/>
      <w:start w:val="10"/>
    </w:lvl>
  </w:abstractNum>
  <w:abstractNum w:abstractNumId="70">
    <w:nsid w:val="11447B73"/>
    <w:multiLevelType w:val="hybridMultilevel"/>
    <w:lvl w:ilvl="0">
      <w:lvlJc w:val="left"/>
      <w:lvlText w:val="(%1)"/>
      <w:numFmt w:val="lowerLetter"/>
      <w:start w:val="17"/>
    </w:lvl>
  </w:abstractNum>
  <w:abstractNum w:abstractNumId="71">
    <w:nsid w:val="42963E5A"/>
    <w:multiLevelType w:val="hybridMultilevel"/>
    <w:lvl w:ilvl="0">
      <w:lvlJc w:val="left"/>
      <w:lvlText w:val="%1."/>
      <w:numFmt w:val="decimal"/>
      <w:start w:val="1"/>
    </w:lvl>
    <w:lvl w:ilvl="1">
      <w:lvlJc w:val="left"/>
      <w:lvlText w:val="(%2)"/>
      <w:numFmt w:val="lowerLetter"/>
      <w:start w:val="1"/>
    </w:lvl>
  </w:abstractNum>
  <w:abstractNum w:abstractNumId="72">
    <w:nsid w:val="A0382C5"/>
    <w:multiLevelType w:val="hybridMultilevel"/>
    <w:lvl w:ilvl="0">
      <w:lvlJc w:val="left"/>
      <w:lvlText w:val="%1"/>
      <w:numFmt w:val="decimal"/>
      <w:start w:val="1"/>
    </w:lvl>
    <w:lvl w:ilvl="1">
      <w:lvlJc w:val="left"/>
      <w:lvlText w:val="(%2)"/>
      <w:numFmt w:val="lowerLetter"/>
      <w:start w:val="2"/>
    </w:lvl>
  </w:abstractNum>
  <w:abstractNum w:abstractNumId="73">
    <w:nsid w:val="8F2B15E"/>
    <w:multiLevelType w:val="hybridMultilevel"/>
    <w:lvl w:ilvl="0">
      <w:lvlJc w:val="left"/>
      <w:lvlText w:val="%1."/>
      <w:numFmt w:val="decimal"/>
      <w:start w:val="3"/>
    </w:lvl>
    <w:lvl w:ilvl="1">
      <w:lvlJc w:val="left"/>
      <w:lvlText w:val="%2"/>
      <w:numFmt w:val="lowerLetter"/>
      <w:start w:val="1"/>
    </w:lvl>
  </w:abstractNum>
  <w:abstractNum w:abstractNumId="74">
    <w:nsid w:val="1A32234B"/>
    <w:multiLevelType w:val="hybridMultilevel"/>
    <w:lvl w:ilvl="0">
      <w:lvlJc w:val="left"/>
      <w:lvlText w:val="%1."/>
      <w:numFmt w:val="decimal"/>
      <w:start w:val="8"/>
    </w:lvl>
    <w:lvl w:ilvl="1">
      <w:lvlJc w:val="left"/>
      <w:lvlText w:val="(%2)"/>
      <w:numFmt w:val="lowerLetter"/>
      <w:start w:val="1"/>
    </w:lvl>
  </w:abstractNum>
  <w:abstractNum w:abstractNumId="75">
    <w:nsid w:val="3B0FD379"/>
    <w:multiLevelType w:val="hybridMultilevel"/>
    <w:lvl w:ilvl="0">
      <w:lvlJc w:val="left"/>
      <w:lvlText w:val="(%1)"/>
      <w:numFmt w:val="lowerLetter"/>
      <w:start w:val="4"/>
    </w:lvl>
  </w:abstractNum>
  <w:abstractNum w:abstractNumId="76">
    <w:nsid w:val="68EB2F63"/>
    <w:multiLevelType w:val="hybridMultilevel"/>
    <w:lvl w:ilvl="0">
      <w:lvlJc w:val="left"/>
      <w:lvlText w:val="(%1)"/>
      <w:numFmt w:val="lowerRoman"/>
      <w:start w:val="1"/>
    </w:lvl>
  </w:abstractNum>
  <w:abstractNum w:abstractNumId="77">
    <w:nsid w:val="4962813B"/>
    <w:multiLevelType w:val="hybridMultilevel"/>
    <w:lvl w:ilvl="0">
      <w:lvlJc w:val="left"/>
      <w:lvlText w:val="(%1)"/>
      <w:numFmt w:val="lowerRoman"/>
      <w:start w:val="2"/>
    </w:lvl>
  </w:abstractNum>
  <w:abstractNum w:abstractNumId="78">
    <w:nsid w:val="60B6DF70"/>
    <w:multiLevelType w:val="hybridMultilevel"/>
    <w:lvl w:ilvl="0">
      <w:lvlJc w:val="left"/>
      <w:lvlText w:val="(%1)"/>
      <w:numFmt w:val="lowerLetter"/>
      <w:start w:val="7"/>
    </w:lvl>
  </w:abstractNum>
  <w:abstractNum w:abstractNumId="79">
    <w:nsid w:val="6A5EE64"/>
    <w:multiLevelType w:val="hybridMultilevel"/>
    <w:lvl w:ilvl="0">
      <w:lvlJc w:val="left"/>
      <w:lvlText w:val="(%1)"/>
      <w:numFmt w:val="lowerLetter"/>
      <w:start w:val="14"/>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2021-05-10T15:29:30Z</dcterms:created>
  <dcterms:modified xsi:type="dcterms:W3CDTF">2021-05-10T15:29:30Z</dcterms:modified>
</cp:coreProperties>
</file>