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20" w:right="280" w:hanging="394"/>
        <w:spacing w:after="0" w:line="238"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420" w:right="260" w:hanging="394"/>
        <w:spacing w:after="0" w:line="238"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001-39695</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2">
            <w:col w:w="7360" w:space="720"/>
            <w:col w:w="3100"/>
          </w:cols>
          <w:pgMar w:left="320" w:top="988" w:right="399" w:bottom="1440" w:gutter="0" w:footer="0" w:header="0"/>
          <w:type w:val="continuous"/>
        </w:sectPr>
      </w:pP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Identification No.)</w:t>
      </w:r>
    </w:p>
    <w:p>
      <w:pPr>
        <w:spacing w:after="0" w:line="107"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4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129" w:lineRule="exact"/>
        <w:rPr>
          <w:sz w:val="24"/>
          <w:szCs w:val="24"/>
          <w:color w:val="auto"/>
        </w:rPr>
      </w:pPr>
    </w:p>
    <w:p>
      <w:pPr>
        <w:sectPr>
          <w:pgSz w:w="11900" w:h="16838" w:orient="portrait"/>
          <w:cols w:equalWidth="0" w:num="3">
            <w:col w:w="3980" w:space="720"/>
            <w:col w:w="2180" w:space="720"/>
            <w:col w:w="3580"/>
          </w:cols>
          <w:pgMar w:left="320" w:top="988" w:right="39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88" w:right="399" w:bottom="1440" w:gutter="0" w:footer="0" w:header="0"/>
          <w:type w:val="continuous"/>
        </w:sectPr>
      </w:pPr>
    </w:p>
    <w:p>
      <w:pPr>
        <w:spacing w:after="0" w:line="24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left="20" w:right="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number of shares of common stock outstanding, par value $0.01 per share, of the registrant as of May 6, 2024 was 1,190,675,819.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900" w:type="dxa"/>
            <w:vAlign w:val="bottom"/>
            <w:gridSpan w:val="10"/>
            <w:vMerge w:val="restart"/>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900" w:type="dxa"/>
            <w:vAlign w:val="bottom"/>
            <w:gridSpan w:val="10"/>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3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 Three Months Ended March 31, 2024 and 2023</w:t>
            </w:r>
          </w:p>
        </w:tc>
        <w:tc>
          <w:tcPr>
            <w:tcW w:w="1320" w:type="dxa"/>
            <w:vAlign w:val="bottom"/>
            <w:gridSpan w:val="3"/>
          </w:tcPr>
          <w:p>
            <w:pPr>
              <w:spacing w:after="0"/>
              <w:rPr>
                <w:sz w:val="16"/>
                <w:szCs w:val="16"/>
                <w:color w:val="auto"/>
              </w:rPr>
            </w:pPr>
          </w:p>
        </w:tc>
        <w:tc>
          <w:tcPr>
            <w:tcW w:w="9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Earnings — Three Months Ended March 31, 2024 and</w:t>
            </w:r>
          </w:p>
        </w:tc>
        <w:tc>
          <w:tcPr>
            <w:tcW w:w="9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2024 and December 31, 2023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Months Ended March 31, 2024 and 2023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2024 and 2023</w:t>
            </w:r>
          </w:p>
        </w:tc>
        <w:tc>
          <w:tcPr>
            <w:tcW w:w="1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73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2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73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 LTIP</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Amended and Restated 2003 Long-Term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2020 Incentive Plan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2020 Stock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2023 Form 10-K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annual report on Form 10-K for the fiscal year ended December 31, 2023,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EBITDA (defined below) is further adjusted for share-based compensation expense, litigation</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and other contingencies, net, restructuring and other special items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Abbreviated New Drug Application</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All of the following transactions: on October 1, 2023, Viatris announced it had received an offer for the</w:t>
            </w: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divestiture of its OTC Business and had entered into definitive agreements to divest its women’s</w:t>
            </w: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healthcare business and, separately, in another transaction, its rights to two women’s healthcare products</w:t>
            </w: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 certain countries, its API business in India and commercialization rights in the Upjohn Distributor</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Announced Divestitures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AOCE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pharmaceutical ingredient</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ARV</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Antiretroviral medicines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Limited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Biologics Limited, a majority owned subsidiary of Biocon</w:t>
            </w: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transaction between Viatris and Biocon Biologics pursuant to which Viatris contributed its</w:t>
            </w: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biosimilars portfolio, composed of the Biocon collaboration programs, biosimilars to Humira®,</w:t>
            </w: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Enbrel®, and Eylea®, as well as related assets and liabilities to Biocon Biologics</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agreement between Viatris and Biocon Biologics, dated February 27, 2022, relating to</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Biocon Biologics Transaction, as amended from time to time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Business Combination Agreement, dated as of July 29, 2019, as amended from time to time, among</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Mylan, Pfizer and certain of their affiliates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corporate alternative minimum tax</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Compulsory convertible preferred shares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U.S. Internal Revenue Code of 1986,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Refers to Mylan combining with Pfizer's Upjohn Business in a Reverse Morris Trust transaction to form</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on November 16, 2020</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$1.65 billion unsecured commercial paper program entered into as of November 16, 2020 by Viatris,</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as issuer, Mylan Inc., Utah Acquisition Sub Inc. and Mylan II B.V., as guarantors, and certain dealers</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Commercial Paper Program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CP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Unsecured, short-term commercial paper notes issued pursuant to the Commercial Paper Program</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Viatris’ business segment that includes our operations primarily in the following markets: North America</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Developed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Europe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distribution to Pfizer stockholders all the issued and outstanding shares of Upjohn Inc.</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DOJ</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Department of Justice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U.S. GAAP net earnings (loss) adjusted for income tax provision (benefit), interest expense</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depreciation and amortization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Eastern District of Pennsylvania</w:t>
            </w:r>
          </w:p>
        </w:tc>
      </w:tr>
      <w:tr>
        <w:trPr>
          <w:trHeight w:val="885"/>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20" w:type="dxa"/>
            <w:vAlign w:val="bottom"/>
            <w:tcBorders>
              <w:top w:val="single" w:sz="8" w:color="auto"/>
              <w:left w:val="single" w:sz="8" w:color="auto"/>
              <w:right w:val="single" w:sz="8" w:color="auto"/>
            </w:tcBorders>
          </w:tcPr>
          <w:p>
            <w:pPr>
              <w:spacing w:after="0"/>
              <w:rPr>
                <w:sz w:val="16"/>
                <w:szCs w:val="16"/>
                <w:color w:val="auto"/>
              </w:rPr>
            </w:pPr>
          </w:p>
        </w:tc>
        <w:tc>
          <w:tcPr>
            <w:tcW w:w="764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Viatris’ business segment that includes, but is not limited to, our operations primarily in the following</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Emerging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Parts of Asia, the Middle East, South and Central America, Africa, and Eastern Europe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Famy Life Sciences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Famy Life Sciences Private Limited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10-Q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 for the quarterly period ended March 31,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 Depot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Long-acting glatiramer acetate depot product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Systemically Important Banks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institutions that are considered systemically important by the Financial Stability Board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 following markets: China, Taiwan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Greater China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Hong Kong</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Gx</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Generic drugs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Idorsia Pharmaceuticals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between Viatris and Idorsia pursuant to which Viatris acquired the development</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programs and certain personnel related to selatogrel and cenerimod from Idorsia in exchange for an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upfront payment to Idorsia of $350 million, potential development and regulatory milestone payments,</w:t>
            </w:r>
          </w:p>
        </w:tc>
        <w:tc>
          <w:tcPr>
            <w:tcW w:w="0" w:type="dxa"/>
            <w:vAlign w:val="bottom"/>
          </w:tcPr>
          <w:p>
            <w:pPr>
              <w:spacing w:after="0"/>
              <w:rPr>
                <w:sz w:val="1"/>
                <w:szCs w:val="1"/>
                <w:color w:val="auto"/>
              </w:rPr>
            </w:pP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contingent payments of tiered sales milestones, as well as potential contingent tiered sales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Internal Revenue Service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Information technology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in the following markets: Japan, Australia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JANZ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Lilly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 Lilly and Company</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Mapi Pharma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maximum consolidated leverage ratio financial covenant requiring maintenance of a maximum ratio</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consolidated total indebtedness as of the end of any quarter to consolidated EBITDA for the trailing</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Leverage Ratio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quarters as defined in the related credit agreements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MDL</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Multidistrict litigation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and its subsidiaries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4.550% Senior Notes due 2028, 5.400% Senior Notes due 2043 and 5.200% Senior Notes due 2048</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by Mylan Inc., which are fully and unconditionally guaranteed on a senior unsecured basis by</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Inc.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Viatris Inc.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NASDAQ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note securitization facility entered into in August 2023 for borrowings up to $200 million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Note Securitization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expiring in August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Over-the-counter</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OTC business that the Company has agreed to divest to Cooper Consumer Health SAS,</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including two manufacturing sites located in Merignac, France, and Confienza, Italy, and an R&amp;D site in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OTC Business</w:t>
            </w: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Monza, Italy. This excludes the Company’s rights for Viagra®, Dymista® (which, in certain limited</w:t>
            </w:r>
          </w:p>
        </w:tc>
        <w:tc>
          <w:tcPr>
            <w:tcW w:w="0" w:type="dxa"/>
            <w:vAlign w:val="bottom"/>
          </w:tcPr>
          <w:p>
            <w:pPr>
              <w:spacing w:after="0"/>
              <w:rPr>
                <w:sz w:val="1"/>
                <w:szCs w:val="1"/>
                <w:color w:val="auto"/>
              </w:rPr>
            </w:pPr>
          </w:p>
        </w:tc>
      </w:tr>
      <w:tr>
        <w:trPr>
          <w:trHeight w:val="230"/>
        </w:trPr>
        <w:tc>
          <w:tcPr>
            <w:tcW w:w="36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are sold as OTC products), and select OTC products in certain markets.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 October 1, 2023, Viatris announced it had received an offer for the divestiture of its OTC Business.</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 January 2024, we exercised our option to accept the offer and entered into a definitive transaction</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with respect to such OTC Transaction.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Oyster Point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Oyster Point Pharma,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Pending Announced Divestitures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remaining Announced Divestitures that have not been consummated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Pfizer</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$400 million accounts receivable facility entered into in August 2020 and expiring in April 2025</w:t>
            </w:r>
          </w:p>
        </w:tc>
        <w:tc>
          <w:tcPr>
            <w:tcW w:w="0" w:type="dxa"/>
            <w:vAlign w:val="bottom"/>
          </w:tcPr>
          <w:p>
            <w:pPr>
              <w:spacing w:after="0"/>
              <w:rPr>
                <w:sz w:val="1"/>
                <w:szCs w:val="1"/>
                <w:color w:val="auto"/>
              </w:rPr>
            </w:pP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1.650% Senior Notes due 2025, 2.300% Senior Notes due 2027, 2.700% Senior Notes due 2030,</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3.850% Senior Notes due 2040 and 4.000% Senior Notes due 2050 originally issued on October 29,</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2021 registered with the SEC in exchange for the corresponding Unregistered Upjohn U.S. Dollar Notes</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in a similar aggregate principal amount and with terms substantially identical to the corresponding</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Unregistered Upjohn U.S. Dollar Notes and fully and unconditionally guaranteed by Mylan Inc., Mylan</w:t>
            </w:r>
          </w:p>
        </w:tc>
        <w:tc>
          <w:tcPr>
            <w:tcW w:w="0" w:type="dxa"/>
            <w:vAlign w:val="bottom"/>
          </w:tcPr>
          <w:p>
            <w:pPr>
              <w:spacing w:after="0"/>
              <w:rPr>
                <w:sz w:val="1"/>
                <w:szCs w:val="1"/>
                <w:color w:val="auto"/>
              </w:rPr>
            </w:pP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Registered Upjohn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II B.V.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Respiratory Delivery Platform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proprietary dry powder inhaler delivery platform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nonvested restricted stock and restricted stock unit awards, including PSUs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revolving facility dated as of July 1, 2021, by and among Viatris, certain lenders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issuing banks from time to time party thereto and Bank of America, N.A., as administrative agent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RICO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Racketeer Influenced and Corrupt Organizations Act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Sanofi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Sanofi-Aventis U.S., LLC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SDNY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Southern District of New York</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Upjohn U.S. Dollar Notes, the Utah U.S. Dollar Notes and the Mylan Inc. U.S. Dollar Notes,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collectively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Separation and Distribution Agreement between Viatris and Pfizer, dated as of July 29, 2019, as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and Distribution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options and SARs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Teva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Teva Pharmaceutical Industries Ltd.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1.650% Senior Notes due 2025, 2.300% Senior Notes due 2027, 2.700% Senior Notes due 2030,</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3.850% Senior Notes due 2040 and 4.000% Senior Notes due 2050 originally issued on June 22, 2020 by</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Upjohn Inc. (now Viatris Inc.) in a private offering exempt from the registration requirements of the</w:t>
            </w:r>
          </w:p>
        </w:tc>
        <w:tc>
          <w:tcPr>
            <w:tcW w:w="0" w:type="dxa"/>
            <w:vAlign w:val="bottom"/>
          </w:tcPr>
          <w:p>
            <w:pPr>
              <w:spacing w:after="0"/>
              <w:rPr>
                <w:sz w:val="1"/>
                <w:szCs w:val="1"/>
                <w:color w:val="auto"/>
              </w:rPr>
            </w:pPr>
          </w:p>
        </w:tc>
      </w:tr>
      <w:tr>
        <w:trPr>
          <w:trHeight w:val="175"/>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Unregistered Upjohn U.S. Dollar Notes</w:t>
            </w: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Securities Act and fully and unconditionally guaranteed by Mylan Inc., Mylan II B.V. and Utah</w:t>
            </w:r>
          </w:p>
        </w:tc>
        <w:tc>
          <w:tcPr>
            <w:tcW w:w="0" w:type="dxa"/>
            <w:vAlign w:val="bottom"/>
          </w:tcPr>
          <w:p>
            <w:pPr>
              <w:spacing w:after="0"/>
              <w:rPr>
                <w:sz w:val="1"/>
                <w:szCs w:val="1"/>
                <w:color w:val="auto"/>
              </w:rPr>
            </w:pPr>
          </w:p>
        </w:tc>
      </w:tr>
      <w:tr>
        <w:trPr>
          <w:trHeight w:val="239"/>
        </w:trPr>
        <w:tc>
          <w:tcPr>
            <w:tcW w:w="36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Sub Inc.</w:t>
            </w:r>
          </w:p>
        </w:tc>
        <w:tc>
          <w:tcPr>
            <w:tcW w:w="0" w:type="dxa"/>
            <w:vAlign w:val="bottom"/>
          </w:tcPr>
          <w:p>
            <w:pPr>
              <w:spacing w:after="0"/>
              <w:rPr>
                <w:sz w:val="1"/>
                <w:szCs w:val="1"/>
                <w:color w:val="auto"/>
              </w:rPr>
            </w:pPr>
          </w:p>
        </w:tc>
      </w:tr>
      <w:tr>
        <w:trPr>
          <w:trHeight w:val="173"/>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Upjohn Inc., a wholly owned subsidiary of Pfizer prior to the Distribution, that combined with Mylan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was renamed Viatris Inc.</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off-patent branded and generic established medicines business that, in connection with the</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Business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was separated from Pfizer and combined with Mylan to form Viatris</w:t>
            </w:r>
          </w:p>
        </w:tc>
        <w:tc>
          <w:tcPr>
            <w:tcW w:w="0" w:type="dxa"/>
            <w:vAlign w:val="bottom"/>
          </w:tcPr>
          <w:p>
            <w:pPr>
              <w:spacing w:after="0"/>
              <w:rPr>
                <w:sz w:val="1"/>
                <w:szCs w:val="1"/>
                <w:color w:val="auto"/>
              </w:rPr>
            </w:pPr>
          </w:p>
        </w:tc>
      </w:tr>
      <w:tr>
        <w:trPr>
          <w:trHeight w:val="205"/>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Select geographic markets that were part of the Combination that are smaller in nature and in which we</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7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had no established infrastructure prior to or following the Combination and that the Company has</w:t>
            </w:r>
          </w:p>
        </w:tc>
        <w:tc>
          <w:tcPr>
            <w:tcW w:w="0" w:type="dxa"/>
            <w:vAlign w:val="bottom"/>
          </w:tcPr>
          <w:p>
            <w:pPr>
              <w:spacing w:after="0"/>
              <w:rPr>
                <w:sz w:val="1"/>
                <w:szCs w:val="1"/>
                <w:color w:val="auto"/>
              </w:rPr>
            </w:pPr>
          </w:p>
        </w:tc>
      </w:tr>
      <w:tr>
        <w:trPr>
          <w:trHeight w:val="248"/>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Distributor Markets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or intends to divest</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Senior unsecured notes denominated in U.S. dollars and originally issued by Upjohn Inc. or Viatris Inc.</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pursuant to an indenture dated June 22, 2020 and fully and unconditionally guaranteed by Mylan Inc.,</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Acquisition Sub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Utah Acquisition Sub Inc., a Delaware corporation and an indirect wholly owned subsidiary of Viatris</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20" w:type="dxa"/>
            <w:vAlign w:val="bottom"/>
            <w:tcBorders>
              <w:top w:val="single" w:sz="8" w:color="auto"/>
              <w:left w:val="single" w:sz="8" w:color="auto"/>
              <w:right w:val="single" w:sz="8" w:color="auto"/>
            </w:tcBorders>
          </w:tcPr>
          <w:p>
            <w:pPr>
              <w:spacing w:after="0"/>
              <w:rPr>
                <w:sz w:val="16"/>
                <w:szCs w:val="16"/>
                <w:color w:val="auto"/>
              </w:rPr>
            </w:pPr>
          </w:p>
        </w:tc>
        <w:tc>
          <w:tcPr>
            <w:tcW w:w="764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The 3.950% Senior Notes due 2026 and 5.250% Senior Notes due 2046 issued by Utah Acquisition Sub</w:t>
            </w: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 which are fully and unconditionally guaranteed on a senior unsecured basis by Mylan Inc., Viatris</w:t>
            </w: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 and Mylan II B.V.</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formerly known as Upjohn Inc. prior to the completion of the Combination</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term loan agreement dated as of July 1, 2021, among Viatris, the guarantors from time to</w:t>
            </w: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time party thereto, the lenders from time to time party thereto and Mizuho Bank, Ltd., as administrative</w:t>
            </w: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YEN Term Loan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agent</w:t>
            </w: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IPR&amp;D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Viatris Inc. shareholders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Earnings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unrecognized (loss) gain and prior service cost related to defined benefit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cash flow hedging relationships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gain (loss) on derivatives in net investment hedging relationships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(loss) gain on available-for-sale fixed income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ind w:left="91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20"/>
          </w:cols>
          <w:pgMar w:left="320" w:top="114" w:right="359" w:bottom="1440" w:gutter="0" w:footer="0" w:header="0"/>
        </w:sect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ind w:left="480" w:right="320" w:firstLine="14"/>
        <w:spacing w:after="0" w:line="271" w:lineRule="auto"/>
        <w:rPr>
          <w:sz w:val="20"/>
          <w:szCs w:val="20"/>
          <w:color w:val="auto"/>
        </w:rPr>
      </w:pPr>
      <w:r>
        <w:rPr>
          <w:rFonts w:ascii="Times New Roman" w:cs="Times New Roman" w:eastAsia="Times New Roman" w:hAnsi="Times New Roman"/>
          <w:sz w:val="18"/>
          <w:szCs w:val="18"/>
          <w:color w:val="auto"/>
        </w:rPr>
        <w:t>Prepaid expenses and other current assets Assets held for sale</w:t>
      </w:r>
    </w:p>
    <w:p>
      <w:pPr>
        <w:ind w:left="6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assets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162560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r>
      <w:tr>
        <w:trPr>
          <w:trHeight w:val="218"/>
        </w:trPr>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19,181.1</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-1654175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-1362710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-1071245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3780" w:space="720"/>
            <w:col w:w="6720"/>
          </w:cols>
          <w:pgMar w:left="320" w:top="114" w:right="359" w:bottom="1440" w:gutter="0" w:footer="0" w:header="0"/>
          <w:type w:val="continuous"/>
        </w:sectPr>
      </w:pPr>
    </w:p>
    <w:tbl>
      <w:tblPr>
        <w:tblLayout w:type="fixed"/>
        <w:tblInd w:w="20" w:type="dxa"/>
        <w:tblCellMar>
          <w:top w:w="0" w:type="dxa"/>
          <w:left w:w="0" w:type="dxa"/>
          <w:bottom w:w="0" w:type="dxa"/>
          <w:right w:w="0" w:type="dxa"/>
        </w:tblCellMar>
      </w:tblPr>
      <w:tr>
        <w:trPr>
          <w:trHeight w:val="232"/>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30"/>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w:t>
            </w:r>
          </w:p>
        </w:tc>
      </w:tr>
      <w:tr>
        <w:trPr>
          <w:trHeight w:val="223"/>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7,777.4</w:t>
            </w: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16,188.1</w:t>
            </w: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1,516.9</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27,218.1</w:t>
            </w:r>
          </w:p>
        </w:tc>
      </w:tr>
      <w:tr>
        <w:trPr>
          <w:trHeight w:val="20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Viatris Inc. shareholders’ equity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87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3,000,000,000 shares authorized; shares issued: 1,230,891,074 and</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1,221,994,491 as of March 31, 2024 and December 31, 2023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18,814.7</w:t>
            </w:r>
          </w:p>
        </w:tc>
      </w:tr>
      <w:tr>
        <w:trPr>
          <w:trHeight w:val="230"/>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4,639.7</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r>
      <w:tr>
        <w:trPr>
          <w:trHeight w:val="223"/>
        </w:trPr>
        <w:tc>
          <w:tcPr>
            <w:tcW w:w="8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20,719.2</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Common stock shares: 40,483,663 and 21,239,521 as of March 31, 2024 and December 31, 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47,685.5</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8"/>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8"/>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820" w:type="dxa"/>
            <w:vAlign w:val="bottom"/>
            <w:gridSpan w:val="3"/>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9"/>
                <w:szCs w:val="9"/>
                <w:color w:val="auto"/>
              </w:rPr>
            </w:pPr>
          </w:p>
        </w:tc>
        <w:tc>
          <w:tcPr>
            <w:tcW w:w="17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8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1,221,994,491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$18,814.7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$ 4,639.7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$(251.8)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99"/>
              </w:rPr>
              <w:t>$20,467.4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8,842,107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19,244,142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1,230,891,074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18,839.8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$ 4,607.5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(504.3)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r>
              <w:rPr>
                <w:rFonts w:ascii="Times New Roman" w:cs="Times New Roman" w:eastAsia="Times New Roman" w:hAnsi="Times New Roman"/>
                <w:sz w:val="18"/>
                <w:szCs w:val="18"/>
                <w:u w:val="single" w:color="auto"/>
                <w:color w:val="auto"/>
              </w:rPr>
              <w:t>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9"/>
              </w:rPr>
              <w:t>$20,014.3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8"/>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820" w:type="dxa"/>
            <w:vAlign w:val="bottom"/>
            <w:gridSpan w:val="3"/>
            <w:vMerge w:val="restart"/>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9"/>
                <w:szCs w:val="9"/>
                <w:color w:val="auto"/>
              </w:rPr>
            </w:pPr>
          </w:p>
        </w:tc>
        <w:tc>
          <w:tcPr>
            <w:tcW w:w="17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1,213,793,231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$18,645.8</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$ 5,175.6</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97"/>
              </w:rPr>
              <w:t>$21,072.3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6,350,585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4"/>
        </w:trPr>
        <w:tc>
          <w:tcPr>
            <w:tcW w:w="39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21,239,521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1,220,224,204</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18,679.6</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$ 5,252.5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(251.8)</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r>
              <w:rPr>
                <w:rFonts w:ascii="Times New Roman" w:cs="Times New Roman" w:eastAsia="Times New Roman" w:hAnsi="Times New Roman"/>
                <w:sz w:val="18"/>
                <w:szCs w:val="18"/>
                <w:u w:val="single" w:color="auto"/>
                <w:color w:val="auto"/>
              </w:rPr>
              <w:t>6)</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97"/>
              </w:rPr>
              <w:t>$20,927.9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disposal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Acquired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Litigation settlements and other contingencies,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3"/>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operating assets and liabilities,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2"/>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product rights and 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Refund of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assets and subsidiaries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(749.5)</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short-term borrowings, net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Non-contingent payments for product rights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items,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7"/>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(974.7)</w:t>
            </w: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on cash of changes in exchange rates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1,262.5</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loss, financial position, equity and cash flows for the periods presented.</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notes thereto in Viatris’ 2023 Form 10-K. The December 31, 2023 condensed consolidated balance sheet was derived from audited financial statements.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interim results of operations, comprehensive loss and cash flows for the three months ended March 31, 2024 are not necessarily indicative of the results to be expected for the full fiscal year or any other future period.</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There were no upfront and milestone payments in the prior year period.</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227"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net sales by product category for each of our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 respectively:</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6"/>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6"/>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months ended March 31, 2024 include the impact of foreign currency translations compared to the prior year period.</w:t>
      </w:r>
    </w:p>
    <w:p>
      <w:pPr>
        <w:spacing w:after="0" w:line="87" w:lineRule="exact"/>
        <w:rPr>
          <w:rFonts w:ascii="Times New Roman" w:cs="Times New Roman" w:eastAsia="Times New Roman" w:hAnsi="Times New Roman"/>
          <w:sz w:val="23"/>
          <w:szCs w:val="23"/>
          <w:color w:val="auto"/>
          <w:vertAlign w:val="superscript"/>
        </w:rPr>
      </w:pPr>
    </w:p>
    <w:p>
      <w:pPr>
        <w:ind w:left="660" w:right="40" w:hanging="328"/>
        <w:spacing w:after="0" w:line="230"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Complex Gx</w:t>
      </w:r>
      <w:r>
        <w:rPr>
          <w:rFonts w:ascii="Times New Roman" w:cs="Times New Roman" w:eastAsia="Times New Roman" w:hAnsi="Times New Roman"/>
          <w:sz w:val="18"/>
          <w:szCs w:val="18"/>
          <w:color w:val="auto"/>
        </w:rPr>
        <w:t>, which were previously presented as a separate line item in the prior year period, are now included within</w:t>
      </w:r>
      <w:r>
        <w:rPr>
          <w:rFonts w:ascii="Times New Roman" w:cs="Times New Roman" w:eastAsia="Times New Roman" w:hAnsi="Times New Roman"/>
          <w:sz w:val="18"/>
          <w:szCs w:val="18"/>
          <w:i w:val="1"/>
          <w:iCs w:val="1"/>
          <w:color w:val="auto"/>
        </w:rPr>
        <w:t xml:space="preserve"> Generics. </w:t>
      </w: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made to prior periods to conform to the current period presentation.</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on a consolidated basis for select key products for the three months ended March 31, 2024 and 2023, respectively:</w:t>
      </w:r>
    </w:p>
    <w:p>
      <w:pPr>
        <w:spacing w:after="0" w:line="7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Select Key Global Products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Lipitor ®</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Norvasc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Lyrica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Viagra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EpiPen® Auto-Injectors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Creon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Celebrex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Effexor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Zoloft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Xalabrands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Select Key Segment Products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Yupelri ®</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Dymista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Xanax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4"/>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Amitiza ®</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disclose net sales for any products considered competitively sensitive.</w:t>
      </w:r>
    </w:p>
    <w:p>
      <w:pPr>
        <w:spacing w:after="0" w:line="4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Products disclosed may change in future periods, including as a result of seasonality, competition or new product launches.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months ended March 31, 2024 include the impact of foreign currency translations compared to the prior year period.</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intellectual property matters included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for additional information regarding Yupelri® and Amitiza®.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Variable Consideration and Accounts Receivable</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sales to net sales by each significant category of variable consideration during the three months ended March 31, 2024 and 2023, respectively:</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6,273.0</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Chargebacks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Rebates, promotional programs and other sales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to net adjustments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0" w:type="dxa"/>
            <w:vAlign w:val="bottom"/>
          </w:tcPr>
          <w:p>
            <w:pPr>
              <w:spacing w:after="0"/>
              <w:rPr>
                <w:sz w:val="1"/>
                <w:szCs w:val="1"/>
                <w:color w:val="auto"/>
              </w:rPr>
            </w:pPr>
          </w:p>
        </w:tc>
      </w:tr>
      <w:tr>
        <w:trPr>
          <w:trHeight w:val="223"/>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No significant revisions were made to the methodology used in determining these provisions or the nature of the provisions during the three months ended March 31, 2024. Such allowances were comprised of the following at March 31, 2024 and December 31, 2023, respectively:</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was comprised of the following at March 31, 2024 and December 31, 2023, respectively:</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$64.2 million and $30.8 million of accounts receivable as of March 31, 2024 and December 31, 2023, respectively, under these factoring arrangements. Additionally, in 2023, we entered into a similar arrangement for certain European countries. As of March 31, 2024 and December 31, 2023, we have assigned and derecognized approximately $285.6 million and $415.7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are now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Accounting Standards and Disclosure Rules Issued Not Yet Adopted</w:t>
      </w:r>
    </w:p>
    <w:p>
      <w:pPr>
        <w:spacing w:after="0" w:line="22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March 2024, the SEC adopted final rules under SEC Release No. 34-99678 and No. 33-11275, “The Enhancement and Standardization of Climate-Related Disclosures for Investors” (the “Final Rules”), which will require registrants to provide certain climate-related information in their registration statements and annual reports. The Final Rules require, among other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will also require disclosure outside of the financial statements of material scope 1 and scope 2 greenhouse gas emissions, among other climate-related disclosures. The disclosure requirements of the Final Rules will begin phasing in for the Company for fiscal year 2025. In April 2024, the SEC stayed the effectiveness of the Final Rules. The Company is currently assessing the impact of the new rules on its consolidated financial statements and disclosures.</w:t>
      </w:r>
    </w:p>
    <w:p>
      <w:pPr>
        <w:spacing w:after="0" w:line="21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significant changes in new accounting standards from those disclosed in Viatris’ 2023 Form 10-K. Refer to Viatris’ 2023 Form 10-K for additional information.</w:t>
      </w:r>
    </w:p>
    <w:p>
      <w:pPr>
        <w:spacing w:after="0" w:line="200" w:lineRule="exact"/>
        <w:rPr>
          <w:sz w:val="20"/>
          <w:szCs w:val="20"/>
          <w:color w:val="auto"/>
        </w:rPr>
      </w:pPr>
    </w:p>
    <w:p>
      <w:pPr>
        <w:spacing w:after="0" w:line="201" w:lineRule="exact"/>
        <w:rPr>
          <w:sz w:val="20"/>
          <w:szCs w:val="20"/>
          <w:color w:val="auto"/>
        </w:rPr>
      </w:pPr>
    </w:p>
    <w:p>
      <w:pPr>
        <w:ind w:left="340" w:right="8080" w:hanging="332"/>
        <w:spacing w:after="0" w:line="503" w:lineRule="auto"/>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Other Transactions </w:t>
      </w:r>
      <w:r>
        <w:rPr>
          <w:rFonts w:ascii="Times New Roman" w:cs="Times New Roman" w:eastAsia="Times New Roman" w:hAnsi="Times New Roman"/>
          <w:sz w:val="18"/>
          <w:szCs w:val="18"/>
          <w:i w:val="1"/>
          <w:iCs w:val="1"/>
          <w:color w:val="auto"/>
        </w:rPr>
        <w:t>Idorsia</w:t>
      </w: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March 15, 2024, the Company acquired the development programs and certain personnel related to selatogrel and cenerimod from Idorsia in exchange for an upfront payment to Idorsia of $350 million, potential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contributing to the development costs for both programs. Viatris has worldwide commercialization rights for both selatogrel and cenerimod (excluding, for cenerimod only, Japan, South Korea and certain countries in the Asia-Pacific region). A joint development committee is overseeing the development of the ongoing Phase 3 programs through regulatory approval. The agreements also provide Viatris a right of first refusal and a right of first negotiation for certain other assets in Idorsia’s pipeline. The transaction expands our portfolio of innovative assets by adding two Phase 3 assets and combines our financial strength and worldwide operational infrastructure with Idorsia’s proven, highly-productive drug development team and innovation engine.</w:t>
      </w:r>
    </w:p>
    <w:p>
      <w:pPr>
        <w:spacing w:after="0" w:line="21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three months ended March 31, 2024, the Company incurred acquisition-related costs of approximately $0.3 million, which were recorded primarily 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statements of operations.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for additional information. The preliminary allocation of the purchase price to the assets acquired and liabilities assumed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9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0"/>
        </w:trPr>
        <w:tc>
          <w:tcPr>
            <w:tcW w:w="9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IPR&amp;D, contingent consideration, and income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will both contribute to the development costs for both programs, which are expected to be incurred through 2026.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spacing w:after="0" w:line="1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goodwill of $19.5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three months ended March 31, 2024 and 2023.</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OTC, API and women’s healthcare businesses are deemed businesses for U.S. GAAP accounting purposes. As such, the assets and liabilities include an allocation of goodwill. The sale of the rights to two women’s healthcare products in certain countries was accounted for as an asset sale. In conjunction with these transactions, Viatris and the respective buyers have entered or will enter into various agreements to provide a framework for our relationship with the respective buyers after the closing of the divestitures, including TSAs, manufacturing and supply agreements, and distribution agreements, as necessary.</w:t>
      </w:r>
    </w:p>
    <w:p>
      <w:pPr>
        <w:spacing w:after="0" w:line="21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and 2023, the Company recognized TSA income related to the divestitures of approximately $13.4 million and $45.7 million, respectively,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Women’s Healthcare</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third quarter of 2023, Viatris executed an agreement to divest its women’s healthcare business, primarily related to oral and injectable contraceptives, to Insud Pharma, S. L., a leading Spanish multinational pharmaceutical company. The divestiture of the women’s healthcare business is primarily related to our oral and injectable contraceptives and does not include all of our women’s healthcare related products; as an example, our Xulane® product in the U.S. is excluded. The transaction includes two manufacturing facilities in India. Assets and liabilities associated with the women’s healthcare business to be divested were classified as held for sale in the consolidated balance sheet as of December 31, 2023. The transaction closed in March 2024 and upon closing, the Company recognized a pre-tax gain on sale of approximately $80.8 million for the difference between the consideration received and the carrying value of the assets transferred (including an allocation of goodwill). The gain was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 of operations during the three months ended March 31, 2024.</w:t>
      </w:r>
    </w:p>
    <w:p>
      <w:pPr>
        <w:spacing w:after="0" w:line="2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the third quarter of 2023, Viatris also entered into a separate agreement to divest its rights to women’s healthcare products Duphaston® and Femoston® in certain countries to Theramex HQ UK Limited, a leading global specialty pharmaceutical company dedicated to women’s health. The transaction (other than in the U.K., which remains subject to regulatory approval) closed in December 2023, and upon closing, the Company recognized a pre-tax gain on sale of approximately $156.2 million in that quarter for the difference between the consideration received and the carrying value of the assets transferred. The gain was recorded as a component of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expense in the consolidated statement of operations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OTC</w:t>
      </w:r>
    </w:p>
    <w:p>
      <w:pPr>
        <w:spacing w:after="0" w:line="1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October 1, 2023, Viatris received an offer from Cooper Consumer Health SAS, a leading European OTC drug manufacturer and distributor, for Viatris to divest its OTC Business, including two manufacturing sites located in Merignac, France, and Confienza, Italy, and an R&amp;D site in Monza, Italy. In January 2024, we exercised our option to accept the offer in the OTC Transaction and entered into a definitive transaction agreement with respect to such OTC Transaction. The Company will retain rights for Viagra®, Dymista® (which, in certain limited markets, are sold as OTC products) and select OTC products in certain markets. The Company currently expects the OTC Transaction to close by mid-year 2024. The transaction remains subject to regulatory approvals, receipt of required consents and other closing conditions.</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OTC Business to be divested met the criteria to be classified as held for sale on October 1, 2023. As such, the related assets and liabilities were classified as held for sale in the condensed consolidated balance sheets as of March 31, 2024 and December 31, 2023. Upon classification as held for sale in the fourth quarter of 2023, we recognized a total charge of approximately $734.7 million, which was comprised of a goodwill impairment charge of approximately $580.1 million (recorded as a component of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expense), and a charge of approximately $154.7 million to write down the disposal group to fair value, less cost to sell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 of operations.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API</w:t>
      </w:r>
    </w:p>
    <w:p>
      <w:pPr>
        <w:spacing w:after="0" w:line="11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October 1, 2023, Viatris executed an agreement to divest its API business in India to Matrix Pharma Private Limited, an affiliate of IQuest Enterprises Private Limited, a privately held pharmaceutical company based in India. The transaction includes three manufacturing sites and a R&amp;D lab in Hyderabad, three manufacturing sites in Vizag and third-party API sales. Viatris will retain some selective R&amp;D capabilities in API. The API business in India met the criteria to be classified as held for sale on October 1, 2023 and the related assets and liabilities were reclassified as held for sale in the consolidated balance sheet as of December 31, 2023. The transaction is expected to close imminently. The Company recognized a pre-tax charge of approximately $10.4 million to write down the disposal group to fair value, less cost to sell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 of operations.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Upjohn Distributor Markets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fourth quarter of 2022, the commercialization rights in the Upjohn Distributor Markets met the criteria to be classified as held for sale. Upon classification as held for sale, the Company recognized a total charge of $374.2 million in 2022, which was comprised of a goodwill impairment charge of $117.0 million, other charges, principally inventory write-offs, of $84.3 million and a charge of approximately $172.9 million to write down the disposal group to fair value, less cost to sell. During the year ended December 31, 2023, the Company recorded additional charges totaling $136.4 million, primarily consisting of losses on the disposals of $85.2 million, which were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The additional charges include inventory reserves of $9.2 million and an intangible asset charge of $32.0 million to write down the disposal group to fair value, less cost to sell, in each case during the three months ended March 31, 2023. The divestitures of the commercialization rights in certain of the Upjohn Distributor Markets closed during 2023 and the remaining transactions are expected to be completed during 2024. If the remaining transactions are not completed, the distribution arrangements will expire in accordance with our agreement with Pfizer and the Company will wind down operations in these markets, which may result in additional asset write-offs and other costs being incurred.</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Biocon Biologics Transaction</w:t>
      </w:r>
    </w:p>
    <w:p>
      <w:pPr>
        <w:spacing w:after="0" w:line="11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During the three months ended March 31, 2024 and 2023, the Company recorded a gain of $46.9 million and a loss of $2.6 million, respectively, as a component of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as a result of remeasuring the CCPS in Biocon Biologics to fair value. The Company’s CCPS in Biocon Biologics are classified as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 The fair value is reassessed quarterly. Refer to Note 11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Risk Management </w:t>
      </w:r>
      <w:r>
        <w:rPr>
          <w:rFonts w:ascii="Times New Roman" w:cs="Times New Roman" w:eastAsia="Times New Roman" w:hAnsi="Times New Roman"/>
          <w:sz w:val="18"/>
          <w:szCs w:val="18"/>
          <w:color w:val="auto"/>
        </w:rPr>
        <w:t>for further discussion. Viatris also is entitled to $335 million of additional cash payments in 2024. In addition, Viatris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Biocon Biologics have agreed to a closing working capital target of $250 million, of which $220 million was paid during 2023. Refer to Note 8 </w:t>
      </w:r>
      <w:r>
        <w:rPr>
          <w:rFonts w:ascii="Times New Roman" w:cs="Times New Roman" w:eastAsia="Times New Roman" w:hAnsi="Times New Roman"/>
          <w:sz w:val="18"/>
          <w:szCs w:val="18"/>
          <w:i w:val="1"/>
          <w:iCs w:val="1"/>
          <w:color w:val="auto"/>
        </w:rPr>
        <w:t xml:space="preserve">Balance Sheet Components </w:t>
      </w:r>
      <w:r>
        <w:rPr>
          <w:rFonts w:ascii="Times New Roman" w:cs="Times New Roman" w:eastAsia="Times New Roman" w:hAnsi="Times New Roman"/>
          <w:sz w:val="18"/>
          <w:szCs w:val="18"/>
          <w:color w:val="auto"/>
        </w:rPr>
        <w:t>for additional information on assets and liabilities related to Biocon Biologics.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held for sale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on assets held for sale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23"/>
        </w:trPr>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for sale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8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Incentive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Distribution, Viatris adopted and Pfizer, in the capacity as Viatris’ sole stockholder at such time, approved the 2020 Incentive Plan (the </w:t>
      </w:r>
      <w:r>
        <w:rPr>
          <w:rFonts w:ascii="Times New Roman" w:cs="Times New Roman" w:eastAsia="Times New Roman" w:hAnsi="Times New Roman"/>
          <w:sz w:val="18"/>
          <w:szCs w:val="18"/>
          <w:i w:val="1"/>
          <w:iCs w:val="1"/>
          <w:color w:val="auto"/>
        </w:rPr>
        <w:t>Viatris Inc. 2020 Stock Incentive Plan</w:t>
      </w:r>
      <w:r>
        <w:rPr>
          <w:rFonts w:ascii="Times New Roman" w:cs="Times New Roman" w:eastAsia="Times New Roman" w:hAnsi="Times New Roman"/>
          <w:sz w:val="18"/>
          <w:szCs w:val="18"/>
          <w:color w:val="auto"/>
        </w:rPr>
        <w:t>) which became effective as of the Distribution. In connection with the Combination, as of November 16,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the 2003 LTIP (</w:t>
      </w:r>
      <w:r>
        <w:rPr>
          <w:rFonts w:ascii="Times New Roman" w:cs="Times New Roman" w:eastAsia="Times New Roman" w:hAnsi="Times New Roman"/>
          <w:sz w:val="18"/>
          <w:szCs w:val="18"/>
          <w:i w:val="1"/>
          <w:iCs w:val="1"/>
          <w:color w:val="auto"/>
        </w:rPr>
        <w:t>Mylan N.V. Amended and Restated 2003 Long-Term Incentive Plan</w:t>
      </w:r>
      <w:r>
        <w:rPr>
          <w:rFonts w:ascii="Times New Roman" w:cs="Times New Roman" w:eastAsia="Times New Roman" w:hAnsi="Times New Roman"/>
          <w:sz w:val="18"/>
          <w:szCs w:val="18"/>
          <w:color w:val="auto"/>
        </w:rPr>
        <w:t>),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awards (stock options and SARs)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Under Stock Awards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3,723,405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stock awards outstanding, stock awards vested and expected to vest, and stock awards exercisable had average remaining contractual terms of 3.8 years, 3.7 years and 3.6 years, respectively. Also, at March 31, 2024, stock awards outstanding, stock awards vested and expected to vest, and stock awards exercisable had aggregate intrinsic values of $0.8 million, $0.8 million, and $0.4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changes in the Company’s nonvested Restricted Stock Awards (restricted stock and restricted stock unit awards,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from December 31, 2023 to March 31, 2024 is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31,096,783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32,780,318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$287.6 million of total unrecognized compensation expense, net of estimated forfeitures, related to all of its stock-based awards, which we expect to recognize over the remaining weighted average vesting period of 1.8 years. The total intrinsic value of Restricted Stock Awards released and stock options exercised during the three months ended March 31, 2024 and 2023 was $129.0 million and $100.8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right="7540" w:hanging="332"/>
        <w:spacing w:after="0" w:line="503"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Pensions and Other Postretirement Benefits </w:t>
      </w:r>
      <w:r>
        <w:rPr>
          <w:rFonts w:ascii="Times New Roman" w:cs="Times New Roman" w:eastAsia="Times New Roman" w:hAnsi="Times New Roman"/>
          <w:sz w:val="18"/>
          <w:szCs w:val="18"/>
          <w:i w:val="1"/>
          <w:iCs w:val="1"/>
          <w:color w:val="auto"/>
        </w:rPr>
        <w:t>Defined Benefit Plans</w:t>
      </w: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benefit cost for the three months ended March 31, 2024 and 2023 were as follows:</w:t>
      </w:r>
    </w:p>
    <w:p>
      <w:pPr>
        <w:spacing w:after="0" w:line="130"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Pension and Other Postretirement</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Benefits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making the minimum mandatory contributions to its defined benefit pension plans in the U.S. and Puerto Rico for the 2024 plan year. The Company expects to make total benefit payments of approximately $114.4 million from pension and other postretirement benefit plans in 2024. The Company anticipates making contributions to pension and other postretirement benefit plans of approximately $61.3 million in 2024.</w:t>
      </w:r>
    </w:p>
    <w:p>
      <w:pPr>
        <w:spacing w:after="0" w:line="200" w:lineRule="exact"/>
        <w:rPr>
          <w:sz w:val="20"/>
          <w:szCs w:val="20"/>
          <w:color w:val="auto"/>
        </w:rPr>
      </w:pP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0" w:type="dxa"/>
            <w:vAlign w:val="bottom"/>
          </w:tcPr>
          <w:p>
            <w:pPr>
              <w:jc w:val="center"/>
              <w:ind w:left="31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90"/>
        </w:trPr>
        <w:tc>
          <w:tcPr>
            <w:tcW w:w="4220" w:type="dxa"/>
            <w:vAlign w:val="bottom"/>
            <w:vMerge w:val="continue"/>
          </w:tcPr>
          <w:p>
            <w:pPr>
              <w:spacing w:after="0"/>
              <w:rPr>
                <w:sz w:val="16"/>
                <w:szCs w:val="16"/>
                <w:color w:val="auto"/>
              </w:rPr>
            </w:pPr>
          </w:p>
        </w:tc>
        <w:tc>
          <w:tcPr>
            <w:tcW w:w="44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due from Biocon Biologics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fixed income securities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 for taxes on intercompany profit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Prepaid expenses consist primarily of prepaid rent, insurance and other individually insignificant items.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allowances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employee benefit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0" w:type="dxa"/>
            <w:vAlign w:val="bottom"/>
          </w:tcPr>
          <w:p>
            <w:pPr>
              <w:spacing w:after="0"/>
              <w:rPr>
                <w:sz w:val="1"/>
                <w:szCs w:val="1"/>
                <w:color w:val="auto"/>
              </w:rPr>
            </w:pPr>
          </w:p>
        </w:tc>
      </w:tr>
      <w:tr>
        <w:trPr>
          <w:trHeight w:val="21"/>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related items, including contingencies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long-term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60" w:right="200" w:hanging="328"/>
        <w:spacing w:after="0" w:line="230" w:lineRule="auto"/>
        <w:tabs>
          <w:tab w:leader="none" w:pos="58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Balance as of March 31, 2024 includes $30.0 million due to Biocon Biologics.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additional information.</w:t>
      </w:r>
    </w:p>
    <w:p>
      <w:pPr>
        <w:spacing w:after="0" w:line="34" w:lineRule="exact"/>
        <w:rPr>
          <w:rFonts w:ascii="Times New Roman" w:cs="Times New Roman" w:eastAsia="Times New Roman" w:hAnsi="Times New Roman"/>
          <w:sz w:val="23"/>
          <w:szCs w:val="23"/>
          <w:color w:val="auto"/>
          <w:vertAlign w:val="superscript"/>
        </w:rPr>
      </w:pPr>
    </w:p>
    <w:p>
      <w:pPr>
        <w:ind w:left="660" w:right="300" w:hanging="328"/>
        <w:spacing w:after="0" w:line="230" w:lineRule="auto"/>
        <w:tabs>
          <w:tab w:leader="none" w:pos="58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Balance as of March 31, 2024 includes $345 million related to the Idorsia Transaction.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holders of Viatris Inc. common stock by the weighted average number of shares outstanding during the period. Diluted earnings per share is computed by dividing net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earnings per share attributable to Viatris Inc. are calculated as follows:</w:t>
      </w:r>
    </w:p>
    <w:p>
      <w:pPr>
        <w:spacing w:after="0" w:line="13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attributable to Viatris Inc. common shareholders (numerator):</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attributable to Viatris Inc. common shareholders (numerator):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Additional stock awards and Restricted Stock Awards were outstanding during the three months ended March 31, 2024 and 2023, but were not included in the computation of diluted earnings per share for each respective period because the effect would be anti-dilutive. Excluded shares at March 31, 2024 also include certain share-based compensation awards and restricted shares whose performance conditions had not been fully met. Such excluded shares and anti-dilutive awards represented 7.9 million shares and 13.9 million shares for the three months ended March 31, 2024 and 2023, respectively.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paid a quarterly dividend of $0.12 per share on the Company’s issued and outstanding common stock on March 18, 2024. On May 6, 2024, the Company’s Board of Directors declared a quarterly cash dividend of $0.12 per share on the Company’s issued and outstanding common stock, which will be payable on June 14, 2024 to shareholders of record as of the close of business on May 24, 2024.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March 31, 2024 and 2023, the Company repurchased approximately 19.2 million shares of common stock at a cost of approximately $250 million and approximately 21.2 million shares of common stock at a cost of approximately $250 million, respectively, under the program. As of March 31, 2024, the Company had repurchased a total of $500 million in shares under the program. The share repurchase program does not obligate the Company to acquire any particular amount of common stock.</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40" w:type="dxa"/>
            <w:vAlign w:val="bottom"/>
          </w:tcPr>
          <w:p>
            <w:pPr>
              <w:spacing w:after="0"/>
              <w:rPr>
                <w:sz w:val="16"/>
                <w:szCs w:val="16"/>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JANZ </w:t>
            </w:r>
            <w:r>
              <w:rPr>
                <w:rFonts w:ascii="Times New Roman" w:cs="Times New Roman" w:eastAsia="Times New Roman" w:hAnsi="Times New Roman"/>
                <w:sz w:val="18"/>
                <w:szCs w:val="18"/>
                <w:b w:val="1"/>
                <w:bCs w:val="1"/>
                <w:color w:val="auto"/>
                <w:vertAlign w:val="superscript"/>
              </w:rPr>
              <w:t>(2)</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Markets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59"/>
              <w:spacing w:after="0"/>
              <w:rPr>
                <w:sz w:val="20"/>
                <w:szCs w:val="20"/>
                <w:color w:val="auto"/>
              </w:rPr>
            </w:pPr>
            <w:r>
              <w:rPr>
                <w:rFonts w:ascii="Times New Roman" w:cs="Times New Roman" w:eastAsia="Times New Roman" w:hAnsi="Times New Roman"/>
                <w:sz w:val="9"/>
                <w:szCs w:val="9"/>
                <w:b w:val="1"/>
                <w:bCs w:val="1"/>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9,867.1</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9,693.5</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7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March 31, 2024 and December 31, 2023 include an accumulated impairment loss of $929.0 million.</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March 31, 2024 and December 31, 2023 include an accumulated impairment loss of $30.0 million.</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March 31, 2024 and December 31, 2023 include an accumulated impairment loss of $124.0 million.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March 31, 2024 and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Book Value</w:t>
            </w: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15,690.8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19,133.7</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15,316.4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19,181.1</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amortizable intangible assets. Other intangible assets consist principally of customer lists and contractual rights.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the three months ended March 31, 2024, the Company recorded IPR&amp;D of approximately $675.0 million as part of the Idorsia Transaction.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for additional information.</w:t>
      </w:r>
    </w:p>
    <w:p>
      <w:pPr>
        <w:spacing w:after="0" w:line="23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and intangible asset disposal &amp; impairment charges (which are included as a component of amortization expense) are classified primarily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and were as follows for the three months ended March 31, 2024 and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 amortization expense (including disposal &amp; impairment charges)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2023, the Company recognized an intangible asset charge of approximately $32.0 million, which was recorded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 of operations, to write down the disposal group to fair value, less cost to sell, related to our commercialization rights in the Upjohn Distributor Markets, which are classified as held for sale.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 amortization expense over the remainder of 2024 and for the years ending December 31, 2025 through 2028 is estimated to be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principal amounts of the Company’s outstanding Euro and Yen borrowings and the notional amounts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 and Yen borrowings designated as net investment hedges: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Notional Amount Designated as a Net</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Investment Hedge</w:t>
            </w:r>
          </w:p>
        </w:tc>
        <w:tc>
          <w:tcPr>
            <w:tcW w:w="0" w:type="dxa"/>
            <w:vAlign w:val="bottom"/>
          </w:tcPr>
          <w:p>
            <w:pPr>
              <w:spacing w:after="0"/>
              <w:rPr>
                <w:sz w:val="1"/>
                <w:szCs w:val="1"/>
                <w:color w:val="auto"/>
              </w:rPr>
            </w:pPr>
          </w:p>
        </w:tc>
      </w:tr>
      <w:tr>
        <w:trPr>
          <w:trHeight w:val="147"/>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0" w:type="dxa"/>
            <w:vAlign w:val="bottom"/>
          </w:tcPr>
          <w:p>
            <w:pPr>
              <w:spacing w:after="0"/>
              <w:rPr>
                <w:sz w:val="12"/>
                <w:szCs w:val="12"/>
                <w:color w:val="auto"/>
              </w:rPr>
            </w:pPr>
          </w:p>
        </w:tc>
        <w:tc>
          <w:tcPr>
            <w:tcW w:w="124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jc w:val="right"/>
              <w:ind w:right="133"/>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160" w:type="dxa"/>
            <w:vAlign w:val="bottom"/>
            <w:gridSpan w:val="3"/>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2.250%</w:t>
            </w:r>
          </w:p>
        </w:tc>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Senior Notes due 2024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Senior Notes due 2024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2.125%</w:t>
            </w: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Senior Notes due 2025</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1.362%</w:t>
            </w: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Senior Notes due 2027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3.125%</w:t>
            </w: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Senior Notes due 2028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1.908%</w:t>
            </w: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Senior Notes due 2032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9"/>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7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Euro Total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Yen</w:t>
            </w: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YEN Term Loan</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7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Yen Total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At March 31, 2024, the principal amount of the Company’s outstanding Yen borrowings and the notional amount of the Yen borrowings designated as net investment hedges was $264.3 million.</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executed fixed-rate cross-currency interest rate swaps with notional amounts totaling Japanese Yen 14.6 billion with settlement dates through 2026. The transactions hedge a portion of the Company’s net investment in certain Yen-functional currency subsidiaries. All changes in the fair value of this derivative instrument, which is designated as a net investment hedge, are marked-to-market using the current spot exchange rate as of the end of the period. The portion of this change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executed foreign currency forward contracts with notional amounts totaling Euro 500 million with settlement dates in 2024. The transactions hedge a portion of the Company’s net investment in certain Euro functional currency subsidiaries. The contracts have been designated as a net investment hedge.</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Company executed fixed-rate cross-currency interest rate swaps with notional amounts totaling Euro 500 million with settlement dates through 2026. The transactions hedge a portion of the Company’s net investment in certain Euro-functional currency subsidiaries. All changes in the fair value of this derivative instrument, which is designated as a net investment hedge, are marked-to-market using the current spot exchange rate as of the end of the period. The portion of this change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 Hedging Relationships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classification and fair values of derivative instruments in our condensed consolidated balance sheets: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780" w:type="dxa"/>
            <w:vAlign w:val="bottom"/>
            <w:tcBorders>
              <w:top w:val="single" w:sz="8" w:color="auto"/>
              <w:bottom w:val="single" w:sz="8" w:color="auto"/>
            </w:tcBorders>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4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4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2024 Fair</w:t>
            </w:r>
          </w:p>
        </w:tc>
        <w:tc>
          <w:tcPr>
            <w:tcW w:w="120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2024 Fair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6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2023 Fair Value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Fair Value</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160"/>
          </w:cols>
          <w:pgMar w:left="320" w:top="114" w:right="41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Foreign currency forward contracts</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&amp;</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1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-161925</wp:posOffset>
            </wp:positionV>
            <wp:extent cx="704659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65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-565150</wp:posOffset>
            </wp:positionV>
            <wp:extent cx="704659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3080" w:space="720"/>
            <w:col w:w="7360"/>
          </w:cols>
          <w:pgMar w:left="320" w:top="114"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20" w:type="dxa"/>
            <w:vAlign w:val="bottom"/>
            <w:shd w:val="clear" w:color="auto" w:fill="CCEEFF"/>
          </w:tcPr>
          <w:p>
            <w:pPr>
              <w:spacing w:after="0"/>
              <w:rPr>
                <w:sz w:val="18"/>
                <w:szCs w:val="18"/>
                <w:color w:val="auto"/>
              </w:rPr>
            </w:pPr>
          </w:p>
        </w:tc>
        <w:tc>
          <w:tcPr>
            <w:tcW w:w="2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&amp;</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3"/>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not designated as hedges</w:t>
            </w:r>
          </w:p>
        </w:tc>
        <w:tc>
          <w:tcPr>
            <w:tcW w:w="2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48"/>
        </w:trPr>
        <w:tc>
          <w:tcPr>
            <w:tcW w:w="3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gains/(losses) incurred to hedge or offset operational foreign exchange or interest rate risk: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168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 Financial Instruments in Cash Flow Hedging</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20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in Net Investment</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000" w:type="dxa"/>
            <w:vAlign w:val="bottom"/>
            <w:shd w:val="clear" w:color="auto" w:fill="CCEEFF"/>
          </w:tcPr>
          <w:p>
            <w:pPr>
              <w:ind w:left="40"/>
              <w:spacing w:after="0" w:line="23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 Financial Instruments in Net Investment</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Not Designated as</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00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8" w:lineRule="exact"/>
        <w:rPr>
          <w:sz w:val="20"/>
          <w:szCs w:val="20"/>
          <w:color w:val="auto"/>
        </w:rPr>
      </w:pPr>
    </w:p>
    <w:p>
      <w:pPr>
        <w:ind w:left="660" w:right="520" w:hanging="328"/>
        <w:spacing w:after="0" w:line="224"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March 31, 2024, the Company expects that approximately $3.0 million of pre-tax net gains on cash flow hedges will be reclassified from AOCE into earnings during the next twelve months.</w:t>
      </w:r>
    </w:p>
    <w:p>
      <w:pPr>
        <w:spacing w:after="0" w:line="34"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recognized in earnings on derivatives.</w:t>
      </w:r>
    </w:p>
    <w:p>
      <w:pPr>
        <w:spacing w:after="0" w:line="82" w:lineRule="exact"/>
        <w:rPr>
          <w:rFonts w:ascii="Times New Roman" w:cs="Times New Roman" w:eastAsia="Times New Roman" w:hAnsi="Times New Roman"/>
          <w:sz w:val="23"/>
          <w:szCs w:val="23"/>
          <w:color w:val="auto"/>
          <w:vertAlign w:val="superscript"/>
        </w:rPr>
      </w:pPr>
    </w:p>
    <w:p>
      <w:pPr>
        <w:ind w:left="640" w:hanging="308"/>
        <w:spacing w:after="0" w:line="207"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reclassified from AOCE into earnings.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0" w:lineRule="exact"/>
        <w:rPr>
          <w:sz w:val="20"/>
          <w:szCs w:val="20"/>
          <w:color w:val="auto"/>
        </w:rPr>
      </w:pPr>
    </w:p>
    <w:p>
      <w:pPr>
        <w:ind w:left="980" w:right="320" w:hanging="324"/>
        <w:spacing w:after="0" w:line="284" w:lineRule="auto"/>
        <w:tabs>
          <w:tab w:leader="none" w:pos="97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gives the highest priority to Level 1 inputs.</w:t>
      </w:r>
    </w:p>
    <w:p>
      <w:pPr>
        <w:spacing w:after="0" w:line="50"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117" w:lineRule="exact"/>
        <w:rPr>
          <w:rFonts w:ascii="Times New Roman" w:cs="Times New Roman" w:eastAsia="Times New Roman" w:hAnsi="Times New Roman"/>
          <w:sz w:val="18"/>
          <w:szCs w:val="18"/>
          <w:i w:val="1"/>
          <w:iCs w:val="1"/>
          <w:color w:val="auto"/>
        </w:rPr>
      </w:pPr>
    </w:p>
    <w:p>
      <w:pPr>
        <w:ind w:left="980" w:right="140" w:hanging="324"/>
        <w:spacing w:after="0" w:line="284" w:lineRule="auto"/>
        <w:tabs>
          <w:tab w:leader="none" w:pos="97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w:t>
      </w:r>
    </w:p>
    <w:p>
      <w:pPr>
        <w:spacing w:after="0" w:line="16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Exchange traded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spacing w:after="0" w:line="6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67" w:lineRule="auto"/>
        <w:tabs>
          <w:tab w:leader="none" w:pos="97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exchange traded funds </w:t>
      </w:r>
      <w:r>
        <w:rPr>
          <w:rFonts w:ascii="Times New Roman" w:cs="Times New Roman" w:eastAsia="Times New Roman" w:hAnsi="Times New Roman"/>
          <w:sz w:val="18"/>
          <w:szCs w:val="18"/>
          <w:color w:val="auto"/>
        </w:rPr>
        <w:t>— valued at the active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sources at the reporting date. Unrealized gains and losses attributable to changes in fair value are included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b w:val="1"/>
          <w:bCs w:val="1"/>
          <w:i w:val="1"/>
          <w:iCs w:val="1"/>
          <w:color w:val="auto"/>
        </w:rPr>
      </w:pPr>
    </w:p>
    <w:p>
      <w:pPr>
        <w:ind w:left="980" w:right="20" w:hanging="324"/>
        <w:spacing w:after="0" w:line="284" w:lineRule="auto"/>
        <w:tabs>
          <w:tab w:leader="none" w:pos="97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marketable securities </w:t>
      </w:r>
      <w:r>
        <w:rPr>
          <w:rFonts w:ascii="Times New Roman" w:cs="Times New Roman" w:eastAsia="Times New Roman" w:hAnsi="Times New Roman"/>
          <w:sz w:val="18"/>
          <w:szCs w:val="18"/>
          <w:color w:val="auto"/>
        </w:rPr>
        <w:t>— valued using quoted stock prices from public exchanges at the reporting date.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attributable to changes in fair value are included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w:t>
      </w:r>
    </w:p>
    <w:p>
      <w:pPr>
        <w:spacing w:after="0" w:line="50" w:lineRule="exact"/>
        <w:rPr>
          <w:rFonts w:ascii="Times New Roman" w:cs="Times New Roman" w:eastAsia="Times New Roman" w:hAnsi="Times New Roman"/>
          <w:sz w:val="18"/>
          <w:szCs w:val="18"/>
          <w:b w:val="1"/>
          <w:bCs w:val="1"/>
          <w:i w:val="1"/>
          <w:iCs w:val="1"/>
          <w:color w:val="auto"/>
        </w:rPr>
      </w:pPr>
    </w:p>
    <w:p>
      <w:pPr>
        <w:ind w:left="980" w:right="120" w:hanging="324"/>
        <w:spacing w:after="0" w:line="261" w:lineRule="auto"/>
        <w:tabs>
          <w:tab w:leader="none" w:pos="97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CCPS in Biocon Biologics </w:t>
      </w:r>
      <w:r>
        <w:rPr>
          <w:rFonts w:ascii="Times New Roman" w:cs="Times New Roman" w:eastAsia="Times New Roman" w:hAnsi="Times New Roman"/>
          <w:sz w:val="18"/>
          <w:szCs w:val="18"/>
          <w:color w:val="auto"/>
        </w:rPr>
        <w:t>— valued using a Monte Carlo simulation model using Level 3 inputs. The fair value of the CCPS is sensitive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changes in the forecasts of operating metrics, changes in volatility and discount rates, and share dilution. The Company elected the fair value option for the CCPS under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xml:space="preserve"> The fair value is reassessed quarterly and any change in the fair value estimate is recorded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net </w:t>
      </w:r>
      <w:r>
        <w:rPr>
          <w:rFonts w:ascii="Times New Roman" w:cs="Times New Roman" w:eastAsia="Times New Roman" w:hAnsi="Times New Roman"/>
          <w:sz w:val="18"/>
          <w:szCs w:val="18"/>
          <w:color w:val="auto"/>
        </w:rPr>
        <w:t>in the condensed consolidated statements of operations for that period.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980" w:right="400" w:hanging="324"/>
        <w:spacing w:after="0" w:line="267" w:lineRule="auto"/>
        <w:tabs>
          <w:tab w:leader="none" w:pos="97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65" w:lineRule="exact"/>
        <w:rPr>
          <w:rFonts w:ascii="Times New Roman" w:cs="Times New Roman" w:eastAsia="Times New Roman" w:hAnsi="Times New Roman"/>
          <w:sz w:val="18"/>
          <w:szCs w:val="18"/>
          <w:i w:val="1"/>
          <w:iCs w:val="1"/>
          <w:color w:val="auto"/>
        </w:rPr>
      </w:pPr>
    </w:p>
    <w:p>
      <w:pPr>
        <w:ind w:left="980" w:right="20" w:hanging="324"/>
        <w:spacing w:after="0" w:line="284"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derivative assets and liabilities </w:t>
      </w:r>
      <w:r>
        <w:rPr>
          <w:rFonts w:ascii="Times New Roman" w:cs="Times New Roman" w:eastAsia="Times New Roman" w:hAnsi="Times New Roman"/>
          <w:sz w:val="18"/>
          <w:szCs w:val="18"/>
          <w:color w:val="auto"/>
        </w:rPr>
        <w:t>— valued using quoted forward foreign exchange prices and spot rates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to these contracts are highly rated financial institutions.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2024, the Company had contingent consideration liability of $345 million related to the Idorsia Transaction. As of March 31, 2024 and December 31, 2023, the Company had a contingent consideration liability of $173.2 million and $177.6 million, respectively, related to the Respiratory Delivery Platform, and $30.0 million and $15.8 million, respectively, related to the Biocon Biologics Transaction.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March 31, 2024, a discount rate of 8.5%, and at December 31, 2023, discount rates ranging from 6.4% and 8.0%, were utilized in the valuations. Significant changes in unobservable inputs could result in material changes to the contingent consideration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activity in the Company’s fair value of contingent consideration from December 31, 2023 to March 31, 2024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Current Portion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Portion </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Fair value loss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current liabilities in the condensed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long-term obligations in the condensed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litigation settlements and other contingencies, net in the condensed consolidated statements of operations.</w:t>
      </w:r>
    </w:p>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other than the CCPS, any future transacted financial asset or liability will be evaluated for the fair value election.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Viatris’ 2023 Form 10-K.</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 and Note Securitization Facility</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$400 million Receivables Facility which expires in April 2025 and a $200 million Note Securitization Facility which expires in August 2024.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 securing these obligations remain as a component of accounts receivable, net,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1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46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Interest Rate as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of March 31,</w:t>
            </w:r>
          </w:p>
        </w:tc>
        <w:tc>
          <w:tcPr>
            <w:tcW w:w="11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446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9803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2.250 %</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1.023 %</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29"/>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bl>
      <w:tblPr>
        <w:tblLayout w:type="fixed"/>
        <w:tblInd w:w="0" w:type="dxa"/>
        <w:tblCellMar>
          <w:top w:w="0" w:type="dxa"/>
          <w:left w:w="0" w:type="dxa"/>
          <w:bottom w:w="0" w:type="dxa"/>
          <w:right w:w="0" w:type="dxa"/>
        </w:tblCellMar>
      </w:tblPr>
      <w:tr>
        <w:trPr>
          <w:trHeight w:val="252"/>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shd w:val="clear" w:color="auto" w:fill="CCEEFF"/>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2.125 %</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2,245.1</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1.362 %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2032</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1.908 %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2046</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2048</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r>
      <w:tr>
        <w:trPr>
          <w:trHeight w:val="23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YEN Term Loan Facility</w:t>
            </w:r>
          </w:p>
        </w:tc>
        <w:tc>
          <w:tcPr>
            <w:tcW w:w="38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Variable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29"/>
        </w:trPr>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35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16,188.1</w:t>
            </w:r>
          </w:p>
        </w:tc>
      </w:tr>
      <w:tr>
        <w:trPr>
          <w:trHeight w:val="21"/>
        </w:trPr>
        <w:tc>
          <w:tcPr>
            <w:tcW w:w="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00" w:hanging="168"/>
        <w:spacing w:after="0"/>
        <w:tabs>
          <w:tab w:leader="none" w:pos="5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originally issued by Mylan N.V.; now held by Utah Acquisition Sub Inc.</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Viatris Inc.</w:t>
      </w:r>
    </w:p>
    <w:p>
      <w:pPr>
        <w:spacing w:after="0" w:line="56" w:lineRule="exact"/>
        <w:rPr>
          <w:rFonts w:ascii="Times New Roman" w:cs="Times New Roman" w:eastAsia="Times New Roman" w:hAnsi="Times New Roman"/>
          <w:sz w:val="23"/>
          <w:szCs w:val="23"/>
          <w:color w:val="auto"/>
          <w:vertAlign w:val="superscript"/>
        </w:rPr>
      </w:pPr>
    </w:p>
    <w:p>
      <w:pPr>
        <w:ind w:left="720" w:hanging="388"/>
        <w:spacing w:after="0" w:line="194" w:lineRule="auto"/>
        <w:tabs>
          <w:tab w:leader="none" w:pos="7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Upjohn Finance B.V.</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the aggregate fair value of the Company’s outstanding notes was approximately $15.09 billion and $15.25 billion, respectively. The fair values of the outstanding notes were valued at quoted market prices from broker or dealer quotations and were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notional amount of outstanding long-term debt at March 31, 2024 were as follows for each of the periods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as reflected in the condensed consolidated balance sheets, is comprised of the following: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available-for-sale fixed income securities,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and prior service cost related to defined benefit plans,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gain (loss) on derivatives in cash flow hedging relationships, net of tax</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net investment hedging relationships,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accumulated other comprehensive loss, before tax, consist of the following, for the three months ended March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4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7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2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rPr>
              <w:t>Rate</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2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who evaluates the performance of its segments based on total revenues and segment profitability.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 and impairments of goodwill and long-lived assets;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Acquired IPR&amp;D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or net gains for litigation settlements and other contingencies;</w:t>
      </w:r>
    </w:p>
    <w:p>
      <w:pPr>
        <w:spacing w:after="0" w:line="117" w:lineRule="exact"/>
        <w:rPr>
          <w:rFonts w:ascii="Times New Roman" w:cs="Times New Roman" w:eastAsia="Times New Roman" w:hAnsi="Times New Roman"/>
          <w:sz w:val="18"/>
          <w:szCs w:val="18"/>
          <w:color w:val="auto"/>
        </w:rPr>
      </w:pPr>
    </w:p>
    <w:p>
      <w:pPr>
        <w:ind w:left="660" w:right="60" w:firstLine="320"/>
        <w:spacing w:after="0" w:line="261" w:lineRule="auto"/>
        <w:tabs>
          <w:tab w:leader="none" w:pos="13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divestitures, and, as applicable, any associated transition activities.</w:t>
      </w:r>
    </w:p>
    <w:p>
      <w:pPr>
        <w:spacing w:after="0" w:line="72" w:lineRule="exact"/>
        <w:rPr>
          <w:sz w:val="20"/>
          <w:szCs w:val="20"/>
          <w:color w:val="auto"/>
        </w:rPr>
      </w:pPr>
    </w:p>
    <w:p>
      <w:pPr>
        <w:ind w:left="660" w:right="20" w:firstLine="320"/>
        <w:spacing w:after="0" w:line="258" w:lineRule="auto"/>
        <w:tabs>
          <w:tab w:leader="none" w:pos="1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report depreciation expense, total assets and capital expenditures by segment, as such information is not used by the chief operating decision maker.</w:t>
      </w:r>
    </w:p>
    <w:p>
      <w:pPr>
        <w:spacing w:after="0" w:line="160"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2023 Form 10-K.</w:t>
      </w:r>
    </w:p>
    <w:p>
      <w:pPr>
        <w:spacing w:after="0" w:line="16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Segment Profitability</w:t>
            </w:r>
          </w:p>
        </w:tc>
      </w:tr>
      <w:tr>
        <w:trPr>
          <w:trHeight w:val="211"/>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Markets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JANZ</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Emerging Markets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disposal &amp; impairment charges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Globally managed research and development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&amp; other contingencies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0"/>
        </w:trPr>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Licensing and Other Partner Agreements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condensed consolidated balance sheets, except for obligations reflected as acquisition related contingent consideration, including those related to the Idorsia Transaction.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further discussion of contingent consideration.</w:t>
      </w:r>
    </w:p>
    <w:p>
      <w:pPr>
        <w:spacing w:after="0" w:line="16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Our potential maximum development milestones not accrued for at March 31, 2024 totaled approximately $409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estimate that the amounts that may be paid through the end of 2024 to be approximately $18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Mapi</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2018, the Company entered into an exclusive license and commercialization agreement with Mapi for the development and commercialization on a world-wide basis of GA Depot. Under the terms of the license and commercialization agreement, as of March 31, 2024, Mapi is eligible to receive regulatory approval and commercial launch milestone payments of up to $90.0 million. Additionally, upon commercial launch of GA Depot, Mapi is eligible to receive potential contingent payments, such as tiered royalties and tiered sales-based milestones.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entered into a letter agreement, as amended, with Mapi for the development and commercialization of certain additional products, which is subject to finalization pending the execution of a definitive agreement, which is expected in the first half of 2024. The Company made an initial upfront payment of $75.0 million which was accounted for as </w:t>
      </w:r>
      <w:r>
        <w:rPr>
          <w:rFonts w:ascii="Times New Roman" w:cs="Times New Roman" w:eastAsia="Times New Roman" w:hAnsi="Times New Roman"/>
          <w:sz w:val="18"/>
          <w:szCs w:val="18"/>
          <w:i w:val="1"/>
          <w:iCs w:val="1"/>
          <w:color w:val="auto"/>
        </w:rPr>
        <w:t>Acquired IPR&amp;D</w:t>
      </w:r>
      <w:r>
        <w:rPr>
          <w:rFonts w:ascii="Times New Roman" w:cs="Times New Roman" w:eastAsia="Times New Roman" w:hAnsi="Times New Roman"/>
          <w:sz w:val="18"/>
          <w:szCs w:val="18"/>
          <w:color w:val="auto"/>
        </w:rPr>
        <w:t xml:space="preserve"> expense in the consolidated statements of operations during the fourth quarter of 2023.</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was informed that Mapi received a Complete Response Letter (“CRL”) regarding the NDA for GA Depot 40 mg from the FDA. The Companies are reviewing the content of the CRL and will be determining the appropriate next steps.</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holds investments in preferred shares of Mapi that are accounted for at cost, less impairment, if any, adjusted for observable price changes,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During the second quarter of 2023, the Company made an additional investment of $30.0 million in preferred shares of Mapi. The preferred shares are convertible on a one-to-one basis into Mapi ordinary shares at Viatris’ option. The Company recognized a gain of $45.6 million during the second quarter of 2023 as a result of remeasuring our pre-existing equity interest in Mapi, which was recorded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condensed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condensed consolidated financial statements.</w:t>
      </w:r>
    </w:p>
    <w:p>
      <w:pPr>
        <w:spacing w:after="0" w:line="21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each of March 31, 2024 and December 31, 2023, our condensed consolidated balance sheets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$132.1 million related to our equity investments in Mapi, which included cumulative unrealized gains of $62.1 million, and within </w:t>
      </w:r>
      <w:r>
        <w:rPr>
          <w:rFonts w:ascii="Times New Roman" w:cs="Times New Roman" w:eastAsia="Times New Roman" w:hAnsi="Times New Roman"/>
          <w:sz w:val="18"/>
          <w:szCs w:val="18"/>
          <w:i w:val="1"/>
          <w:iCs w:val="1"/>
          <w:color w:val="auto"/>
        </w:rPr>
        <w:t>Prepaid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$52.5 million related to advances, including for initial orders of commercial launch supply of GA Depot under our supply agreement with Mapi.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maximum exposure to loss as a result of our involvement with Mapi is limited to the carrying value of the investments and advances.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other significant changes to our licensing and other partner agreements as disclosed in our 2023 Form 10-K.</w:t>
      </w:r>
    </w:p>
    <w:p>
      <w:pPr>
        <w:spacing w:after="0" w:line="200" w:lineRule="exact"/>
        <w:rPr>
          <w:sz w:val="20"/>
          <w:szCs w:val="20"/>
          <w:color w:val="auto"/>
        </w:rPr>
      </w:pPr>
    </w:p>
    <w:p>
      <w:pPr>
        <w:spacing w:after="0" w:line="264" w:lineRule="exact"/>
        <w:rPr>
          <w:sz w:val="20"/>
          <w:szCs w:val="20"/>
          <w:color w:val="auto"/>
        </w:rPr>
      </w:pPr>
    </w:p>
    <w:p>
      <w:pPr>
        <w:ind w:left="660" w:right="9140" w:hanging="652"/>
        <w:spacing w:after="0" w:line="532" w:lineRule="auto"/>
        <w:tabs>
          <w:tab w:leader="none" w:pos="331"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b w:val="1"/>
          <w:bCs w:val="1"/>
          <w:i w:val="1"/>
          <w:iCs w:val="1"/>
          <w:color w:val="auto"/>
        </w:rPr>
        <w:t>Legislative Updates</w:t>
      </w:r>
    </w:p>
    <w:p>
      <w:pPr>
        <w:spacing w:after="0" w:line="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of 2022 (the “Inflation Reduction Act”) into law, which includes a new corporate alternative minimum tax (“CAMT”) and an excise tax of 1% on the fair market value of net stock repurchases. Both provisions are effective for years after December 31, 2022. The Company reflected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applicable estimated excise tax in treasury stock as part of the cost basis of the stock repurchased and recorded a corresponding liability in </w:t>
      </w:r>
      <w:r>
        <w:rPr>
          <w:rFonts w:ascii="Times New Roman" w:cs="Times New Roman" w:eastAsia="Times New Roman" w:hAnsi="Times New Roman"/>
          <w:sz w:val="18"/>
          <w:szCs w:val="18"/>
          <w:i w:val="1"/>
          <w:iCs w:val="1"/>
          <w:color w:val="auto"/>
        </w:rPr>
        <w:t>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our condensed consolidated balance sheets as of March 31, 2024 and December 31, 2023. The share repurchase and authorization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disclosed in this Form 10-Q exclude the excise tax. The Company does not anticipate being subject to the 15% CAMT tax in either 2023 or 2024 based on enacted law and regulatory guidance; however, our CAMT status could change in the future, depending on new regulations or regulatory guidance issued by the U.S. Department of the Treasury.</w:t>
      </w:r>
    </w:p>
    <w:p>
      <w:pPr>
        <w:spacing w:after="0" w:line="21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many countries are actively considering or have proposed or enacted changes to their tax laws based on the Pillar Two Global Anti-Base Erosion Rules (“Pillar Two Rules”) proposed by the OECD.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the impact of the Pillar Two Rules in the countries that have enacted such rules effective January 1, 2024, is not material to our results of operations for the three months ended March 31, 2024. While the Company is monitoring developments and evaluating the potential impact on future periods, we do not expect Pillar Two Rules to have a significant impact on the 2024 financial results.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Examinations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ongoing IRS examinations. The years 2020 through 2022 are open years, with 2020 and 2021 under examination.</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A trial took place in October 2023 and on March 20, 2024, the Court issued a decision in favor of the Company. The tax authorities did not appeal the Court decision. The Company made a partial payment of $56.0 million in 2021 and $5.2 million in 2022 in order to stay potential interest and penalties resulting from this litigation, which will be refunded, subject to currency exchange fluctuations, in future periods.</w:t>
      </w:r>
    </w:p>
    <w:p>
      <w:pPr>
        <w:spacing w:after="0" w:line="21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6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2023 due to the terms of this agreement. The remaining issues are in the audit phase or are being challenged in the Indian tax courts.</w:t>
      </w:r>
    </w:p>
    <w:p>
      <w:pPr>
        <w:spacing w:after="0" w:line="21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$19.0 million. The Company plans to file a petition seeking review of the decision to the Supreme Administrative Court.</w:t>
      </w:r>
    </w:p>
    <w:p>
      <w:pPr>
        <w:spacing w:after="0" w:line="22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recorded a net reserve for uncertain tax positions of $281.8 million and $287.1 million, including interest and penalties, in connection with its international audits at March 31, 2024 and December 31, 2023, respectively. In connection with our international tax audits, it is possible that we will incur material losses above the amounts reserved.</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U.S. state taxing jurisdictions remain open from fiscal year 2013 through 2022, with several state audits currently in progress. The Company’s major international taxing jurisdictions remain open from 2012 through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Litigation</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costs are recorded as incurred and are classified in SG&amp;A in the Company’s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EpiPen® Auto-Injector Litigation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A trial is currently scheduled to begin in March 2026.</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A class certification motion is pending.</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total accrual of approximately $5.5 million related to these matters at March 31, 2024,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Pricing Matters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Department of Justice</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May 10, 2018, the Company received a civil investigative demand from the Civil Division of the DOJ seeking information relating to the pricing and sale of its generic drug products.</w:t>
      </w:r>
    </w:p>
    <w:p>
      <w:pPr>
        <w:spacing w:after="0" w:line="162"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We have fully cooperated with these investigations, which we believe are related to a broader industry-wide investigation of the generic pharmaceutical industry. We have not had contact from DOJ concerning the above-described subpoenas or civil investigative demand in several years.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Civil Litigation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and class certification motions are pending.</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Attorneys General Litigation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forty-four states, the District of Columbia and the Commonwealth of Puerto Rico. The Company is alleged to have engaged in anticompetitive conduct with respect to four generic drug products. The amended complaint also includes claims asserted by attorneys general of thirty-four states and the Commonwealth of Puerto Rico against certain individuals, including the Company’s former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forty-five states, certain territories and the District of Columbia. The amended complaint also includes claims asserted by attorneys general of forty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was transferred to the aforementioned MDL proceeding in the EDPA.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forty-four states, certain territories and the District of Columbia.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 This lawsuit was transferred to the aforementioned MDL proceeding in the EDPA and was ordered to proceed as a bellwether.</w:t>
      </w:r>
    </w:p>
    <w:p>
      <w:pPr>
        <w:spacing w:after="0" w:line="216"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On January 31, 2024, the United States Judicial Panel on Multidistrict Litigation granted the Attorneys Generals’ motion to remand the aforementioned complaints to the U.S. District Court for the District of Connecticut. The U.S. Court of Appeals for the Third Circuit denied the Defendants’ challenge to remand and the aforementioned complaints have been transferred to the U.S. District Court for the District of Connecticut.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Related Litigation</w:t>
      </w:r>
    </w:p>
    <w:p>
      <w:pPr>
        <w:spacing w:after="0" w:line="229"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7"/>
          <w:szCs w:val="17"/>
          <w:color w:val="auto"/>
        </w:rPr>
        <w:t>Purported class action complaints were filed in October 2016 against Mylan N.V. and Mylan Inc. (collectively, for the purposes of this paragraph,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(“SDNY Class Action Litigation”). The complaints alleged that defendants made false or misleading statements and omissions of purportedly material fact, in violation of federal securities laws, in connection with disclosures relating to the classification of their EpiPen®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203"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w:t>
      </w:r>
    </w:p>
    <w:p>
      <w:pPr>
        <w:ind w:right="40"/>
        <w:spacing w:after="0" w:line="255" w:lineRule="auto"/>
        <w:rPr>
          <w:sz w:val="20"/>
          <w:szCs w:val="20"/>
          <w:color w:val="auto"/>
        </w:rPr>
      </w:pPr>
      <w:r>
        <w:rPr>
          <w:rFonts w:ascii="Times New Roman" w:cs="Times New Roman" w:eastAsia="Times New Roman" w:hAnsi="Times New Roman"/>
          <w:sz w:val="18"/>
          <w:szCs w:val="18"/>
          <w:color w:val="auto"/>
        </w:rPr>
        <w:t>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March 30, 2023, the Court dismissed all of Plaintiffs’ claims by granting Defendants’ motion for summary judgment and denying Plaintiffs’ cross-motion for partial summary judgment. Plaintiffs’ appeal to the U.S. Court of Appeals for the Second Circuit was rejected and the SDNY’s decision dismissing Plaintiffs’ claims was affirmed. Plaintiffs’ petition for rehearing before a full panel of the Second Circuit is pending.</w:t>
      </w: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30, 2017, a similar lawsuit was filed in the Tel Aviv District Court (Economic Division) in Israel (“Israel Litigation”), which had been stayed pending a decision in the SDNY Class Action Litigation. The Israel Litigation was dismissed by the Court due to lack of activity and may be refiled.</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2020, the Abu Dhabi Investment Authority filed a complaint against Mylan in the SDNY asserting allegations pertaining to EpiPen® Auto-Injector and certain generic drugs under the federal securities laws (“ADIA Litigation”) that overlap with those asserted in the SDNY Class Action Litigation. The complaint filed in the ADIA Litigation seeks monetary damages as well as the plaintiff’s fees and costs.</w:t>
      </w:r>
    </w:p>
    <w:p>
      <w:pPr>
        <w:spacing w:after="0" w:line="20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 securities of Mylan N.V. (“WDPA Mylan N.V. Class Action Litigation”). The amended complaint alleges that defendants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2023, the Court dismissed 45 of the 46 challenged statements. The complaint seeks monetary damages, as well as the plaintiff’s fees and costs.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asserts claims which are based on allegations that are similar to those in the SDNY Class Action Litigation and WDPA Mylan N.V. Class Action Litigation. Plaintiffs seek compensatory damages, costs and expenses and attorneys’ fees.</w:t>
      </w:r>
    </w:p>
    <w:p>
      <w:pPr>
        <w:spacing w:after="0" w:line="21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 A settlement has been reached to fully resolve this matter, subject to court approval.</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w:t>
      </w:r>
    </w:p>
    <w:p>
      <w:pPr>
        <w:spacing w:after="0" w:line="21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Opioids</w:t>
      </w:r>
    </w:p>
    <w:p>
      <w:pPr>
        <w:spacing w:after="0" w:line="229" w:lineRule="exact"/>
        <w:rPr>
          <w:sz w:val="20"/>
          <w:szCs w:val="20"/>
          <w:color w:val="auto"/>
        </w:rPr>
      </w:pPr>
    </w:p>
    <w:p>
      <w:pPr>
        <w:jc w:val="both"/>
        <w:ind w:right="360" w:firstLine="648"/>
        <w:spacing w:after="0" w:line="281" w:lineRule="auto"/>
        <w:rPr>
          <w:sz w:val="20"/>
          <w:szCs w:val="20"/>
          <w:color w:val="auto"/>
        </w:rPr>
      </w:pPr>
      <w:r>
        <w:rPr>
          <w:rFonts w:ascii="Times New Roman" w:cs="Times New Roman" w:eastAsia="Times New Roman" w:hAnsi="Times New Roman"/>
          <w:sz w:val="17"/>
          <w:szCs w:val="17"/>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64"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January 13, 2023, the Company received a civil subpoena from the Attorney General of the State of New York seeking information relating to opioids manufactured, marketed, or sold by the Company and related subject matter. A similar subpoena was received in January 2024 from the Attorney General of the State of Alaska. The Company is fully cooperating with these subpoena requests.</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accrued $150.7 million in connection with the possible resolution of certain of these matters at March 31, 2024, which is included in other current liabilities in the condensed consolidated balance sheets. Although it 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Citalopram</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spacing w:after="0" w:line="2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€12.2 million as of March 31, 2024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76"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Company has accrued approximately $65.3 million as of March 31, 2024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Nitrosamines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The Company has also received requests to indemnify purchasers of the Company’s API and/or finished dose forms of these products. The original master complaints concerning ranitidine were dismissed on December 31, 2020. The end-payor plaintiff immediately appealed to the U.S. Court of</w:t>
      </w:r>
    </w:p>
    <w:p>
      <w:pPr>
        <w:spacing w:after="0" w:line="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Lipitor</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State court proceedings remain pending in Missouri and New York.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94"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has approximately $5.1 million accrued related to its intellectual property matters at March 31, 2024. It is reasonably possible that we may incur additional losses and fees but we cannot estimate a range of such reasonably possible losses or legal fees related to these claims at this time.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Yupelri</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w:t>
      </w:r>
    </w:p>
    <w:p>
      <w:pPr>
        <w:spacing w:after="0" w:line="1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by the generic companies. The actions filed in Delaware and North Carolina have been dismissed and the actions will proceed in New Jersey. The Company has entered into settlement agreements with Teva, Accord, Orbicular, and Lupin granting licenses to commercialize their generic versions of Yupelri® in April 2039 or earlier depending on certain circumstances. Three ANDA filers remain in the litigation.</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Tyrvaya</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In March 2024, Oyster Point filed an amended complaint asserting infringement with respect to four additional patents that were recently listed in the Orange Book for Tyrvaya® and also have expiration dates in October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Amitiza</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In April 2024, Sawai filed challenges with the JPO with respect to the 12µg strength, asserting invalidity of patent term extensions of three additional patents expiring in August 2027, November 2027, and December 2028, and challenged the validity of the August 2027 patent itself.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including commercial, contractual, employment, or other similar matters that are considered normal to its business. The Company has approximately $6.5 million accrued related to these various other legal proceedings at March 31,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discussion and analysis addresses material changes in the financial condition and results of operations of Viatris Inc. and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subsidiaries for the periods presented. Unless context requires otherwise, the “Company,” “Viatris,” “our” or “we” refer to Viatris Inc. and its subsidiaries.</w:t>
      </w:r>
    </w:p>
    <w:p>
      <w:pPr>
        <w:spacing w:after="0" w:line="21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2023 Form 10-K, the unaudited interim financial statements and related Notes included in Part I — Item 1 of this Form 10-Q and our other SEC filings and public disclosures. The interim results of operations and comprehensive loss for the three months ended March 31, 2024, and cash flows for the three months ended March 31, 2024 are not necessarily indicative of the results to be expected for the full fiscal year or any other future period.</w:t>
      </w:r>
    </w:p>
    <w:p>
      <w:pPr>
        <w:spacing w:after="0" w:line="17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This Form 10-Q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and announced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2" w:lineRule="exact"/>
        <w:rPr>
          <w:sz w:val="20"/>
          <w:szCs w:val="20"/>
          <w:color w:val="auto"/>
        </w:rPr>
      </w:pPr>
    </w:p>
    <w:p>
      <w:pPr>
        <w:ind w:left="660" w:right="280" w:hanging="328"/>
        <w:spacing w:after="0" w:line="23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w:t>
      </w:r>
    </w:p>
    <w:p>
      <w:pPr>
        <w:ind w:left="660" w:right="160" w:hanging="328"/>
        <w:spacing w:after="0" w:line="22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w:t>
      </w:r>
    </w:p>
    <w:p>
      <w:pPr>
        <w:jc w:val="both"/>
        <w:ind w:left="660" w:right="500" w:hanging="328"/>
        <w:spacing w:after="0" w:line="22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previously announced divestitures that have not been consummated, including the divestiture of substantially all of our OTC Business, such divestitures not being completed on the expected timelines or at all and the risk that the conditions set forth in the definitive agreements with respect to such divestitures will not be satisfied or waived;</w:t>
      </w:r>
    </w:p>
    <w:p>
      <w:pPr>
        <w:ind w:left="660" w:right="10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previously announced divestitures, failure to realize the total transaction values for the divestitures and/or the expected proceeds for any or all such divestitures, including as a result of any purchase price adjustment or a failure to achieve any conditions to the payment of any contingent consideration;</w:t>
      </w:r>
    </w:p>
    <w:p>
      <w:pPr>
        <w:ind w:left="660" w:right="32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or impairment charges or other losses related to the divestiture or sale of businesses or assets (including but not limited to announced divestitures that have not yet been consummated);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ind w:left="660" w:right="20" w:hanging="328"/>
        <w:spacing w:after="0" w:line="23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motivate and retain key personnel;</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ind w:left="660" w:right="70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 including but not limited to “at-risk launches”;</w:t>
      </w:r>
    </w:p>
    <w:p>
      <w:pPr>
        <w:ind w:left="660" w:right="68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spacing w:after="0" w:line="1" w:lineRule="exact"/>
        <w:rPr>
          <w:rFonts w:ascii="Times New Roman" w:cs="Times New Roman" w:eastAsia="Times New Roman" w:hAnsi="Times New Roman"/>
          <w:sz w:val="18"/>
          <w:szCs w:val="18"/>
          <w:color w:val="auto"/>
        </w:rPr>
      </w:pPr>
    </w:p>
    <w:p>
      <w:pPr>
        <w:ind w:left="660" w:right="28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30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IT systems;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ind w:left="660" w:right="560" w:hanging="328"/>
        <w:spacing w:after="0" w:line="21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changes in the Company’s or its partners’ customer and supplier relationships and customer purchasing patterns, including customer loss and business disruption being greater than expected following an acquisition or divestiture;</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ind w:left="660" w:right="40" w:hanging="328"/>
        <w:spacing w:after="0" w:line="22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inflation rates and global exchange rates; and</w:t>
      </w:r>
    </w:p>
    <w:p>
      <w:pPr>
        <w:spacing w:after="0" w:line="1" w:lineRule="exact"/>
        <w:rPr>
          <w:rFonts w:ascii="Times New Roman" w:cs="Times New Roman" w:eastAsia="Times New Roman" w:hAnsi="Times New Roman"/>
          <w:sz w:val="18"/>
          <w:szCs w:val="18"/>
          <w:color w:val="auto"/>
        </w:rPr>
      </w:pPr>
    </w:p>
    <w:p>
      <w:pPr>
        <w:ind w:left="660" w:right="280" w:hanging="328"/>
        <w:spacing w:after="0" w:line="23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2023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Viatris is a global healthcare company which we believe is uniquely positioned to bridge the traditional divide between generics and brands, combining the best of both to more holistically address healthcare needs globally. With a mission to empower people worldwide to live healthier at every stage of life, Viatris provides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Viatris’ executive management team is focused on ensuring that the Company is optimally structured and efficiently resourced to deliver sustainable value to patients, shareholders, customers and other key stakeholders.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is comprised of approved molecules across a wide range of key therapeutic areas, including globally recognized iconic and key brands and generics, including complex products. Following the expected imminent closing of the API divestiture, the Company will operate approximately 30 manufacturing sites worldwide that produce oral solid doses, injectables, complex dosage forms and APIs, with a global workforce of approximately 33,000. As discussed below, Viatris has entered into certain transactions, including the Pending Announced Divestitures. Viatris is headquartered in the U.S., with global centers in Pittsburgh, Pennsylvania, Shanghai, China and Hyderabad, India.</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Market and Industry Factors</w:t>
      </w:r>
    </w:p>
    <w:p>
      <w:pPr>
        <w:spacing w:after="0" w:line="227"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4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process of obtaining regulatory approval to manufacture and market new branded and generic pharmaceutical products is rigorous, time consuming, costly, and inherently unpredictable. Complex products are more difficult, costly and time-consuming to receive regulatory approval for and bring to market.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spacing w:after="0" w:line="197" w:lineRule="exact"/>
        <w:rPr>
          <w:sz w:val="20"/>
          <w:szCs w:val="20"/>
          <w:color w:val="auto"/>
        </w:rPr>
      </w:pPr>
    </w:p>
    <w:p>
      <w:pPr>
        <w:ind w:right="260" w:firstLine="648"/>
        <w:spacing w:after="0" w:line="241" w:lineRule="auto"/>
        <w:rPr>
          <w:sz w:val="20"/>
          <w:szCs w:val="20"/>
          <w:color w:val="auto"/>
        </w:rPr>
      </w:pPr>
      <w:r>
        <w:rPr>
          <w:rFonts w:ascii="Times New Roman" w:cs="Times New Roman" w:eastAsia="Times New Roman" w:hAnsi="Times New Roman"/>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9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depending on certain factors – including decisions by Japanese regulatory and/or patent authorities – generic entry may occur for Amitiza® 24 μg in Japan prior to one of the patents relevant to Amitiza® expiring in April 2025.</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spacing w:after="0" w:line="183"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and staffing challenges and other economic considerations, supply chain disruptions, foreign currency exchange fluctuations, public health epidemics, changes in intellectual property legal protections and other regulatory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Idorsia Acquisition</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March 15, 2024, the Company acquired the development programs and certain personnel related to selatogrel and cenerimod from Idorsia in exchange for an upfront payment to Idorsia of $350 million, potential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contributing to the development costs for both programs. Viatris has worldwide commercialization rights for both selatogrel and cenerimod (excluding, for cenerimod only, Japan, South Korea and certain countries in the Asia-Pacific region). A joint development committee is overseeing the development of the ongoing Phase 3 programs through regulatory approval. The agreements also provide Viatris a right of first refusal and a right of first negotiation for certain other assets in Idorsia’s pipeline. The transaction expands our portfolio of innovative assets by adding two Phase 3 assets and combines our financial strength and worldwide operational infrastructure with Idorsia’s proven, highly-productive drug development team and innovation engine.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in Part I, Item 1 of this Form 10-Q for more information.</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divestiture of the women’s healthcare business is primarily related to our oral and injectable contraceptives and does not include all of our women’s healthcare related products; as an example, our Xulane® product in the U.S. is excluded. The transaction to divest the Company’s rights to two women’s healthcare products in certain countries closed in December 2023 (other than in the U.K., which remains subject to regulatory approval), and the divestiture of the women’s healthcare business closed in March 2024. The divestitures of the commercialization rights in certain of the Upjohn Distributor Markets closed during 2023 and the divestiture of our API business in India is expected to close imminently. Additionally, in January 2024, we exercised our option to accept the offer in the OTC Transaction and entered into a definitive transaction agreement with respect to such OTC Transaction. The Company currently expects the OTC Transaction to close by mid-year 2024. The transactions that have not yet closed remain subject to regulatory approvals, receipt of required consents and other closing conditions.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in Part I, Item 1 of this Form 10-Q for more information.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March 31, 2024 and 2023, the Company repurchased approximately 19.2 million shares of common stock at a cost of approximately $250 million and approximately 21.2 million shares of common stock at a cost of approximately $250 million, respectively, under the program. As of March 31, 2024, the Company had repurchased a total of $500 million in shares under the program.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is a summary of the Company’s financial results for the three months ended March 31, 2024 compared to the prior year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Analysis of Financial Condition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Results of Operations - Use of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2024 Constant</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Impact </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19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08"/>
        </w:trPr>
        <w:tc>
          <w:tcPr>
            <w:tcW w:w="3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2024, other revenues in Developed Markets, JANZ, and Emerging Markets were approximately $7.2 million, $0.3 million, and $2.4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Viatris reported total revenues of $3.66 billion, compared to $3.73 billion for the comparable prior year period, representing a decrease of $65.7 million, or 2%. Total revenues include both net sales and other revenues from third parties. Net sales for the current quarter were $3.65 billion, compared to $3.72 billion for the comparable prior year period, representing a decrease of $65.6 million, or 2%. Other revenues for the current quarter were $9.9 million, compared to $10.0 million for the comparable prior year period.</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decrease in net sales was the result of the unfavorable impact of foreign currency translation of approximately $77.1 million, or 2%, primarily reflecting changes in the U.S. Dollar as compared to the currencies of subsidiaries in Japan, China, and countries in Emerging Markets. Additionally, net sales decreased by approximately $45.7 million or 1% due to the inclusion of net sales in the prior year period related to divestitures that have closed during 2023 and 2024. On a constant currency basis, net sales from the remaining business increased by approximately $57.2 million, or 2%, for the three months ended March 31, 2024 compared to the prior year period. The increase was driven by new product sales, primarily in the U.S., of approximately $154.5 million. New product sales include new products launched in 2024 and the carryover impact of new products, including business development, launched within the last twelve months. This increase was partially offset by base business erosion of approximately $97.3 million.</w:t>
      </w:r>
    </w:p>
    <w:p>
      <w:pPr>
        <w:spacing w:after="0" w:line="216"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34% and 35% for the three months ended March 31, 2024 and 2023,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5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Net sales from Developed Markets were essentially flat during the three months ended March 31, 2024 when compared to the prior year period. The favorable impact of foreign currency translation was approximately $14.1 million, or 1%. Net sales decreased by approximately $15.0 million or 1% due to the inclusion of net sales in the prior year period related to divestitures that have closed during 2023 and 2024. Constant currency net sales from the remaining business were essentially flat when compared to the prior year period. New product sales, including Breyna™ in the U.S., combined with the stability of our existing product portfolio, helped to offset the anticipated lower net sales of certain existing products within the U.S., including EpiPen® Auto-Injector and Lyrica®, as a result of lower pricing and volumes mainly due to unfavorable channel dynamics. Net sales within North America totaled approximately $897.9 million and net sales within Europe totaled approximately $1.27 billion.</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sales from Greater China decreased by $20.7 million or 4% for the three months ended March 31, 2024 when compared to the prior year period. This decrease was the result of the unfavorable impact of foreign currency translation of approximately $21.5 million, or 4%. Constant currency net sales were essentially flat when compared to the prior year period. Divestitures did not have a significant impact on the net sales for the current quarter.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sales from JANZ decreased by $24.4 million or 7% for the three months ended March 31, 2024 when compared to the prior year period. This decrease was the result of the unfavorable impact of foreign currency translation of approximately $30.8 million, or 9%. Constant currency net sales increased by approximately $6.5 million, or 2%, when compared to the prior year period, driven primarily by new product sales. This increase was partially offset by lower net sales of existing products mainly driven by lower pricing in Japan as a result of government price reductions and additional competition. Divestitures did not have a significant impact on the net sales for the current quarter.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sales from Emerging Markets decreased by $15.5 million or 2% for the three months ended March 31, 2024 when compared to the prior year period. This decrease was driven by the unfavorable impact of foreign currency translation of approximately $38.9 million, or 6%. In addition, net sales also decreased by approximately $30.6 million, or 5%, due to the inclusion of net sales in the prior year period related to divestitures that have closed during 2023 and 2024. Constant currency net sales from the remaining business increased by $54.0 million, or 8% when compared to the prior year period, primarily driven by higher volumes of existing products in certain Middle Eastern and Asian countries.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decreased from $2.19 billion for the three months ended March 31, 2023 to $2.16 billion for the three months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was primarily impacted by the decrease in net sales, including the impact of the divestitures that have closed during 2023 and 2024</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March 31, 2024 was $1.50 billion and gross margins were 41%. For the three months ended March 31, 2023, gross profit was $1.54 billion and gross margins were 41%. This change in gross profit is primarily related to the decrease in net sales and cost of sales. Adjusted gross margins were approximately 59% for the three months ended March 31, 2024, compared to approximately 60%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three months ended March 31, 2024 compared to the three months ended March 31, 2023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2,186.9</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1,478.2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2,154.8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2,250.9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three months ended March 31, 2024 was $199.7 million, compared to $182.9 million for the comparable prior year period, an increase of $16.8 million. This increase was primarily due to continued investment in our pipeline.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Acquired IPR&amp;D</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Acquired IPR&amp;D expense for the three months ended March 31, 2024 was $6.1 million. The current year period expense was primarily due to accrued milestones related to products under development. There was no acquired IPR&amp;D expense for the three months ended March 31,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SG&amp;A expense for the current quarter was $1.02 billion, compared to $958.9 million for the comparable prior year period, an increase of $58.6 million. The increase was primarily due to higher acquisition and divestiture-related costs of approximately $25.4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losses/(gains) recognized in litigation settlements and other contingencies, net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 (related to the Respiratory Delivery Platform)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72.0</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w w:val="98"/>
              </w:rPr>
              <w:t>(0.9)</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76.8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 Part I, Item 1 of this Form 10-Q for more information.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2024 totaled $138.4 million, compared to $147.0 million for the three months ended March 31, 2023, a decrease of $8.6 million primarily due to the impact of debt repayments.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includes gains and losses from divestitures of businesses, changes in the fair value of equity securities, foreign exchange, expense (income) related to post-employment benefit plans, TSA income, and interest and dividend income. Other income, net for the three months ended March 31, 2024 totaled $139.1 million, compared to $69.9 million for the three months ended March 31, 2023.</w:t>
      </w:r>
    </w:p>
    <w:p>
      <w:pPr>
        <w:spacing w:after="0" w:line="20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increase in other income, net was primarily driven by: (1) the gain in the current quarter of $80.8 million from the divestiture of the women’s healthcare business, which closed in March 2024; and (2) a gain in the current quarter of $46.9 million as a result of remeasuring the CCPS in Biocon Biologics to fair value. This was partially offset by: (1) a gain in the prior year period of approximately $18.9 million as a result of remeasuring our pre-existing 13.5% equity interest in Famy Life Sciences to fair value; and (2) lower TSA income of $32.3 million. The higher prior year period TSA income was primarily driven by the reimbursement for transition services provided to Biocon Biologics. Biocon Biologics had substantially exited all transition services with Viatris as of December 31, 2023. The costs related to the transition services are included in SG&amp;A and R&amp;D.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an income tax provision of $90.7 million, compared to $98.0 million for the comparable prior year period, a decrease of $7.3 million. The current year and prior year provisions were impacted by the levels of income and the changing mix at which it is earned in jurisdictions with differing tax rates. Also impacting the tax provision for the three months ended March 31, 2023 was a tax expense of $21.6 million related to an agreement with the Indian tax authorities in March 2023 in respect of the pricing of its international transactions.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EPS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on divestitures of businesses, restructuring related costs, impairment of long-lived assets, acquisition and divestiture-related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EBITDA, adjusted net earnings, and adjusted EPS include:</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Amortization and Other Related Items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Adjustments, Including Contingent Consideration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Acquisition and Divestiture-Related Costs and Other Special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related to restructuring, acquisition and divestiture-related activities and other actions are excluded from adjusted cost of sales,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adjusted net earnings, and adjusted EPS, as applicable. These amounts include items such as:</w:t>
      </w:r>
    </w:p>
    <w:p>
      <w:pPr>
        <w:spacing w:after="0" w:line="99" w:lineRule="exact"/>
        <w:rPr>
          <w:sz w:val="20"/>
          <w:szCs w:val="20"/>
          <w:color w:val="auto"/>
        </w:rPr>
      </w:pPr>
    </w:p>
    <w:p>
      <w:pPr>
        <w:ind w:left="980" w:right="56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13"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spacing w:after="0" w:line="2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divestitures, including impairments of held for sale assets; and</w:t>
      </w:r>
    </w:p>
    <w:p>
      <w:pPr>
        <w:spacing w:after="0" w:line="63"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related to uncertain tax positions are excluded from adjusted cost of sales, adjusted net earnings, and adjusted EPS. In addition, tax adjustments to adjusted earnings are recorded to present items on an after-tax basis consistent with the presentation of adjusted net earnings and adjusted EPS.</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Charges and gains related to legal matters, such as those discussed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are generally excluded from adjusted EBITDA, adjusted net earnings, and adjusted EPS. Normal, ongoing defense costs of the Company made in the normal course of our business are not excluded.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Earnings to Adjusted Net Earnings and U.S. GAAP EPS to Adjusted EPS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net earnings and diluted EPS as reported under U.S. GAAP, and adjusted net earnings and adjusted EPS for the periods shown follows:</w:t>
      </w:r>
    </w:p>
    <w:p>
      <w:pPr>
        <w:spacing w:after="0" w:line="61"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earnings and U.S. GAAP diluted EPS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Purchase accounting amortization (primarily included in cost of sales)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(primarily amortization of premiums and discounts on long term debt)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on divestitures of businesses (included in other income, net)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Acquisition and divestiture-related costs (primarily included in SG&amp;A) </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costs </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 items included in:</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the above items and other income tax related items </w:t>
            </w:r>
            <w:r>
              <w:rPr>
                <w:rFonts w:ascii="Times New Roman" w:cs="Times New Roman" w:eastAsia="Times New Roman" w:hAnsi="Times New Roman"/>
                <w:sz w:val="23"/>
                <w:szCs w:val="23"/>
                <w:color w:val="auto"/>
                <w:vertAlign w:val="superscript"/>
              </w:rPr>
              <w:t>(e)</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earnings and adjusted EPS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1,209.5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1,205.6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include the following:</w:t>
      </w:r>
    </w:p>
    <w:p>
      <w:pPr>
        <w:spacing w:after="0" w:line="63" w:lineRule="exact"/>
        <w:rPr>
          <w:sz w:val="20"/>
          <w:szCs w:val="20"/>
          <w:color w:val="auto"/>
        </w:rPr>
      </w:pPr>
    </w:p>
    <w:p>
      <w:pPr>
        <w:jc w:val="both"/>
        <w:ind w:left="660" w:hanging="328"/>
        <w:spacing w:after="0" w:line="239" w:lineRule="auto"/>
        <w:tabs>
          <w:tab w:leader="none" w:pos="65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2024, includes a pre-tax gain on the divestiture of the women’s healthcare business of approximately $80.8 million for the difference between the consideration received and the carrying value of the assets transferred (including an allocation of goodwill). Also includes a pre-tax charge related to the planned divestiture of the API business of approximately $10.4 million to write down the disposal group to fair value, less cost to sell.</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and divestiture-related costs consist primarily of transaction costs including legal and consulting fees and integration activities.</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5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2024, charges include approximately $4.0 million in cost of sales and approximately $15.6 million in SG&amp;A.</w:t>
      </w:r>
    </w:p>
    <w:p>
      <w:pPr>
        <w:spacing w:after="0" w:line="35"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2024, charges include incremental manufacturing variances at plants in the 2020 restructuring program of approximately $12.6 million.</w:t>
      </w:r>
    </w:p>
    <w:p>
      <w:pPr>
        <w:spacing w:after="0" w:line="6"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Earnings to EBITDA and Adjusted EBITDA</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Below is a reconciliation of U.S. GAAP net earnings to EBITDA and adjusted EBITDA for the three months ended March 31, 2024 compared to the prior year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earnings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adjustments: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9"/>
        </w:trPr>
        <w:tc>
          <w:tcPr>
            <w:tcW w:w="86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 (deduct) adjustments: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divestitures of businesses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acquisition and divestiture-related and other special items </w:t>
            </w:r>
            <w:r>
              <w:rPr>
                <w:rFonts w:ascii="Times New Roman" w:cs="Times New Roman" w:eastAsia="Times New Roman" w:hAnsi="Times New Roman"/>
                <w:sz w:val="23"/>
                <w:szCs w:val="23"/>
                <w:color w:val="auto"/>
                <w:vertAlign w:val="superscript"/>
              </w:rPr>
              <w:t>(c)</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premiums and discounts on long-term debt.</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purchase accounting related amortization.</w:t>
      </w:r>
    </w:p>
    <w:p>
      <w:pPr>
        <w:spacing w:after="0" w:line="56"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items detailed in the Reconciliation of U.S. GAAP Net Earnings to Adjusted Net Earnings.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net cash provided by operating activities, which was $614.6 million for the three months ended March 31, 2024.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There were no upfront and milestone payments in the prior year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$356.6 million to $614.6 million for the three months ended March 31, 2024, as compared to net cash provided by operating activities of $971.2 million for the three months ended March 31, 2023. Net cash provided by operating activities is derived from net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decrease in net cash provided by operating activities was principally due to lower operating earnings, including as a result of divestitures in 2023 and 2024, and the timing of cash payments and collections.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$154.3 million for the three months ended March 31, 2024, as compared to $749.5 million for the three months ended March 31, 2023, a decrease of $595.2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investing activities included the following:</w:t>
      </w:r>
    </w:p>
    <w:p>
      <w:pPr>
        <w:spacing w:after="0" w:line="56"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18"/>
          <w:szCs w:val="18"/>
          <w:color w:val="auto"/>
        </w:rPr>
        <w:t>proceeds from the sale of assets and businesses of $240.6 million related to the divestiture of the women’s healthcare business;</w:t>
      </w:r>
    </w:p>
    <w:p>
      <w:pPr>
        <w:spacing w:after="0" w:line="89" w:lineRule="exact"/>
        <w:rPr>
          <w:rFonts w:ascii="Times New Roman" w:cs="Times New Roman" w:eastAsia="Times New Roman" w:hAnsi="Times New Roman"/>
          <w:sz w:val="26"/>
          <w:szCs w:val="26"/>
          <w:b w:val="1"/>
          <w:bCs w:val="1"/>
          <w:i w:val="1"/>
          <w:iCs w:val="1"/>
          <w:color w:val="auto"/>
          <w:vertAlign w:val="superscript"/>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$350.0 million; and</w:t>
      </w:r>
    </w:p>
    <w:p>
      <w:pPr>
        <w:spacing w:after="0" w:line="117" w:lineRule="exact"/>
        <w:rPr>
          <w:rFonts w:ascii="Times New Roman" w:cs="Times New Roman" w:eastAsia="Times New Roman" w:hAnsi="Times New Roman"/>
          <w:sz w:val="18"/>
          <w:szCs w:val="18"/>
          <w:color w:val="auto"/>
        </w:rPr>
      </w:pPr>
    </w:p>
    <w:p>
      <w:pPr>
        <w:ind w:left="980" w:hanging="324"/>
        <w:spacing w:after="0" w:line="312" w:lineRule="auto"/>
        <w:tabs>
          <w:tab w:leader="none" w:pos="9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primarily for equipment and facilities, totaling approximately $49.8 million. While there can be no assurance that current expectations will be realized, capital expenditures for the 2024 calendar year are expected to be approximately $350 million to $450 million.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2023,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$667.7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$47.8 million.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$425.6 million for the three months ended March 31, 2024, as compared to $974.7 million for the three months ended March 31, 2023, a decrease of $549.1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$142.8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$6.3 million collected on behalf of other partners, including Biocon Biologics, which is included in Other items, net.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2023,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3.125% Senior Notes at maturity of approximately $750.0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short-term borrowings of $204.6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$143.8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$12.1 million collected on behalf of Biocon Biologics, which is included in Other items, net.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totaled $1.01 billion at March 31, 2024. The majority of our cash is invested in U.S. government money market funds.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Revolving Facility, Commercial Paper Program, Receivables Facility and Note Securitization Facility combined with cash to be generated from operations, to fund foreseeable cash needs without requiring the repatriation of non-U.S. cash.</w:t>
      </w:r>
    </w:p>
    <w:p>
      <w:pPr>
        <w:spacing w:after="0" w:line="21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access to $4.0 billion under the Revolving Facility which matures in July 2026. Up to $1.65 billion of the Revolving Facility may be used to support borrowings under our Commercial Paper Program. As of March 31, 2024, the Company did not have any borrowings outstanding under the Commercial Paper Program or the Revolving Facility.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$400 million Receivables Facility which expires in April 2025, and a $200 million Note Securitization Facility which expires in August 2024. As of March 31, 2024, the Company did not have any borrowings outstanding under the Receivables Facility or Note Securitization Facility.</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1.00%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$64.2 million and $30.8 million of accounts receivable as of March 31, 2024 and December 31, 2023 under these factoring arrangements, respectively. Additionally, in 2023, we entered into a similar arrangement for certain European countries. As of March 31, 2024 and December 31, 2023, we have assigned and derecognized approximately $285.6 million and $415.7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are now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dividends paid and declared and share repurchase program, refer to Note 9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in Part I, Item 1 of this Form 10-Q.</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previously discussed, on October 1, 2023, the Company announced certain divestiture-related transactions.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in Part I, Item 1 of this Form 10-Q for more information.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Long-term Debt Maturity</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our debt agreements and mandatory minimum repayments remaining on the outstanding notional amount of long-term debt at March 31, 2024,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Part I, Item 1 of this Form 10-Q.</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in compliance with its covenants at March 31, 2024 and expects to remain in compliance for the next twelve months.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Viatris Inc. is the issuer of the Registered Upjohn Notes, which are fully and unconditionally guaranteed on a senior unsecured basis by Mylan Inc., Mylan II B.V. and Utah Acquisition Sub Inc.</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Mylan Inc. is the issuer of the Mylan Inc. U.S. Dollar Notes, which are fully and unconditionally guaranteed on a senior unsecured basis by Mylan II B.V., Viatris Inc. and Utah Acquisition Sub Inc.</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spacing w:after="0" w:line="19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The following table presents unaudited summarized financial information of Viatris Inc., Mylan Inc., Utah Acquisition Sub Inc., and Mylan II B.V. on a combined basis as of and for the three months ended March 31, 2024 and as of and for the year ended December 31, 2023. All intercompany balances have been eliminated in consolidation. This unaudited combined summarized financial information is presented utilizing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76"/>
        </w:trPr>
        <w:tc>
          <w:tcPr>
            <w:tcW w:w="7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 and</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63,212.6</w:t>
            </w: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29,824.8</w:t>
            </w: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0" w:type="dxa"/>
            <w:vAlign w:val="bottom"/>
          </w:tcPr>
          <w:p>
            <w:pPr>
              <w:spacing w:after="0"/>
              <w:rPr>
                <w:sz w:val="1"/>
                <w:szCs w:val="1"/>
                <w:color w:val="auto"/>
              </w:rPr>
            </w:pPr>
          </w:p>
        </w:tc>
      </w:tr>
      <w:tr>
        <w:trPr>
          <w:trHeight w:val="524"/>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Summarized Income Statement Information</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of Viatris Inc., Mylan Inc., Utah Acquisition Sub Inc.</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4"/>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80" w:type="dxa"/>
            <w:vAlign w:val="bottom"/>
          </w:tcPr>
          <w:p>
            <w:pPr>
              <w:spacing w:after="0"/>
              <w:rPr>
                <w:sz w:val="17"/>
                <w:szCs w:val="17"/>
                <w:color w:val="auto"/>
              </w:rPr>
            </w:pPr>
          </w:p>
        </w:tc>
        <w:tc>
          <w:tcPr>
            <w:tcW w:w="1120" w:type="dxa"/>
            <w:vAlign w:val="bottom"/>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$246.3 million accrued for legal contingencies at March 31, 2024.</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Announced Divestitures, Viatris and the respective buyers have entered or will enter, at the closing of the respective transactions, into transition services and manufacturing and supply agreements pursuant to which the Company is providing or will provide services to the respective purchasers, substantially the same as we currently provide to the related businesses, generally for a period of up to 12 months, subject to potential extensions in certain circumstances. In addition, in connection with the OTC Transaction and the divestiture of our women’s healthcare business, we have agreed, at the closing of the respective transactions, to enter into distribution agreements for certain markets for a limited period of time. In connection with our API business divestiture, we have agreed to enter into a manufacturing and supply agreement pursuant to which we will purchase a significant amount of API from the purchaser in that transaction.</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market risk, see “Item 7A. Quantitative and Qualitative Disclosures about Market Risk” in Viatris’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March 31, 2024. Based upon that evaluation, the Principal Executive Officer and the Principal Financial Officer concluded that the Company’s disclosure controls and procedures were effective.</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changes in the Company’s internal control over financial reporting (“ICFR”) that occurred during the first quarter of 2024 that have materially affected, or are reasonably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For information regarding legal proceedings, refer to Note 17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in the accompanying Notes to interim financial statements in this 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Company’s risk factors from those disclosed in Viatris’ 2023 Form 10-K.</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u w:val="single" w:color="auto"/>
          <w:color w:val="auto"/>
        </w:rPr>
        <w:t>Viatris Inc.</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4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203"/>
        </w:trPr>
        <w:tc>
          <w:tcPr>
            <w:tcW w:w="1240" w:type="dxa"/>
            <w:vAlign w:val="bottom"/>
            <w:vMerge w:val="continue"/>
          </w:tcPr>
          <w:p>
            <w:pPr>
              <w:spacing w:after="0"/>
              <w:rPr>
                <w:sz w:val="17"/>
                <w:szCs w:val="17"/>
                <w:color w:val="auto"/>
              </w:rPr>
            </w:pPr>
          </w:p>
        </w:tc>
        <w:tc>
          <w:tcPr>
            <w:tcW w:w="2440" w:type="dxa"/>
            <w:vAlign w:val="bottom"/>
          </w:tcPr>
          <w:p>
            <w:pPr>
              <w:jc w:val="center"/>
              <w:ind w:left="628"/>
              <w:spacing w:after="0" w:line="202" w:lineRule="exact"/>
              <w:rPr>
                <w:sz w:val="20"/>
                <w:szCs w:val="20"/>
                <w:color w:val="auto"/>
              </w:rPr>
            </w:pPr>
            <w:r>
              <w:rPr>
                <w:rFonts w:ascii="Times New Roman" w:cs="Times New Roman" w:eastAsia="Times New Roman" w:hAnsi="Times New Roman"/>
                <w:sz w:val="14"/>
                <w:szCs w:val="14"/>
                <w:b w:val="1"/>
                <w:bCs w:val="1"/>
                <w:color w:val="auto"/>
                <w:w w:val="91"/>
              </w:rPr>
              <w:t xml:space="preserve">Purchased </w:t>
            </w:r>
            <w:r>
              <w:rPr>
                <w:rFonts w:ascii="Times New Roman" w:cs="Times New Roman" w:eastAsia="Times New Roman" w:hAnsi="Times New Roman"/>
                <w:sz w:val="18"/>
                <w:szCs w:val="18"/>
                <w:b w:val="1"/>
                <w:bCs w:val="1"/>
                <w:color w:val="auto"/>
                <w:w w:val="91"/>
                <w:vertAlign w:val="superscript"/>
              </w:rPr>
              <w:t>(a) (b)</w:t>
            </w:r>
          </w:p>
        </w:tc>
        <w:tc>
          <w:tcPr>
            <w:tcW w:w="1560" w:type="dxa"/>
            <w:vAlign w:val="bottom"/>
          </w:tcPr>
          <w:p>
            <w:pPr>
              <w:jc w:val="center"/>
              <w:ind w:left="68"/>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Share </w:t>
            </w:r>
            <w:r>
              <w:rPr>
                <w:rFonts w:ascii="Times New Roman" w:cs="Times New Roman" w:eastAsia="Times New Roman" w:hAnsi="Times New Roman"/>
                <w:sz w:val="18"/>
                <w:szCs w:val="18"/>
                <w:b w:val="1"/>
                <w:bCs w:val="1"/>
                <w:color w:val="auto"/>
                <w:w w:val="96"/>
                <w:vertAlign w:val="superscript"/>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p>
      <w:pPr>
        <w:spacing w:after="0" w:line="6" w:lineRule="exact"/>
        <w:rPr>
          <w:sz w:val="20"/>
          <w:szCs w:val="20"/>
          <w:color w:val="auto"/>
        </w:rPr>
      </w:pPr>
    </w:p>
    <w:p>
      <w:pPr>
        <w:ind w:firstLine="38"/>
        <w:spacing w:after="0" w:line="187" w:lineRule="auto"/>
        <w:rPr>
          <w:sz w:val="20"/>
          <w:szCs w:val="20"/>
          <w:color w:val="auto"/>
        </w:rPr>
      </w:pPr>
      <w:r>
        <w:rPr>
          <w:rFonts w:ascii="Times New Roman" w:cs="Times New Roman" w:eastAsia="Times New Roman" w:hAnsi="Times New Roman"/>
          <w:sz w:val="13"/>
          <w:szCs w:val="13"/>
          <w:b w:val="1"/>
          <w:bCs w:val="1"/>
          <w:color w:val="auto"/>
        </w:rPr>
        <w:t>Purchased as Part of Publicly Announced Plans or Programs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auto"/>
        </w:rPr>
        <w:t>(a) (b)</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Shares that May Yet Be Purchased Under the Plans or Programs </w:t>
      </w:r>
      <w:r>
        <w:rPr>
          <w:rFonts w:ascii="Times New Roman" w:cs="Times New Roman" w:eastAsia="Times New Roman" w:hAnsi="Times New Roman"/>
          <w:sz w:val="9"/>
          <w:szCs w:val="9"/>
          <w:b w:val="1"/>
          <w:bCs w:val="1"/>
          <w:color w:val="auto"/>
        </w:rPr>
        <w:t>(d)</w:t>
      </w:r>
    </w:p>
    <w:p>
      <w:pPr>
        <w:spacing w:after="0" w:line="24" w:lineRule="exact"/>
        <w:rPr>
          <w:sz w:val="20"/>
          <w:szCs w:val="20"/>
          <w:color w:val="auto"/>
        </w:rPr>
      </w:pPr>
    </w:p>
    <w:p>
      <w:pPr>
        <w:sectPr>
          <w:pgSz w:w="11900" w:h="16838" w:orient="portrait"/>
          <w:cols w:equalWidth="0" w:num="3">
            <w:col w:w="6740" w:space="240"/>
            <w:col w:w="1880" w:space="200"/>
            <w:col w:w="218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2024</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29,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19,244,142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19,244,142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1,500,013,518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19,244,142</w:t>
            </w: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19,244,142</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1,500,013,518</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3500" w:type="dxa"/>
            <w:vAlign w:val="bottom"/>
            <w:vMerge w:val="continue"/>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right="120" w:hanging="328"/>
        <w:spacing w:after="0" w:line="235" w:lineRule="auto"/>
        <w:tabs>
          <w:tab w:leader="none" w:pos="655"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Part I, Item 2. </w:t>
      </w:r>
      <w:r>
        <w:rPr>
          <w:rFonts w:ascii="Times New Roman" w:cs="Times New Roman" w:eastAsia="Times New Roman" w:hAnsi="Times New Roman"/>
          <w:sz w:val="17"/>
          <w:szCs w:val="17"/>
          <w:i w:val="1"/>
          <w:iCs w:val="1"/>
          <w:color w:val="auto"/>
        </w:rPr>
        <w:t>Management’s Discussion and Analysis of Financial Condition</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Results of Operations – Recent Developments</w:t>
      </w:r>
      <w:r>
        <w:rPr>
          <w:rFonts w:ascii="Times New Roman" w:cs="Times New Roman" w:eastAsia="Times New Roman" w:hAnsi="Times New Roman"/>
          <w:sz w:val="17"/>
          <w:szCs w:val="17"/>
          <w:color w:val="auto"/>
        </w:rPr>
        <w:t xml:space="preserve"> of this Form 10-Q for additional information regarding the Company’s authorized share repurchase program. During the three months ended March 31, 2024, the Company repurchased approximately 19.2 million shares of common stock at a cost of approximately $250 million under this program.</w:t>
      </w:r>
    </w:p>
    <w:p>
      <w:pPr>
        <w:sectPr>
          <w:pgSz w:w="11900" w:h="16838" w:orient="portrait"/>
          <w:cols w:equalWidth="0" w:num="1">
            <w:col w:w="11240"/>
          </w:cols>
          <w:pgMar w:left="320" w:top="114" w:right="339" w:bottom="1440" w:gutter="0" w:footer="0" w:header="0"/>
          <w:type w:val="continuous"/>
        </w:sectPr>
      </w:pP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(b)</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purchased is based on the purchase date and not the settlement date.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Average price per share includes commissions.</w:t>
      </w:r>
    </w:p>
    <w:p>
      <w:pPr>
        <w:spacing w:after="0" w:line="50" w:lineRule="exact"/>
        <w:rPr>
          <w:sz w:val="20"/>
          <w:szCs w:val="20"/>
          <w:color w:val="auto"/>
        </w:rPr>
      </w:pPr>
    </w:p>
    <w:p>
      <w:pPr>
        <w:sectPr>
          <w:pgSz w:w="11900" w:h="16838" w:orient="portrait"/>
          <w:cols w:equalWidth="0" w:num="2">
            <w:col w:w="460" w:space="180"/>
            <w:col w:w="10600"/>
          </w:cols>
          <w:pgMar w:left="320" w:top="114" w:right="339" w:bottom="1440" w:gutter="0" w:footer="0" w:header="0"/>
          <w:type w:val="continuous"/>
        </w:sectPr>
      </w:pPr>
    </w:p>
    <w:p>
      <w:pPr>
        <w:ind w:left="660" w:right="180" w:hanging="328"/>
        <w:spacing w:after="0" w:line="222" w:lineRule="auto"/>
        <w:tabs>
          <w:tab w:leader="none" w:pos="64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26, 2024, the Company’s Board of Directors authorized a $1.0 billion increase to the Company’s previously announced $1.0 billion share repurchase program.</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2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gridSpan w:val="2"/>
          </w:tcPr>
          <w:p>
            <w:pPr>
              <w:jc w:val="right"/>
              <w:ind w:right="420"/>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 Agreement, dated as of January 29, 2024, by and among Cooper Consumer Health SAS, Cooper Consumer Health IT S.r.l.,</w:t>
            </w:r>
          </w:p>
        </w:tc>
      </w:tr>
      <w:tr>
        <w:trPr>
          <w:trHeight w:val="171"/>
        </w:trPr>
        <w:tc>
          <w:tcPr>
            <w:tcW w:w="24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10460" w:type="dxa"/>
            <w:vAlign w:val="bottom"/>
          </w:tcPr>
          <w:p>
            <w:pPr>
              <w:ind w:left="440"/>
              <w:spacing w:after="0" w:line="170" w:lineRule="exact"/>
              <w:rPr>
                <w:sz w:val="20"/>
                <w:szCs w:val="20"/>
                <w:color w:val="auto"/>
              </w:rPr>
            </w:pPr>
            <w:r>
              <w:rPr>
                <w:rFonts w:ascii="Times New Roman" w:cs="Times New Roman" w:eastAsia="Times New Roman" w:hAnsi="Times New Roman"/>
                <w:sz w:val="18"/>
                <w:szCs w:val="18"/>
                <w:color w:val="auto"/>
                <w:w w:val="99"/>
              </w:rPr>
              <w:t>Viatris Inc., Viatris Italia S.r.l. and Ipex AB, filed as Exhibit 2.1 to the Report on Form 8-K/A filed by Viatris Inc. with the SEC on January</w:t>
            </w:r>
          </w:p>
        </w:tc>
      </w:tr>
    </w:tbl>
    <w:p>
      <w:pPr>
        <w:ind w:left="1120"/>
        <w:spacing w:after="0"/>
        <w:rPr>
          <w:sz w:val="20"/>
          <w:szCs w:val="20"/>
          <w:color w:val="auto"/>
        </w:rPr>
      </w:pPr>
      <w:r>
        <w:rPr>
          <w:rFonts w:ascii="Times New Roman" w:cs="Times New Roman" w:eastAsia="Times New Roman" w:hAnsi="Times New Roman"/>
          <w:sz w:val="18"/>
          <w:szCs w:val="18"/>
          <w:color w:val="auto"/>
        </w:rPr>
        <w:t>30, 2024, and incorporated herein by reference.^</w:t>
      </w:r>
    </w:p>
    <w:p>
      <w:pPr>
        <w:spacing w:after="0" w:line="219" w:lineRule="exact"/>
        <w:rPr>
          <w:sz w:val="20"/>
          <w:szCs w:val="20"/>
          <w:color w:val="auto"/>
        </w:rPr>
      </w:pPr>
    </w:p>
    <w:p>
      <w:pPr>
        <w:ind w:left="1120" w:right="360" w:hanging="1094"/>
        <w:spacing w:after="0" w:line="237" w:lineRule="auto"/>
        <w:tabs>
          <w:tab w:leader="none" w:pos="112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subsidiary guarantors and issuers of guaranteed securities, filed by Viatris Inc. as Exhibit 22 to the Form 10-K for the fiscal year ended December 31, 2023, and incorporated herein by reference.</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425"/>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bl>
    <w:p>
      <w:pPr>
        <w:spacing w:after="0" w:line="238" w:lineRule="exact"/>
        <w:rPr>
          <w:sz w:val="20"/>
          <w:szCs w:val="20"/>
          <w:color w:val="auto"/>
        </w:rPr>
      </w:pPr>
    </w:p>
    <w:p>
      <w:pPr>
        <w:ind w:left="1120" w:hanging="1094"/>
        <w:spacing w:after="0"/>
        <w:tabs>
          <w:tab w:leader="none" w:pos="1120" w:val="left"/>
        </w:tabs>
        <w:numPr>
          <w:ilvl w:val="0"/>
          <w:numId w:val="4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bl>
    <w:p>
      <w:pPr>
        <w:spacing w:after="0" w:line="265" w:lineRule="exact"/>
        <w:rPr>
          <w:sz w:val="20"/>
          <w:szCs w:val="20"/>
          <w:color w:val="auto"/>
        </w:rPr>
      </w:pPr>
    </w:p>
    <w:p>
      <w:pPr>
        <w:ind w:left="1120" w:hanging="1094"/>
        <w:spacing w:after="0" w:line="237" w:lineRule="auto"/>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79" w:lineRule="exact"/>
        <w:rPr>
          <w:rFonts w:ascii="Times New Roman" w:cs="Times New Roman" w:eastAsia="Times New Roman" w:hAnsi="Times New Roman"/>
          <w:sz w:val="18"/>
          <w:szCs w:val="18"/>
          <w:color w:val="auto"/>
        </w:rPr>
      </w:pPr>
    </w:p>
    <w:p>
      <w:pPr>
        <w:ind w:left="1120" w:right="94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A. Smith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20"/>
          </w:cols>
          <w:pgMar w:left="320" w:top="114" w:right="8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Smith, certify that:</w:t>
      </w:r>
    </w:p>
    <w:p>
      <w:pPr>
        <w:spacing w:after="0" w:line="131" w:lineRule="exact"/>
        <w:rPr>
          <w:sz w:val="20"/>
          <w:szCs w:val="20"/>
          <w:color w:val="auto"/>
        </w:rPr>
      </w:pPr>
    </w:p>
    <w:p>
      <w:pPr>
        <w:ind w:left="640" w:hanging="18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34290</wp:posOffset>
            </wp:positionV>
            <wp:extent cx="2503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ectPr>
          <w:pgSz w:w="11900" w:h="16838" w:orient="portrait"/>
          <w:cols w:equalWidth="0" w:num="1">
            <w:col w:w="11240"/>
          </w:cols>
          <w:pgMar w:left="320" w:top="90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Theodora Mistras, certify that:</w:t>
      </w:r>
    </w:p>
    <w:p>
      <w:pPr>
        <w:spacing w:after="0" w:line="131" w:lineRule="exact"/>
        <w:rPr>
          <w:sz w:val="20"/>
          <w:szCs w:val="20"/>
          <w:color w:val="auto"/>
        </w:rPr>
      </w:pPr>
    </w:p>
    <w:p>
      <w:pPr>
        <w:ind w:left="640" w:hanging="187"/>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ectPr>
          <w:pgSz w:w="11900" w:h="16838" w:orient="portrait"/>
          <w:cols w:equalWidth="0" w:num="1">
            <w:col w:w="11240"/>
          </w:cols>
          <w:pgMar w:left="320" w:top="90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Viatris Inc. (the “Company”) for the period ended March 31, 2024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8" w:lineRule="exact"/>
        <w:rPr>
          <w:sz w:val="20"/>
          <w:szCs w:val="20"/>
          <w:color w:val="auto"/>
        </w:rPr>
      </w:pPr>
    </w:p>
    <w:p>
      <w:pPr>
        <w:ind w:left="1080" w:hanging="181"/>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98" w:lineRule="exact"/>
        <w:rPr>
          <w:sz w:val="20"/>
          <w:szCs w:val="20"/>
          <w:color w:val="auto"/>
        </w:rPr>
      </w:pPr>
    </w:p>
    <w:p>
      <w:pPr>
        <w:ind w:right="420" w:firstLine="445"/>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4" w:lineRule="exact"/>
        <w:rPr>
          <w:sz w:val="20"/>
          <w:szCs w:val="20"/>
          <w:color w:val="auto"/>
        </w:rPr>
      </w:pPr>
    </w:p>
    <w:p>
      <w:pPr>
        <w:ind w:right="520" w:firstLine="445"/>
        <w:spacing w:after="0" w:line="329"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6"/>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6"/>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4"/>
    </w:lvl>
  </w:abstractNum>
  <w:abstractNum w:abstractNumId="40">
    <w:nsid w:val="1D4ED43B"/>
    <w:multiLevelType w:val="hybridMultilevel"/>
    <w:lvl w:ilvl="0">
      <w:lvlJc w:val="left"/>
      <w:lvlText w:val="%1"/>
      <w:numFmt w:val="decimal"/>
      <w:start w:val="22"/>
    </w:lvl>
  </w:abstractNum>
  <w:abstractNum w:abstractNumId="41">
    <w:nsid w:val="725A06FB"/>
    <w:multiLevelType w:val="hybridMultilevel"/>
    <w:lvl w:ilvl="0">
      <w:lvlJc w:val="left"/>
      <w:lvlText w:val="%1"/>
      <w:numFmt w:val="decimal"/>
      <w:start w:val="32"/>
    </w:lvl>
  </w:abstractNum>
  <w:abstractNum w:abstractNumId="42">
    <w:nsid w:val="2CD89A32"/>
    <w:multiLevelType w:val="hybridMultilevel"/>
    <w:lvl w:ilvl="0">
      <w:lvlJc w:val="left"/>
      <w:lvlText w:val="%1"/>
      <w:numFmt w:val="decimal"/>
      <w:start w:val="104"/>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92" Type="http://schemas.openxmlformats.org/officeDocument/2006/relationships/hyperlink" Target="http://www.sec.gov/Archives/edgar/data/1792044/000119312524019472/d61919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2024-05-09T15:29:56Z</dcterms:created>
  <dcterms:modified xsi:type="dcterms:W3CDTF">2024-05-09T15:29:56Z</dcterms:modified>
</cp:coreProperties>
</file>