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KORMAN HARRY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MYLAN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CANONSBURG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Viatris Inc</w:t>
              </w:r>
            </w:hyperlink>
            <w:r>
              <w:rPr/>
              <w:t xml:space="preserve"> [ </w:t>
            </w:r>
            <w:r>
              <w:rPr>
                <w:rFonts w:ascii="Times;serif" w:hAnsi="Times;serif"/>
                <w:color w:val="0000FF"/>
                <w:sz w:val="24"/>
                <w:shd w:fill="FFFFFF" w:val="clear"/>
              </w:rPr>
              <w:t>VTRS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12/11/2020</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12/11/2020</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17.147</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90,419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01/15/2021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16.993</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91,256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14.966</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91,969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03/09/2021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13.939</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92,318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(3)</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15.391</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92,462.73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(3)</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13.811</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92,625.17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(3)</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176.17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12.836</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92,801.34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03/04/2022</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10.079</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93,951.34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03/16/2022</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(3)</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238.76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10.421</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94,190.1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9.007</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94,960</w:t>
            </w:r>
            <w:r>
              <w:rPr>
                <w:rFonts w:ascii="Times;serif" w:hAnsi="Times;serif"/>
                <w:color w:val="008000"/>
                <w:position w:val="7"/>
                <w:sz w:val="16"/>
                <w:sz w:val="20"/>
                <w:shd w:fill="FFFFFF" w:val="clear"/>
              </w:rPr>
              <w:t>(4)</w:t>
            </w:r>
            <w:r>
              <w:rPr/>
              <w:t xml:space="preserve"> </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executed by the reporting person's investment advisors in managed accounts as part of the investment advisors' implementation and continued execution of managed investment strategies involving the securities of multiple issuers.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Based on information provided by the investment advisor; additional information, including the price range, if any, is unavailable.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transactions were the result of the automatic reinvestment of dividends received on shares of issuer common stock pursuant to a broker-sponsored dividend reinvestment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May 6, 2022, Viatris Inc. filed a registration statement on Form S-3 with respect to its Dividend Reinvestment and Share Purchase Plan; amount includes 750.9 shares of common stock as the result of the automatic reinvestment of dividends received on shares of issuer common stock pursuant to a broker-sponsored dividend reinvestment plan in June 2022, September 2022 and December 2022 in transactions exempt from Section 16 under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Macikowski,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548" TargetMode="External"/><Relationship Id="rId5" Type="http://schemas.openxmlformats.org/officeDocument/2006/relationships/hyperlink" Target="http://www.sec.gov/cgi-bin/browse-edgar?action=getcompany&amp;CIK=0001792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788</Words>
  <Characters>4341</Characters>
  <CharactersWithSpaces>5015</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