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CORNWELL W DON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Viatris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VTRS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CANONSBURG PA</w:t>
            </w:r>
          </w:p>
        </w:tc>
        <w:tc>
          <w:tcPr>
            <w:tcW w:w="1600" w:type="dxa"/>
            <w:vAlign w:val="bottom"/>
          </w:tcPr>
          <w:p>
            <w:pPr>
              <w:ind w:left="420"/>
              <w:spacing w:after="0"/>
              <w:rPr>
                <w:sz w:val="20"/>
                <w:szCs w:val="20"/>
                <w:color w:val="auto"/>
              </w:rPr>
            </w:pPr>
            <w:r>
              <w:rPr>
                <w:rFonts w:ascii="Arial" w:cs="Arial" w:eastAsia="Arial" w:hAnsi="Arial"/>
                <w:sz w:val="17"/>
                <w:szCs w:val="17"/>
                <w:color w:val="0000FF"/>
              </w:rPr>
              <w:t>15317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05/19/2021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1,500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15.7933</w:t>
            </w:r>
            <w:r>
              <w:rPr>
                <w:rFonts w:ascii="Arial" w:cs="Arial" w:eastAsia="Arial" w:hAnsi="Arial"/>
                <w:sz w:val="22"/>
                <w:szCs w:val="22"/>
                <w:color w:val="008000"/>
                <w:w w:val="92"/>
                <w:vertAlign w:val="superscript"/>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4,500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940" w:type="dxa"/>
            <w:vAlign w:val="bottom"/>
            <w:gridSpan w:val="3"/>
          </w:tcPr>
          <w:p>
            <w:pPr>
              <w:ind w:left="440"/>
              <w:spacing w:after="0"/>
              <w:rPr>
                <w:sz w:val="20"/>
                <w:szCs w:val="20"/>
                <w:color w:val="auto"/>
              </w:rPr>
            </w:pPr>
            <w:r>
              <w:rPr>
                <w:rFonts w:ascii="Arial" w:cs="Arial" w:eastAsia="Arial" w:hAnsi="Arial"/>
                <w:sz w:val="17"/>
                <w:szCs w:val="17"/>
                <w:color w:val="0000FF"/>
              </w:rPr>
              <w:t>05/21/2021</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w:t>
            </w:r>
          </w:p>
        </w:tc>
        <w:tc>
          <w:tcPr>
            <w:tcW w:w="840" w:type="dxa"/>
            <w:vAlign w:val="bottom"/>
          </w:tcPr>
          <w:p>
            <w:pPr>
              <w:jc w:val="right"/>
              <w:ind w:right="251"/>
              <w:spacing w:after="0"/>
              <w:rPr>
                <w:sz w:val="20"/>
                <w:szCs w:val="20"/>
                <w:color w:val="auto"/>
              </w:rPr>
            </w:pPr>
            <w:r>
              <w:rPr>
                <w:rFonts w:ascii="Arial" w:cs="Arial" w:eastAsia="Arial" w:hAnsi="Arial"/>
                <w:sz w:val="17"/>
                <w:szCs w:val="17"/>
                <w:color w:val="0000FF"/>
              </w:rPr>
              <w:t>500</w:t>
            </w:r>
          </w:p>
        </w:tc>
        <w:tc>
          <w:tcPr>
            <w:tcW w:w="440" w:type="dxa"/>
            <w:vAlign w:val="bottom"/>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3"/>
          </w:tcPr>
          <w:p>
            <w:pPr>
              <w:jc w:val="center"/>
              <w:ind w:righ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15.45</w:t>
            </w:r>
          </w:p>
        </w:tc>
        <w:tc>
          <w:tcPr>
            <w:tcW w:w="360" w:type="dxa"/>
            <w:vAlign w:val="bottom"/>
          </w:tcPr>
          <w:p>
            <w:pPr>
              <w:spacing w:after="0"/>
              <w:rPr>
                <w:sz w:val="23"/>
                <w:szCs w:val="23"/>
                <w:color w:val="auto"/>
              </w:rPr>
            </w:pPr>
          </w:p>
        </w:tc>
        <w:tc>
          <w:tcPr>
            <w:tcW w:w="820" w:type="dxa"/>
            <w:vAlign w:val="bottom"/>
          </w:tcPr>
          <w:p>
            <w:pPr>
              <w:ind w:left="20"/>
              <w:spacing w:after="0"/>
              <w:rPr>
                <w:sz w:val="20"/>
                <w:szCs w:val="20"/>
                <w:color w:val="auto"/>
              </w:rPr>
            </w:pPr>
            <w:r>
              <w:rPr>
                <w:rFonts w:ascii="Arial" w:cs="Arial" w:eastAsia="Arial" w:hAnsi="Arial"/>
                <w:sz w:val="17"/>
                <w:szCs w:val="17"/>
                <w:color w:val="0000FF"/>
              </w:rPr>
              <w:t>5,000</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the reporting person's acquisition of 1,500 shares of common stock in transactions ranging from $15.65 to $15.93. The reporting person undertakes to provide to the issuer, any security holder of the issuer, or the staff of the Securities and Exchange Commission, upon request, full information regarding the number of shares of common stock purchased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05/21/2021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4477"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2021-05-21T17:02:36Z</dcterms:created>
  <dcterms:modified xsi:type="dcterms:W3CDTF">2021-05-21T17:02:36Z</dcterms:modified>
</cp:coreProperties>
</file>