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1" w:lineRule="exact"/>
        <w:rPr>
          <w:sz w:val="24"/>
          <w:szCs w:val="24"/>
          <w:color w:val="auto"/>
        </w:rPr>
      </w:pPr>
    </w:p>
    <w:p>
      <w:pPr>
        <w:ind w:left="420" w:right="280" w:hanging="394"/>
        <w:spacing w:after="0" w:line="238"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4"/>
          <w:szCs w:val="24"/>
          <w:color w:val="auto"/>
        </w:rPr>
      </w:pPr>
    </w:p>
    <w:p>
      <w:pPr>
        <w:ind w:left="420" w:right="260" w:hanging="394"/>
        <w:spacing w:after="0" w:line="238" w:lineRule="auto"/>
        <w:tabs>
          <w:tab w:leader="none" w:pos="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_____________to___________</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001-39695</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180"/>
          </w:cols>
          <w:pgMar w:left="320" w:top="988" w:right="399" w:bottom="1440" w:gutter="0" w:footer="0" w:header="0"/>
        </w:sectPr>
      </w:pPr>
    </w:p>
    <w:p>
      <w:pPr>
        <w:spacing w:after="0" w:line="13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2">
            <w:col w:w="7360" w:space="720"/>
            <w:col w:w="3100"/>
          </w:cols>
          <w:pgMar w:left="320" w:top="988" w:right="399" w:bottom="1440" w:gutter="0" w:footer="0" w:header="0"/>
          <w:type w:val="continuous"/>
        </w:sectPr>
      </w:pPr>
    </w:p>
    <w:p>
      <w:pPr>
        <w:jc w:val="center"/>
        <w:ind w:right="1540"/>
        <w:spacing w:after="0"/>
        <w:rPr>
          <w:sz w:val="20"/>
          <w:szCs w:val="20"/>
          <w:color w:val="auto"/>
        </w:rPr>
      </w:pPr>
      <w:r>
        <w:rPr>
          <w:rFonts w:ascii="Times New Roman" w:cs="Times New Roman" w:eastAsia="Times New Roman" w:hAnsi="Times New Roman"/>
          <w:sz w:val="14"/>
          <w:szCs w:val="14"/>
          <w:i w:val="1"/>
          <w:iCs w:val="1"/>
          <w:color w:val="auto"/>
        </w:rPr>
        <w:t>(State or other jurisdiction</w:t>
      </w:r>
    </w:p>
    <w:p>
      <w:pPr>
        <w:jc w:val="center"/>
        <w:ind w:right="1540"/>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Times New Roman" w:cs="Times New Roman" w:eastAsia="Times New Roman" w:hAnsi="Times New Roman"/>
          <w:sz w:val="14"/>
          <w:szCs w:val="14"/>
          <w:i w:val="1"/>
          <w:iCs w:val="1"/>
          <w:color w:val="auto"/>
        </w:rPr>
        <w:t>(I.R.S. Employer</w:t>
      </w:r>
    </w:p>
    <w:p>
      <w:pPr>
        <w:jc w:val="center"/>
        <w:ind w:right="2140"/>
        <w:spacing w:after="0"/>
        <w:rPr>
          <w:sz w:val="20"/>
          <w:szCs w:val="20"/>
          <w:color w:val="auto"/>
        </w:rPr>
      </w:pPr>
      <w:r>
        <w:rPr>
          <w:rFonts w:ascii="Times New Roman" w:cs="Times New Roman" w:eastAsia="Times New Roman" w:hAnsi="Times New Roman"/>
          <w:sz w:val="14"/>
          <w:szCs w:val="14"/>
          <w:i w:val="1"/>
          <w:iCs w:val="1"/>
          <w:color w:val="auto"/>
        </w:rPr>
        <w:t>Identification No.)</w:t>
      </w:r>
    </w:p>
    <w:p>
      <w:pPr>
        <w:spacing w:after="0" w:line="107" w:lineRule="exact"/>
        <w:rPr>
          <w:sz w:val="24"/>
          <w:szCs w:val="24"/>
          <w:color w:val="auto"/>
        </w:rPr>
      </w:pPr>
    </w:p>
    <w:p>
      <w:pPr>
        <w:sectPr>
          <w:pgSz w:w="11900" w:h="16838" w:orient="portrait"/>
          <w:cols w:equalWidth="0" w:num="2">
            <w:col w:w="7260" w:space="720"/>
            <w:col w:w="3200"/>
          </w:cols>
          <w:pgMar w:left="320" w:top="988"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(724) 514-1800</w:t>
      </w:r>
    </w:p>
    <w:p>
      <w:pPr>
        <w:spacing w:after="0" w:line="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80"/>
          </w:cols>
          <w:pgMar w:left="320" w:top="988" w:right="399" w:bottom="1440" w:gutter="0" w:footer="0" w:header="0"/>
          <w:type w:val="continuous"/>
        </w:sectPr>
      </w:pPr>
    </w:p>
    <w:p>
      <w:pPr>
        <w:spacing w:after="0" w:line="147"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129" w:lineRule="exact"/>
        <w:rPr>
          <w:sz w:val="24"/>
          <w:szCs w:val="24"/>
          <w:color w:val="auto"/>
        </w:rPr>
      </w:pPr>
    </w:p>
    <w:p>
      <w:pPr>
        <w:sectPr>
          <w:pgSz w:w="11900" w:h="16838" w:orient="portrait"/>
          <w:cols w:equalWidth="0" w:num="3">
            <w:col w:w="3980" w:space="720"/>
            <w:col w:w="2180" w:space="720"/>
            <w:col w:w="3580"/>
          </w:cols>
          <w:pgMar w:left="320" w:top="988" w:right="39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VTRS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200" w:lineRule="exact"/>
        <w:rPr>
          <w:sz w:val="24"/>
          <w:szCs w:val="24"/>
          <w:color w:val="auto"/>
        </w:rPr>
      </w:pPr>
    </w:p>
    <w:p>
      <w:pPr>
        <w:sectPr>
          <w:pgSz w:w="11900" w:h="16838" w:orient="portrait"/>
          <w:cols w:equalWidth="0" w:num="3">
            <w:col w:w="4420" w:space="720"/>
            <w:col w:w="2420" w:space="720"/>
            <w:col w:w="2900"/>
          </w:cols>
          <w:pgMar w:left="320" w:top="988" w:right="399" w:bottom="1440" w:gutter="0" w:footer="0" w:header="0"/>
          <w:type w:val="continuous"/>
        </w:sectPr>
      </w:pPr>
    </w:p>
    <w:p>
      <w:pPr>
        <w:spacing w:after="0" w:line="24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left="20" w:right="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6"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number of shares of common stock outstanding, par value $0.01 per share, of the registrant as of August 5, 2024 was 1,193,520,463.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102870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988"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1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6900" w:type="dxa"/>
            <w:vAlign w:val="bottom"/>
            <w:gridSpan w:val="10"/>
            <w:vMerge w:val="restart"/>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6900" w:type="dxa"/>
            <w:vAlign w:val="bottom"/>
            <w:gridSpan w:val="10"/>
            <w:vMerge w:val="continue"/>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Statements of Operations — Three and Six Months Ended June 30, 2024 and 2023</w:t>
            </w:r>
          </w:p>
        </w:tc>
        <w:tc>
          <w:tcPr>
            <w:tcW w:w="98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Earnings — Three and Six Months Ended June 30, 2024</w:t>
            </w:r>
          </w:p>
        </w:tc>
        <w:tc>
          <w:tcPr>
            <w:tcW w:w="9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and 2023</w:t>
            </w:r>
          </w:p>
        </w:tc>
        <w:tc>
          <w:tcPr>
            <w:tcW w:w="770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 June 30, 2024 and December 31, 2023</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 — Three and Six Months Ended June 30, 2024 and 2023</w:t>
            </w:r>
          </w:p>
        </w:tc>
        <w:tc>
          <w:tcPr>
            <w:tcW w:w="118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Six Months Ended June 30, 2024 and 2023</w:t>
            </w:r>
          </w:p>
        </w:tc>
        <w:tc>
          <w:tcPr>
            <w:tcW w:w="158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22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900" w:type="dxa"/>
            <w:vAlign w:val="bottom"/>
            <w:gridSpan w:val="10"/>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7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734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2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4"/>
                <w:szCs w:val="24"/>
                <w:color w:val="auto"/>
              </w:rPr>
            </w:pPr>
          </w:p>
        </w:tc>
        <w:tc>
          <w:tcPr>
            <w:tcW w:w="736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43"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2003 LTIP</w:t>
            </w:r>
          </w:p>
        </w:tc>
        <w:tc>
          <w:tcPr>
            <w:tcW w:w="76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N.V. Amended and Restated 2003 Long-Term Incentive Plan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2020 Incentive Plan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Inc. 2020 Stock Incentive Plan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2023 Form 10-K</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annual report on Form 10-K for the fiscal year ended December 31, 2023, as amended</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Non-GAAP financial measure that the Company believes is appropriate to provide information to</w:t>
            </w:r>
          </w:p>
        </w:tc>
      </w:tr>
      <w:tr>
        <w:trPr>
          <w:trHeight w:val="175"/>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investors - EBITDA (defined below) is further adjusted for share-based compensation expense, litigation</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settlements, and other contingencies, net, restructuring and other special items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Abbreviated New Drug Application</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All of the following transactions: on October 1, 2023, Viatris announced it had received an offer for the</w:t>
            </w:r>
          </w:p>
        </w:tc>
      </w:tr>
      <w:tr>
        <w:trPr>
          <w:trHeight w:val="176"/>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divestiture of its OTC Business and had entered into definitive agreements to divest its women’s</w:t>
            </w: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healthcare business and, separately, in another transaction, its rights to two women’s healthcare products</w:t>
            </w:r>
          </w:p>
        </w:tc>
      </w:tr>
      <w:tr>
        <w:trPr>
          <w:trHeight w:val="180"/>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in certain countries, its API business in India and commercialization rights in the Upjohn Distributor</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Announced Divestitures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Markets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AOCE</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earnings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API</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 pharmaceutical ingredients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ARV</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Antiretroviral medicines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Biocon Limited</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 Biologics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Biocon Biologics Limited, a majority owned subsidiary of Biocon</w:t>
            </w:r>
          </w:p>
        </w:tc>
      </w:tr>
      <w:tr>
        <w:trPr>
          <w:trHeight w:val="191"/>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The transaction between Viatris and Biocon Biologics pursuant to which Viatris contributed its</w:t>
            </w: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biosimilars portfolio, composed of the Biocon collaboration programs, biosimilars to Humira®,</w:t>
            </w:r>
          </w:p>
        </w:tc>
      </w:tr>
      <w:tr>
        <w:trPr>
          <w:trHeight w:val="26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 Biologics Transaction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Enbrel®, and Eylea®, as well as related assets and liabilities to Biocon Biologics</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transaction agreement between Viatris and Biocon Biologics, dated February 27, 2022, relating to</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 Agreement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Biocon Biologics Transaction, as amended from time to time</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Business Combination Agreement, dated as of July 29, 2019, as amended from time to time, among</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Combination Agreement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Mylan, Pfizer and certain of their affiliates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CAMT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corporate alternative minimum tax</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CCPS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Compulsory convertible preferred shares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Code</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U.S. Internal Revenue Code of 1986, as amended</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Refers to Mylan combining with Pfizer's Upjohn Business in a Reverse Morris Trust transaction to form</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Combination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on November 16, 2020</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The $1.65 billion unsecured commercial paper program entered into as of November 16, 2020 by Viatris,</w:t>
            </w:r>
          </w:p>
        </w:tc>
      </w:tr>
      <w:tr>
        <w:trPr>
          <w:trHeight w:val="175"/>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as issuer, Mylan Inc., Utah Acquisition Sub Inc. and Mylan II B.V., as guarantors, and certain dealers</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Commercial Paper Program</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from time to time</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CP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Unsecured, short-term commercial paper notes issued pursuant to the Commercial Paper Program</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Viatris’ business segment that includes our operations primarily in the following markets: North America</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Developed Markets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Europe</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Distribution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Pfizer's distribution to Pfizer stockholders all the issued and outstanding shares of Upjohn Inc.</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DOJ</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Department of Justice</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Non-GAAP financial measure that the Company believes is appropriate to provide information to</w:t>
            </w:r>
          </w:p>
        </w:tc>
      </w:tr>
      <w:tr>
        <w:trPr>
          <w:trHeight w:val="175"/>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investors - U.S. GAAP net earnings (loss) adjusted for income tax provision (benefit), interest expense</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depreciation and amortization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EDPA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District Court for the Eastern District of Pennsylvania</w:t>
            </w:r>
          </w:p>
        </w:tc>
      </w:tr>
      <w:tr>
        <w:trPr>
          <w:trHeight w:val="885"/>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620" w:type="dxa"/>
            <w:vAlign w:val="bottom"/>
            <w:tcBorders>
              <w:top w:val="single" w:sz="8" w:color="auto"/>
              <w:left w:val="single" w:sz="8" w:color="auto"/>
              <w:right w:val="single" w:sz="8" w:color="auto"/>
            </w:tcBorders>
          </w:tcPr>
          <w:p>
            <w:pPr>
              <w:spacing w:after="0"/>
              <w:rPr>
                <w:sz w:val="16"/>
                <w:szCs w:val="16"/>
                <w:color w:val="auto"/>
              </w:rPr>
            </w:pPr>
          </w:p>
        </w:tc>
        <w:tc>
          <w:tcPr>
            <w:tcW w:w="764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Viatris’ business segment that includes, but is not limited to, our operations primarily in the following</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Emerging Markets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markets: Parts of Asia, the Middle East, South and Central America, Africa, and Eastern Europe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EPS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EU</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European Union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Famy Life Sciences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Famy Life Sciences Private Limited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Food and Drug Administration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 10-Q</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This quarterly report on Form 10-Q for the quarterly period ended June 30, 2024</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 Depot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Long-acting glatiramer acetate depot product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Systemically Important Banks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institutions that are considered systemically important by the Financial Stability Board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primarily in the following markets: China, Taiwan</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Greater China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Hong Kong</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Gx</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Generic drugs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Idorsia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Idorsia Pharmaceuticals Ltd.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transaction between Viatris and Idorsia pursuant to which Viatris acquired the development</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programs and certain personnel related to selatogrel and cenerimod from Idorsia in exchange for an</w:t>
            </w:r>
          </w:p>
        </w:tc>
        <w:tc>
          <w:tcPr>
            <w:tcW w:w="0" w:type="dxa"/>
            <w:vAlign w:val="bottom"/>
          </w:tcPr>
          <w:p>
            <w:pPr>
              <w:spacing w:after="0"/>
              <w:rPr>
                <w:sz w:val="1"/>
                <w:szCs w:val="1"/>
                <w:color w:val="auto"/>
              </w:rPr>
            </w:pPr>
          </w:p>
        </w:tc>
      </w:tr>
      <w:tr>
        <w:trPr>
          <w:trHeight w:val="180"/>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upfront payment to Idorsia of $350 million, potential development and regulatory milestone payments,</w:t>
            </w:r>
          </w:p>
        </w:tc>
        <w:tc>
          <w:tcPr>
            <w:tcW w:w="0" w:type="dxa"/>
            <w:vAlign w:val="bottom"/>
          </w:tcPr>
          <w:p>
            <w:pPr>
              <w:spacing w:after="0"/>
              <w:rPr>
                <w:sz w:val="1"/>
                <w:szCs w:val="1"/>
                <w:color w:val="auto"/>
              </w:rPr>
            </w:pPr>
          </w:p>
        </w:tc>
      </w:tr>
      <w:tr>
        <w:trPr>
          <w:trHeight w:val="175"/>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certain contingent payments of tiered sales milestones, as well as potential contingent tiered sales</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Idorsia Transaction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IPR&amp;D</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Internal Revenue Service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Information technology</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in the following markets: Japan, Australia and</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JANZ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Mapi</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Mapi Pharma Ltd.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maximum consolidated leverage ratio financial covenant requiring maintenance of a maximum ratio</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of consolidated total indebtedness as of the end of any quarter to consolidated EBITDA for the trailing</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 Leverage Ratio</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 quarters as defined in the related credit agreements from time to time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MDL</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Multidistrict litigation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Mylan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N.V. and its subsidiaries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4.550% Senior Notes due 2028, 5.400% Senior Notes due 2043 and 5.200% Senior Notes due 2048</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issued by Mylan Inc., which are fully and unconditionally guaranteed on a senior unsecured basis by</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Mylan Inc.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II B.V., Viatris Inc. and Utah Acquisition Sub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NASDAQ</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drug application</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note securitization facility entered into in August 2023 for borrowings up to $200 million and</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Note Securitization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expiring in August 2024</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OTC</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Over-the-counter</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OTC business that the Company divested to Cooper Consumer Health SAS in July 2024,</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including two manufacturing sites located in Merignac, France, and Confienza, Italy, and an R&amp;D site in</w:t>
            </w:r>
          </w:p>
        </w:tc>
        <w:tc>
          <w:tcPr>
            <w:tcW w:w="0" w:type="dxa"/>
            <w:vAlign w:val="bottom"/>
          </w:tcPr>
          <w:p>
            <w:pPr>
              <w:spacing w:after="0"/>
              <w:rPr>
                <w:sz w:val="1"/>
                <w:szCs w:val="1"/>
                <w:color w:val="auto"/>
              </w:rPr>
            </w:pPr>
          </w:p>
        </w:tc>
      </w:tr>
      <w:tr>
        <w:trPr>
          <w:trHeight w:val="180"/>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OTC Business</w:t>
            </w: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Monza, Italy. This excludes the Company’s rights for Viagra®, Dymista® (which, in certain limited</w:t>
            </w:r>
          </w:p>
        </w:tc>
        <w:tc>
          <w:tcPr>
            <w:tcW w:w="0" w:type="dxa"/>
            <w:vAlign w:val="bottom"/>
          </w:tcPr>
          <w:p>
            <w:pPr>
              <w:spacing w:after="0"/>
              <w:rPr>
                <w:sz w:val="1"/>
                <w:szCs w:val="1"/>
                <w:color w:val="auto"/>
              </w:rPr>
            </w:pPr>
          </w:p>
        </w:tc>
      </w:tr>
      <w:tr>
        <w:trPr>
          <w:trHeight w:val="230"/>
        </w:trPr>
        <w:tc>
          <w:tcPr>
            <w:tcW w:w="36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markets, are sold as OTC products), and select OTC products in certain markets.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On October 1, 2023, Viatris announced it had received an offer for the divestiture of its OTC Business.</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 January 2024, we exercised our option to accept the offer and entered into a definitive transaction</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OTC Transaction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 with respect to such OTC Transaction. The OTC Transaction closed in July 2024.</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Oyster Point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Oyster Point Pharma,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Pfizer</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PSUs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0" w:type="dxa"/>
            <w:vAlign w:val="bottom"/>
          </w:tcPr>
          <w:p>
            <w:pPr>
              <w:spacing w:after="0"/>
              <w:rPr>
                <w:sz w:val="1"/>
                <w:szCs w:val="1"/>
                <w:color w:val="auto"/>
              </w:rPr>
            </w:pPr>
          </w:p>
        </w:tc>
      </w:tr>
      <w:tr>
        <w:trPr>
          <w:trHeight w:val="898"/>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R&amp;D</w:t>
            </w:r>
          </w:p>
        </w:tc>
        <w:tc>
          <w:tcPr>
            <w:tcW w:w="76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Receivables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$400 million accounts receivable facility entered into in August 2020 and expiring in April 2025</w:t>
            </w:r>
          </w:p>
        </w:tc>
        <w:tc>
          <w:tcPr>
            <w:tcW w:w="0" w:type="dxa"/>
            <w:vAlign w:val="bottom"/>
          </w:tcPr>
          <w:p>
            <w:pPr>
              <w:spacing w:after="0"/>
              <w:rPr>
                <w:sz w:val="1"/>
                <w:szCs w:val="1"/>
                <w:color w:val="auto"/>
              </w:rPr>
            </w:pPr>
          </w:p>
        </w:tc>
      </w:tr>
      <w:tr>
        <w:trPr>
          <w:trHeight w:val="191"/>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The 1.650% Senior Notes due 2025, 2.300% Senior Notes due 2027, 2.700% Senior Notes due 2030,</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3.850% Senior Notes due 2040 and 4.000% Senior Notes due 2050 originally issued on October 29,</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2021 registered with the SEC in exchange for the corresponding Unregistered Upjohn U.S. Dollar Notes</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in a similar aggregate principal amount and with terms substantially identical to the corresponding</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Unregistered Upjohn U.S. Dollar Notes and fully and unconditionally guaranteed by Mylan Inc., Mylan</w:t>
            </w:r>
          </w:p>
        </w:tc>
        <w:tc>
          <w:tcPr>
            <w:tcW w:w="0" w:type="dxa"/>
            <w:vAlign w:val="bottom"/>
          </w:tcPr>
          <w:p>
            <w:pPr>
              <w:spacing w:after="0"/>
              <w:rPr>
                <w:sz w:val="1"/>
                <w:szCs w:val="1"/>
                <w:color w:val="auto"/>
              </w:rPr>
            </w:pPr>
          </w:p>
        </w:tc>
      </w:tr>
      <w:tr>
        <w:trPr>
          <w:trHeight w:val="26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Registered Upjohn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II B.V. and Utah Acquisition Sub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Respiratory Delivery Platform</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Pfizer’s proprietary dry powder inhaler delivery platform</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Restricted Stock Awards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Company’s nonvested restricted stock and restricted stock unit awards, including PSUs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$4.0 billion revolving facility dated as of July 1, 2021, by and among Viatris, certain lenders and</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issuing banks from time to time party thereto and Bank of America, N.A., as administrative agent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RICO</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Racketeer Influenced and Corrupt Organizations Act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SARs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SDNY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District Court for the Southern District of New York</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Securities Act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Act of 1933, as amended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Upjohn U.S. Dollar Notes, the Utah U.S. Dollar Notes and the Mylan Inc. U.S. Dollar Notes,</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Senior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collectively</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Separation and Distribution Agreement between Viatris and Pfizer, dated as of July 29, 2019, as</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Separation and Distribution Agreement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amended from time to time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stock awards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options and SARs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Teva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Teva Pharmaceutical Industries Ltd.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TSA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Transition services agreements, including related distribution services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 GAAP</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1.650% Senior Notes due 2025, 2.300% Senior Notes due 2027, 2.700% Senior Notes due 2030,</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3.850% Senior Notes due 2040 and 4.000% Senior Notes due 2050 originally issued on June 22, 2020 by</w:t>
            </w:r>
          </w:p>
        </w:tc>
        <w:tc>
          <w:tcPr>
            <w:tcW w:w="0" w:type="dxa"/>
            <w:vAlign w:val="bottom"/>
          </w:tcPr>
          <w:p>
            <w:pPr>
              <w:spacing w:after="0"/>
              <w:rPr>
                <w:sz w:val="1"/>
                <w:szCs w:val="1"/>
                <w:color w:val="auto"/>
              </w:rPr>
            </w:pPr>
          </w:p>
        </w:tc>
      </w:tr>
      <w:tr>
        <w:trPr>
          <w:trHeight w:val="180"/>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Upjohn Inc. (now Viatris Inc.) in a private offering exempt from the registration requirements of the</w:t>
            </w:r>
          </w:p>
        </w:tc>
        <w:tc>
          <w:tcPr>
            <w:tcW w:w="0" w:type="dxa"/>
            <w:vAlign w:val="bottom"/>
          </w:tcPr>
          <w:p>
            <w:pPr>
              <w:spacing w:after="0"/>
              <w:rPr>
                <w:sz w:val="1"/>
                <w:szCs w:val="1"/>
                <w:color w:val="auto"/>
              </w:rPr>
            </w:pPr>
          </w:p>
        </w:tc>
      </w:tr>
      <w:tr>
        <w:trPr>
          <w:trHeight w:val="176"/>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Unregistered Upjohn U.S. Dollar Notes</w:t>
            </w: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Securities Act and fully and unconditionally guaranteed by Mylan Inc., Mylan II B.V. and Utah</w:t>
            </w:r>
          </w:p>
        </w:tc>
        <w:tc>
          <w:tcPr>
            <w:tcW w:w="0" w:type="dxa"/>
            <w:vAlign w:val="bottom"/>
          </w:tcPr>
          <w:p>
            <w:pPr>
              <w:spacing w:after="0"/>
              <w:rPr>
                <w:sz w:val="1"/>
                <w:szCs w:val="1"/>
                <w:color w:val="auto"/>
              </w:rPr>
            </w:pPr>
          </w:p>
        </w:tc>
      </w:tr>
      <w:tr>
        <w:trPr>
          <w:trHeight w:val="239"/>
        </w:trPr>
        <w:tc>
          <w:tcPr>
            <w:tcW w:w="362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Sub Inc.</w:t>
            </w:r>
          </w:p>
        </w:tc>
        <w:tc>
          <w:tcPr>
            <w:tcW w:w="0" w:type="dxa"/>
            <w:vAlign w:val="bottom"/>
          </w:tcPr>
          <w:p>
            <w:pPr>
              <w:spacing w:after="0"/>
              <w:rPr>
                <w:sz w:val="1"/>
                <w:szCs w:val="1"/>
                <w:color w:val="auto"/>
              </w:rPr>
            </w:pPr>
          </w:p>
        </w:tc>
      </w:tr>
      <w:tr>
        <w:trPr>
          <w:trHeight w:val="173"/>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Upjohn Inc., a wholly owned subsidiary of Pfizer prior to the Distribution, that combined with Mylan</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was renamed Viatris Inc.</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Pfizer’s off-patent branded and generic established medicines business that, in connection with the</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Business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Combination, was separated from Pfizer and combined with Mylan to form Viatris</w:t>
            </w:r>
          </w:p>
        </w:tc>
        <w:tc>
          <w:tcPr>
            <w:tcW w:w="0" w:type="dxa"/>
            <w:vAlign w:val="bottom"/>
          </w:tcPr>
          <w:p>
            <w:pPr>
              <w:spacing w:after="0"/>
              <w:rPr>
                <w:sz w:val="1"/>
                <w:szCs w:val="1"/>
                <w:color w:val="auto"/>
              </w:rPr>
            </w:pPr>
          </w:p>
        </w:tc>
      </w:tr>
      <w:tr>
        <w:trPr>
          <w:trHeight w:val="205"/>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Select geographic markets that were part of the Combination that are smaller in nature and in which we</w:t>
            </w:r>
          </w:p>
        </w:tc>
        <w:tc>
          <w:tcPr>
            <w:tcW w:w="0" w:type="dxa"/>
            <w:vAlign w:val="bottom"/>
          </w:tcPr>
          <w:p>
            <w:pPr>
              <w:spacing w:after="0"/>
              <w:rPr>
                <w:sz w:val="1"/>
                <w:szCs w:val="1"/>
                <w:color w:val="auto"/>
              </w:rPr>
            </w:pPr>
          </w:p>
        </w:tc>
      </w:tr>
      <w:tr>
        <w:trPr>
          <w:trHeight w:val="216"/>
        </w:trPr>
        <w:tc>
          <w:tcPr>
            <w:tcW w:w="3620" w:type="dxa"/>
            <w:vAlign w:val="bottom"/>
            <w:tcBorders>
              <w:left w:val="single" w:sz="8" w:color="auto"/>
              <w:right w:val="single" w:sz="8" w:color="auto"/>
            </w:tcBorders>
          </w:tcPr>
          <w:p>
            <w:pPr>
              <w:spacing w:after="0"/>
              <w:rPr>
                <w:sz w:val="18"/>
                <w:szCs w:val="18"/>
                <w:color w:val="auto"/>
              </w:rPr>
            </w:pPr>
          </w:p>
        </w:tc>
        <w:tc>
          <w:tcPr>
            <w:tcW w:w="7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had no established infrastructure prior to or following the Combination and that the Company has</w:t>
            </w:r>
          </w:p>
        </w:tc>
        <w:tc>
          <w:tcPr>
            <w:tcW w:w="0" w:type="dxa"/>
            <w:vAlign w:val="bottom"/>
          </w:tcPr>
          <w:p>
            <w:pPr>
              <w:spacing w:after="0"/>
              <w:rPr>
                <w:sz w:val="1"/>
                <w:szCs w:val="1"/>
                <w:color w:val="auto"/>
              </w:rPr>
            </w:pPr>
          </w:p>
        </w:tc>
      </w:tr>
      <w:tr>
        <w:trPr>
          <w:trHeight w:val="248"/>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Distributor Markets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divested or intends to divest</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Senior unsecured notes denominated in U.S. dollars and originally issued by Upjohn Inc. or Viatris Inc.</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pursuant to an indenture dated June 22, 2020 and fully and unconditionally guaranteed by Mylan Inc.,</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II B.V. and Utah Acquisition Sub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Utah Acquisition Sub</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Utah Acquisition Sub Inc., a Delaware corporation and an indirect wholly owned subsidiary of Viatris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3.950% Senior Notes due 2026 and 5.250% Senior Notes due 2046 issued by Utah Acquisition Sub</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Inc., which are fully and unconditionally guaranteed on a senior unsecured basis by Mylan Inc., Viatris</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Utah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 and Mylan II B.V.</w:t>
            </w:r>
          </w:p>
        </w:tc>
        <w:tc>
          <w:tcPr>
            <w:tcW w:w="0" w:type="dxa"/>
            <w:vAlign w:val="bottom"/>
          </w:tcPr>
          <w:p>
            <w:pPr>
              <w:spacing w:after="0"/>
              <w:rPr>
                <w:sz w:val="1"/>
                <w:szCs w:val="1"/>
                <w:color w:val="auto"/>
              </w:rPr>
            </w:pPr>
          </w:p>
        </w:tc>
      </w:tr>
      <w:tr>
        <w:trPr>
          <w:trHeight w:val="898"/>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Viatris</w:t>
            </w:r>
          </w:p>
        </w:tc>
        <w:tc>
          <w:tcPr>
            <w:tcW w:w="76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Inc., formerly known as Upjohn Inc. prior to the completion of the Combination</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¥40 billion term loan agreement dated as of July 1, 2021, among Viatris, the guarantors from time to</w:t>
            </w: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time party thereto, the lenders from time to time party thereto and Mizuho Bank, Ltd., as administrative</w:t>
            </w: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YEN Term Loan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agent</w:t>
            </w:r>
          </w:p>
        </w:tc>
      </w:tr>
      <w:tr>
        <w:trPr>
          <w:trHeight w:val="898"/>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6</w:t>
            </w: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per share amounts)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24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7,628.6</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3,150.8</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IPR&amp;D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earnings before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(Loss) earnings per share attributable to Viatris Inc. shareholders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4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1,203.5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1,193.1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1,204.6</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r>
      <w:tr>
        <w:trPr>
          <w:trHeight w:val="23"/>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175"/>
        </w:trPr>
        <w:tc>
          <w:tcPr>
            <w:tcW w:w="61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Change in unrecognized loss and prior service cost related to defined benefit</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gain on derivatives in cash flow hedging relationships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176"/>
        </w:trPr>
        <w:tc>
          <w:tcPr>
            <w:tcW w:w="61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unrecognized gain (loss) on derivatives in net investment hedging</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relationships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2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 (loss) on available-for-sale fixed income securities</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comprehensive loss, before tax</w:t>
            </w: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6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earnings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share and per share amounts)</w:t>
      </w:r>
    </w:p>
    <w:p>
      <w:pPr>
        <w:spacing w:after="0" w:line="111" w:lineRule="exact"/>
        <w:rPr>
          <w:sz w:val="20"/>
          <w:szCs w:val="20"/>
          <w:color w:val="auto"/>
        </w:rPr>
      </w:pPr>
    </w:p>
    <w:p>
      <w:pPr>
        <w:jc w:val="right"/>
        <w:ind w:right="18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ind w:left="918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ectPr>
          <w:pgSz w:w="11900" w:h="16838" w:orient="portrait"/>
          <w:cols w:equalWidth="0" w:num="1">
            <w:col w:w="11220"/>
          </w:cols>
          <w:pgMar w:left="320" w:top="114" w:right="359" w:bottom="1440" w:gutter="0" w:footer="0" w:header="0"/>
        </w:sect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Current assets: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Inventories</w:t>
      </w:r>
    </w:p>
    <w:p>
      <w:pPr>
        <w:spacing w:after="0" w:line="23" w:lineRule="exact"/>
        <w:rPr>
          <w:sz w:val="20"/>
          <w:szCs w:val="20"/>
          <w:color w:val="auto"/>
        </w:rPr>
      </w:pPr>
    </w:p>
    <w:p>
      <w:pPr>
        <w:ind w:left="480" w:right="320" w:firstLine="14"/>
        <w:spacing w:after="0" w:line="271" w:lineRule="auto"/>
        <w:rPr>
          <w:sz w:val="20"/>
          <w:szCs w:val="20"/>
          <w:color w:val="auto"/>
        </w:rPr>
      </w:pPr>
      <w:r>
        <w:rPr>
          <w:rFonts w:ascii="Times New Roman" w:cs="Times New Roman" w:eastAsia="Times New Roman" w:hAnsi="Times New Roman"/>
          <w:sz w:val="18"/>
          <w:szCs w:val="18"/>
          <w:color w:val="auto"/>
        </w:rPr>
        <w:t>Prepaid expenses and other current assets Assets held for sale</w:t>
      </w:r>
    </w:p>
    <w:p>
      <w:pPr>
        <w:ind w:left="68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Goodwill</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Deferred income tax benefit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assets</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162560</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-128270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4220" w:type="dxa"/>
        <w:tblCellMar>
          <w:top w:w="0" w:type="dxa"/>
          <w:left w:w="0" w:type="dxa"/>
          <w:bottom w:w="0" w:type="dxa"/>
          <w:right w:w="0" w:type="dxa"/>
        </w:tblCellMar>
      </w:tblPr>
      <w:tr>
        <w:trPr>
          <w:trHeight w:val="229"/>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3,700.4</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3,469.7</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2,028.1</w:t>
            </w:r>
          </w:p>
        </w:tc>
      </w:tr>
      <w:tr>
        <w:trPr>
          <w:trHeight w:val="234"/>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2,786.0</w:t>
            </w:r>
          </w:p>
        </w:tc>
      </w:tr>
      <w:tr>
        <w:trPr>
          <w:trHeight w:val="218"/>
        </w:trPr>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12,976.1</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2,759.6</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19,181.1</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9,867.1</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w:t>
            </w:r>
          </w:p>
        </w:tc>
      </w:tr>
      <w:tr>
        <w:trPr>
          <w:trHeight w:val="234"/>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2,208.7</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47,685.5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-1654175</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-1362710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-1071245</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-770890</wp:posOffset>
            </wp:positionV>
            <wp:extent cx="711517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-479425</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-187960</wp:posOffset>
            </wp:positionV>
            <wp:extent cx="7115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-128270</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3780" w:space="720"/>
            <w:col w:w="6720"/>
          </w:cols>
          <w:pgMar w:left="320" w:top="114" w:right="359" w:bottom="1440" w:gutter="0" w:footer="0" w:header="0"/>
          <w:type w:val="continuous"/>
        </w:sectPr>
      </w:pPr>
    </w:p>
    <w:tbl>
      <w:tblPr>
        <w:tblLayout w:type="fixed"/>
        <w:tblInd w:w="20" w:type="dxa"/>
        <w:tblCellMar>
          <w:top w:w="0" w:type="dxa"/>
          <w:left w:w="0" w:type="dxa"/>
          <w:bottom w:w="0" w:type="dxa"/>
          <w:right w:w="0" w:type="dxa"/>
        </w:tblCellMar>
      </w:tblPr>
      <w:tr>
        <w:trPr>
          <w:trHeight w:val="232"/>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1,938.2</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29"/>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debt and other long-term obligations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30"/>
        </w:trPr>
        <w:tc>
          <w:tcPr>
            <w:tcW w:w="8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3,393.9</w:t>
            </w:r>
          </w:p>
        </w:tc>
      </w:tr>
      <w:tr>
        <w:trPr>
          <w:trHeight w:val="223"/>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7,777.4</w:t>
            </w:r>
          </w:p>
        </w:tc>
      </w:tr>
      <w:tr>
        <w:trPr>
          <w:trHeight w:val="230"/>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16,188.1</w:t>
            </w: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w:t>
            </w:r>
          </w:p>
        </w:tc>
      </w:tr>
      <w:tr>
        <w:trPr>
          <w:trHeight w:val="229"/>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1,516.9</w:t>
            </w:r>
          </w:p>
        </w:tc>
      </w:tr>
      <w:tr>
        <w:trPr>
          <w:trHeight w:val="22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27,218.1</w:t>
            </w:r>
          </w:p>
        </w:tc>
      </w:tr>
      <w:tr>
        <w:trPr>
          <w:trHeight w:val="20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Viatris Inc. shareholders’ equity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5"/>
        </w:trPr>
        <w:tc>
          <w:tcPr>
            <w:tcW w:w="87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3,000,000,000 shares authorized; shares issued: 1,233,752,840 and</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1,221,994,491 as of June 30, 2024 and December 31, 2023</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18,814.7</w:t>
            </w:r>
          </w:p>
        </w:tc>
      </w:tr>
      <w:tr>
        <w:trPr>
          <w:trHeight w:val="230"/>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4,639.7</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r>
      <w:tr>
        <w:trPr>
          <w:trHeight w:val="223"/>
        </w:trPr>
        <w:tc>
          <w:tcPr>
            <w:tcW w:w="8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20,719.2</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Treasury stock — at cost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Common stock shares: 40,483,663 and 21,239,521 as of June 30, 2024 and December 31, 2023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2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20,467.4</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47,685.5</w:t>
            </w: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share and per share amounts)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2"/>
            <w:vMerge w:val="restart"/>
          </w:tcPr>
          <w:p>
            <w:pPr>
              <w:ind w:left="100"/>
              <w:spacing w:after="0" w:line="10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2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line="20" w:lineRule="exact"/>
              <w:rPr>
                <w:sz w:val="1"/>
                <w:szCs w:val="1"/>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80" w:type="dxa"/>
            <w:vAlign w:val="bottom"/>
            <w:gridSpan w:val="3"/>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1,230,891,074</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$18,839.8</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$ 4,607.5</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40,483,663</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$(504.3)</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$20,014.3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2,801,327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dividends declared, $0.12 per common share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1,233,752,840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3</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18,853.3</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$ 4,133.9</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40,483,663</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(504.3)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r>
              <w:rPr>
                <w:rFonts w:ascii="Times New Roman" w:cs="Times New Roman" w:eastAsia="Times New Roman" w:hAnsi="Times New Roman"/>
                <w:sz w:val="18"/>
                <w:szCs w:val="18"/>
                <w:u w:val="single" w:color="auto"/>
                <w:color w:val="auto"/>
              </w:rPr>
              <w:t>2)</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$19,520.0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9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2"/>
            <w:vMerge w:val="restart"/>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20" w:type="dxa"/>
            <w:vAlign w:val="bottom"/>
            <w:gridSpan w:val="4"/>
            <w:vMerge w:val="continue"/>
          </w:tcPr>
          <w:p>
            <w:pPr>
              <w:spacing w:after="0"/>
              <w:rPr>
                <w:sz w:val="9"/>
                <w:szCs w:val="9"/>
                <w:color w:val="auto"/>
              </w:rPr>
            </w:pP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1,221,994,491</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$18,814.7</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$ 4,639.7</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21,239,521</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$(251.8)</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$20,467.4</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11,643,434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2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repurchase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19,244,142</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declared, $0.24 per common share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1,233,752,840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18,853.3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$ 4,133.9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40,483,663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(504.3)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r>
              <w:rPr>
                <w:rFonts w:ascii="Times New Roman" w:cs="Times New Roman" w:eastAsia="Times New Roman" w:hAnsi="Times New Roman"/>
                <w:sz w:val="18"/>
                <w:szCs w:val="18"/>
                <w:u w:val="single" w:color="auto"/>
                <w:color w:val="auto"/>
              </w:rPr>
              <w:t>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$19,520.0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3"/>
        </w:trPr>
        <w:tc>
          <w:tcPr>
            <w:tcW w:w="4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9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2"/>
            <w:vMerge w:val="restart"/>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20" w:type="dxa"/>
            <w:vAlign w:val="bottom"/>
            <w:gridSpan w:val="5"/>
            <w:vMerge w:val="continue"/>
          </w:tcPr>
          <w:p>
            <w:pPr>
              <w:spacing w:after="0"/>
              <w:rPr>
                <w:sz w:val="9"/>
                <w:szCs w:val="9"/>
                <w:color w:val="auto"/>
              </w:rPr>
            </w:pPr>
          </w:p>
        </w:tc>
        <w:tc>
          <w:tcPr>
            <w:tcW w:w="108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1,220,224,204</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$18,679.6</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$ 5,252.5</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21,239,521</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(251.8)</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$20,927.9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92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92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dividends declared, $0.12 per common share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1,220,385,566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2</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18,719.4</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$ 5,369.1</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21,239,521</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(251.8)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r>
              <w:rPr>
                <w:rFonts w:ascii="Times New Roman" w:cs="Times New Roman" w:eastAsia="Times New Roman" w:hAnsi="Times New Roman"/>
                <w:sz w:val="18"/>
                <w:szCs w:val="18"/>
                <w:u w:val="single" w:color="auto"/>
                <w:color w:val="auto"/>
              </w:rPr>
              <w:t>6)</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$20,843.3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9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2"/>
            <w:vMerge w:val="restart"/>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20" w:type="dxa"/>
            <w:vAlign w:val="bottom"/>
            <w:gridSpan w:val="5"/>
            <w:vMerge w:val="continue"/>
          </w:tcPr>
          <w:p>
            <w:pPr>
              <w:spacing w:after="0"/>
              <w:rPr>
                <w:sz w:val="9"/>
                <w:szCs w:val="9"/>
                <w:color w:val="auto"/>
              </w:rPr>
            </w:pPr>
          </w:p>
        </w:tc>
        <w:tc>
          <w:tcPr>
            <w:tcW w:w="108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1,213,793,231</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$18,645.8</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$ 5,175.6</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$21,072.3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92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6,422,573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92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stock repurchase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21,239,521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(251.8)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dividends declared, $0.24 per common share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1,220,385,566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18,719.4</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$ 5,369.1</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21,239,521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(251.8)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r>
              <w:rPr>
                <w:rFonts w:ascii="Times New Roman" w:cs="Times New Roman" w:eastAsia="Times New Roman" w:hAnsi="Times New Roman"/>
                <w:sz w:val="18"/>
                <w:szCs w:val="18"/>
                <w:u w:val="single" w:color="auto"/>
                <w:color w:val="auto"/>
              </w:rPr>
              <w:t>6)</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$20,843.3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r>
      <w:tr>
        <w:trPr>
          <w:trHeight w:val="23"/>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earnings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488.7</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earnings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1,416.7</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Loss on disposal of business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Acquired IPR&amp;D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non-cash items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Litigation settlements and other contingencies,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1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w:t>
            </w:r>
          </w:p>
        </w:tc>
      </w:tr>
      <w:tr>
        <w:trPr>
          <w:trHeight w:val="213"/>
        </w:trPr>
        <w:tc>
          <w:tcPr>
            <w:tcW w:w="8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r>
      <w:tr>
        <w:trPr>
          <w:trHeight w:val="21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3"/>
        </w:trPr>
        <w:tc>
          <w:tcPr>
            <w:tcW w:w="8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operating assets and liabilities,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w:t>
            </w:r>
          </w:p>
        </w:tc>
      </w:tr>
      <w:tr>
        <w:trPr>
          <w:trHeight w:val="212"/>
        </w:trPr>
        <w:tc>
          <w:tcPr>
            <w:tcW w:w="8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1,496.3</w:t>
            </w:r>
          </w:p>
        </w:tc>
      </w:tr>
      <w:tr>
        <w:trPr>
          <w:trHeight w:val="19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the sale of marketable securities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product rights and other,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Refunds (purchases) of IPR&amp;D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assets and subsidiaries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the sale of property, plant and equipment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2"/>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(836.3)</w:t>
            </w:r>
          </w:p>
        </w:tc>
      </w:tr>
      <w:tr>
        <w:trPr>
          <w:trHeight w:val="19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short-term borrowings, net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Contingent consideration payments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Non-contingent payments for product rights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items,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07"/>
        </w:trPr>
        <w:tc>
          <w:tcPr>
            <w:tcW w:w="8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(1,278.2)</w:t>
            </w:r>
          </w:p>
        </w:tc>
      </w:tr>
      <w:tr>
        <w:trPr>
          <w:trHeight w:val="212"/>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on cash of changes in exchange rates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07"/>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w:t>
            </w:r>
          </w:p>
        </w:tc>
      </w:tr>
      <w:tr>
        <w:trPr>
          <w:trHeight w:val="21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1,262.5</w:t>
            </w:r>
          </w:p>
        </w:tc>
      </w:tr>
      <w:tr>
        <w:trPr>
          <w:trHeight w:val="212"/>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631.4</w:t>
            </w:r>
          </w:p>
        </w:tc>
      </w:tr>
      <w:tr>
        <w:trPr>
          <w:trHeight w:val="21"/>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loss, financial position, equity and cash flows for the periods presented.</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consolidated financial statements and notes thereto in Viatris’ 2023 Form 10-K. The December 31, 2023 condensed consolidated balance sheet was derived from audited financial statements.</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interim results of operations and comprehensive loss for the three and six months ended June 30, 2024, and cash flows for the six months ended June 30, 2024, are not necessarily indicative of the results to be expected for the full fiscal year or any other future period.</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Beginning in 2024, upfront and milestone payments related to externally developed IPR&amp;D projects acquired directly in a transaction other than a business combination, which were previously included in cash flows from operating activities in the condensed consolidated statements of cash flows, are now classified as cash flows from investing activities. Certain reclassifications were made to conform the prior period condensed consolidated financial statements to the current period presentation. The adjustments resulted in an increase to net cash provided by operating activities and an increase to net cash used in investing activities of $10.2 million for the six months ended June 30, 2023.</w:t>
      </w:r>
    </w:p>
    <w:p>
      <w:pPr>
        <w:spacing w:after="0" w:line="200" w:lineRule="exact"/>
        <w:rPr>
          <w:sz w:val="20"/>
          <w:szCs w:val="20"/>
          <w:color w:val="auto"/>
        </w:rPr>
      </w:pPr>
    </w:p>
    <w:p>
      <w:pPr>
        <w:spacing w:after="0" w:line="22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Accounts Receivable</w:t>
      </w:r>
    </w:p>
    <w:p>
      <w:pPr>
        <w:spacing w:after="0" w:line="227"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spacing w:after="0" w:line="18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net sales by product category for each of our reportable segments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6"/>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30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0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20" w:type="dxa"/>
            <w:vAlign w:val="bottom"/>
          </w:tcPr>
          <w:p>
            <w:pPr>
              <w:spacing w:after="0"/>
              <w:rPr>
                <w:sz w:val="16"/>
                <w:szCs w:val="16"/>
                <w:color w:val="auto"/>
              </w:rPr>
            </w:pPr>
          </w:p>
        </w:tc>
        <w:tc>
          <w:tcPr>
            <w:tcW w:w="4400" w:type="dxa"/>
            <w:vAlign w:val="bottom"/>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80" w:type="dxa"/>
            <w:vAlign w:val="bottom"/>
            <w:vMerge w:val="continue"/>
          </w:tcPr>
          <w:p>
            <w:pPr>
              <w:spacing w:after="0"/>
              <w:rPr>
                <w:sz w:val="15"/>
                <w:szCs w:val="15"/>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4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JANZ</w:t>
            </w:r>
          </w:p>
        </w:tc>
        <w:tc>
          <w:tcPr>
            <w:tcW w:w="18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1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2,412.6</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4,672.2</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2,767.2</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6"/>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2,444.7</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6"/>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4,865.0</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2,763.6</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0" w:lineRule="exact"/>
        <w:rPr>
          <w:sz w:val="20"/>
          <w:szCs w:val="20"/>
          <w:color w:val="auto"/>
        </w:rPr>
      </w:pPr>
    </w:p>
    <w:p>
      <w:pPr>
        <w:ind w:left="660" w:right="160" w:hanging="328"/>
        <w:spacing w:after="0" w:line="229" w:lineRule="auto"/>
        <w:tabs>
          <w:tab w:leader="none" w:pos="65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for the three and six months ended June 30, 2024 include the impact of foreign currency translations and divested businesses compared to the prior year period.</w:t>
      </w:r>
    </w:p>
    <w:p>
      <w:pPr>
        <w:spacing w:after="0" w:line="88" w:lineRule="exact"/>
        <w:rPr>
          <w:rFonts w:ascii="Times New Roman" w:cs="Times New Roman" w:eastAsia="Times New Roman" w:hAnsi="Times New Roman"/>
          <w:sz w:val="23"/>
          <w:szCs w:val="23"/>
          <w:color w:val="auto"/>
          <w:vertAlign w:val="superscript"/>
        </w:rPr>
      </w:pPr>
    </w:p>
    <w:p>
      <w:pPr>
        <w:ind w:left="660" w:right="60" w:hanging="328"/>
        <w:spacing w:after="0" w:line="230" w:lineRule="auto"/>
        <w:tabs>
          <w:tab w:leader="none" w:pos="64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i w:val="1"/>
          <w:iCs w:val="1"/>
          <w:color w:val="auto"/>
        </w:rPr>
        <w:t>Complex Gx</w:t>
      </w:r>
      <w:r>
        <w:rPr>
          <w:rFonts w:ascii="Times New Roman" w:cs="Times New Roman" w:eastAsia="Times New Roman" w:hAnsi="Times New Roman"/>
          <w:sz w:val="18"/>
          <w:szCs w:val="18"/>
          <w:color w:val="auto"/>
        </w:rPr>
        <w:t>, which were previously presented as a separate line item in the prior year period, are now included within</w:t>
      </w:r>
      <w:r>
        <w:rPr>
          <w:rFonts w:ascii="Times New Roman" w:cs="Times New Roman" w:eastAsia="Times New Roman" w:hAnsi="Times New Roman"/>
          <w:sz w:val="18"/>
          <w:szCs w:val="18"/>
          <w:i w:val="1"/>
          <w:iCs w:val="1"/>
          <w:color w:val="auto"/>
        </w:rPr>
        <w:t xml:space="preserve"> Generics. </w:t>
      </w:r>
      <w:r>
        <w:rPr>
          <w:rFonts w:ascii="Times New Roman" w:cs="Times New Roman" w:eastAsia="Times New Roman" w:hAnsi="Times New Roman"/>
          <w:sz w:val="18"/>
          <w:szCs w:val="18"/>
          <w:color w:val="auto"/>
        </w:rPr>
        <w:t>Reclassifications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made to prior periods to conform to the current period presentation.</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sales on a consolidated basis for select key products for the three and six months ended June 30, 2024 and 2023,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60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7"/>
                <w:szCs w:val="17"/>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Select Key Global Products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Lipitor ®</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Norvasc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Lyrica ®</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EpiPen® Auto-Injectors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Viagra ®</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Creon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Celebrex ®</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Effexor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Zoloft ®</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Xalabrands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Select Key Segment Products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Dymista ®</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Yupelri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Amitiza ®</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34"/>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Xanax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3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does not disclose net sales for any products considered competitively sensitive.</w:t>
      </w:r>
    </w:p>
    <w:p>
      <w:pPr>
        <w:spacing w:after="0" w:line="4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Products disclosed may change in future periods, including as a result of seasonality, competition or new product launches.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for the three and six months ended June 30, 2024 include the impact of foreign currency translations compared to the prior year period.</w:t>
      </w:r>
    </w:p>
    <w:p>
      <w:pPr>
        <w:spacing w:after="0" w:line="55"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intellectual property matters included in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for additional information regarding Yupelri® and Amitiza®.</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Variable Consideration and Accounts Receivable</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sales to net sales by each significant category of variable consideration during the three and six months ended June 30, 2024 and 2023, respectively:</w:t>
      </w:r>
    </w:p>
    <w:p>
      <w:pPr>
        <w:spacing w:after="0" w:line="74"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2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12,792.0</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to net adjustments: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Chargebacks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Rebates, promotional programs and other sales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Returns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Governmental rebate programs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gross to net adjustments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(5,163.4)</w:t>
            </w:r>
          </w:p>
        </w:tc>
        <w:tc>
          <w:tcPr>
            <w:tcW w:w="0" w:type="dxa"/>
            <w:vAlign w:val="bottom"/>
          </w:tcPr>
          <w:p>
            <w:pPr>
              <w:spacing w:after="0"/>
              <w:rPr>
                <w:sz w:val="1"/>
                <w:szCs w:val="1"/>
                <w:color w:val="auto"/>
              </w:rPr>
            </w:pPr>
          </w:p>
        </w:tc>
      </w:tr>
      <w:tr>
        <w:trPr>
          <w:trHeight w:val="223"/>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7,628.6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No significant revisions were made to the methodology used in determining these provisions or the nature of the provisions during the three and six months ended June 30, 2024. Such allowances were comprised of the following at June 30, 2024 and December 31, 2023, respectively:</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net was comprised of the following at June 30, 2024 and December 31, 2023, respectively:</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3"/>
                <w:szCs w:val="13"/>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3,700.4</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Accounts Receivable Factoring Arrangements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$59.8 million and $30.8 million of accounts receivable as of June 30, 2024 and December 31, 2023, respectively, under these factoring arrangements. Additionally, in 2023, we entered into a similar arrangement for certain European countries. As of June 30, 2024 and December 31, 2023, we have assigned and derecognized approximately $375.2 million and $415.7 million, respectively, of </w:t>
      </w:r>
      <w:r>
        <w:rPr>
          <w:rFonts w:ascii="Times New Roman" w:cs="Times New Roman" w:eastAsia="Times New Roman" w:hAnsi="Times New Roman"/>
          <w:sz w:val="18"/>
          <w:szCs w:val="18"/>
          <w:i w:val="1"/>
          <w:iCs w:val="1"/>
          <w:color w:val="auto"/>
        </w:rPr>
        <w:t>Trade Receivables, Net,</w:t>
      </w:r>
      <w:r>
        <w:rPr>
          <w:rFonts w:ascii="Times New Roman" w:cs="Times New Roman" w:eastAsia="Times New Roman" w:hAnsi="Times New Roman"/>
          <w:sz w:val="18"/>
          <w:szCs w:val="18"/>
          <w:color w:val="auto"/>
        </w:rPr>
        <w:t xml:space="preserve"> which are now included in </w:t>
      </w:r>
      <w:r>
        <w:rPr>
          <w:rFonts w:ascii="Times New Roman" w:cs="Times New Roman" w:eastAsia="Times New Roman" w:hAnsi="Times New Roman"/>
          <w:sz w:val="18"/>
          <w:szCs w:val="18"/>
          <w:i w:val="1"/>
          <w:iCs w:val="1"/>
          <w:color w:val="auto"/>
        </w:rPr>
        <w:t>Other Receivables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Accounting Standards and Disclosure Rules Issued Not Yet Adopted</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March 2024, the SEC adopted final rules under SEC Release No. 34-99678 and No. 33-11275, “The Enhancement and Standardization of Climate-Related Disclosures for Investors” (the “Final Rules”), which will require registrants to provide certain climate-related information in their registration statements and annual reports. The Final Rules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Final Rules will also require disclosure outside of the financial statements of material scope 1 and scope 2 greenhouse gas emissions, among other climate-related disclosures. The disclosure requirements of the Final Rules will begin phasing in for the Company for fiscal year 2025. In April 2024, the SEC stayed the effectiveness of the Final Rules. The Company is currently assessing the impact of the new rules on its consolidated financial statements and disclosures.</w:t>
      </w:r>
    </w:p>
    <w:p>
      <w:pPr>
        <w:spacing w:after="0" w:line="21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There were no other significant changes in new accounting standards from those disclosed in Viatris’ 2023 Form 10-K. Refer to Viatris’ 2023 Form 10-K for additional information.</w:t>
      </w:r>
    </w:p>
    <w:p>
      <w:pPr>
        <w:spacing w:after="0" w:line="200" w:lineRule="exact"/>
        <w:rPr>
          <w:sz w:val="20"/>
          <w:szCs w:val="20"/>
          <w:color w:val="auto"/>
        </w:rPr>
      </w:pPr>
    </w:p>
    <w:p>
      <w:pPr>
        <w:spacing w:after="0" w:line="20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Other Transactions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Idorsia</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March 15, 2024, the Company acquired the development programs and certain personnel related to selatogrel and cenerimod from Idorsia in exchange for an upfront payment to Idorsia of $350 million, potential milestone payments (including $300 million payable upon the achievement of certain development and regulatory milestones, and $2.1 billion payable upon the achievement of certain tiered sales milestones), as well as potential contingent tiered sales royalties. Viatris and Idorsia are both contributing to the development costs for both programs. Viatris has worldwide commercialization rights for both selatogrel and cenerimod (excluding, for cenerimod only, Japan, South Korea and certain countries in the Asia-Pacific region). A joint development committee is overseeing the development of the ongoing Phase 3 programs through regulatory approval. The agreements also provide Viatris a right of first refusal and a right of first negotiation for certain other assets in Idorsia’s pipeline. The transaction expands our portfolio of innovative assets by adding two Phase 3 assets and combines our financial strength and worldwide operational infrastructure with Idorsia’s proven, highly-productive drug development team and innovation engine.</w:t>
      </w:r>
    </w:p>
    <w:p>
      <w:pPr>
        <w:spacing w:after="0" w:line="21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U.S. GAAP, the transaction has been accounted for as a business combination under the acquisition method of accounting. Under the acquisition method of accounting, the assets acquired and liabilities assumed in the transaction were recorded at their respective estimated fair values at the acquisition date. During the six months ended June 30, 2024, the Company incurred acquisition-related costs of approximately $3.9 million, which were recorded primarily in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in the condensed consolidated statements of operations.</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U.S. GAAP purchase price allocated to the transaction was $695 million, which consisted of $350 million of cash consideration paid and estimated contingent consideration at the date of acquisition valued at approximately $345 million. The fair value of the contingent consideration was valued using a Monte Carlo simulation model using Level 3 inputs. The fair value is sensitive to changes in the forecasts of operating metrics, probability of success, and discount rates. 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for additional information. The preliminary allocation of the purchase price to the assets acquired and liabilities assumed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9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w:t>
            </w:r>
          </w:p>
        </w:tc>
      </w:tr>
      <w:tr>
        <w:trPr>
          <w:trHeight w:val="20"/>
        </w:trPr>
        <w:tc>
          <w:tcPr>
            <w:tcW w:w="9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areas subject to change relate to the finalization of the valuation of IPR&amp;D, contingent consideration, and income taxes.</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$675 million was based on the excess earnings method, which utilizes forecasts of expected cash inflows (including estimates for ongoing costs) and other contributory charges. A discount rate of 20%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asset. Viatris and Idorsia will both contribute to the development costs for both programs, which are expected to be incurred through 2026. There are risks and uncertainties associated with the timely and successful completion of the projects included in IPR&amp;D, and no assurances can be given that the underlying assumptions used to estimate the fair value of IPR&amp;D will not change or the timely completion of each project to commercial success will occur.</w:t>
      </w:r>
    </w:p>
    <w:p>
      <w:pPr>
        <w:spacing w:after="0" w:line="188"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goodwill of $19.5 million arising from the acquisition consisted largely of the value of the employee workforce and the expected value of products to be developed in the future. All of the goodwill was assigned to the Developed Markets segment. None of the goodwill recognized in this transaction is currently expected to be deductible for income tax purposes. The acquisition did not have a material impact on the Company’s results of operations since the acquisition date or on a pro forma basis for the three and six months ended June 30, 2024 and 2023.</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Divestitures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October 1, 2023, the Company announced it received an offer for the divestiture of its OTC Business, and entered into definitive agreements to divest its women’s healthcare business and, separately, in another transaction, its rights to two women’s healthcare products in certain countries, its API business in India and commercialization rights in the Upjohn Distributor Markets. The OTC, API and women’s healthcare businesses are deemed businesses for U.S. GAAP accounting purposes. As such, the assets and liabilities include an allocation of goodwill. The sale of the rights to two women’s healthcare products in certain countries was accounted for as an asset sale. In conjunction with these transactions, Viatris and the respective buyers have entered into various agreements to provide a framework for our relationship with the respective buyers after the closing of the divestitures, including transition services agreements, manufacturing and supply agreements, and distribution agreements, as necessary.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June 30, 2024 and 2023, the Company recognized TSA income related to the divestitures of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million and $46.9 million, respectively. During the six months ended June 30, 2024 and 2023, the Company recognized TSA income related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divestitures of approximately $19.5 million and $92.6 million, respectively. TSA income is recorded as a component of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Women’s Healthcare</w:t>
      </w:r>
    </w:p>
    <w:p>
      <w:pPr>
        <w:spacing w:after="0" w:line="1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the third quarter of 2023, Viatris executed an agreement to divest its women’s healthcare business to Insud Pharma, S. L., a leading Spanish multinational pharmaceutical company. The divestiture of the women’s healthcare business is primarily related to our oral and injectable contraceptives and does not include all of our women’s healthcare related products; as an example, our Xulane® product in the U.S. is excluded. The transaction includes two manufacturing facilities in India. Assets and liabilities associated with the women’s healthcare business divested were classified as held for sale in the consolidated balance sheet as of December 31, 2023. The transaction closed in March 2024 and upon closing, the Company recognized a pre-tax gain on sale of approximately $80.8 million in that quarter for the difference between the consideration received and the carrying value of the assets transferred (including an allocation of goodwill). The gain was recorded as a component of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in the condensed consolidated statement of operations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the third quarter of 2023, Viatris also entered into a separate agreement to divest its rights to women’s healthcare products Duphaston® and Femoston® in certain countries to Theramex HQ UK Limited, a leading global specialty pharmaceutical company dedicated to women’s health. The transaction (other than in the U.K., which remains subject to regulatory approval) closed in December 2023, and upon closing, the Company recognized a pre-tax gain on sale of approximately $156.2 million in that quarter for the difference between the consideration received and the carrying value of the assets transferred. The gain was recorded as a component of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expense in the consolidated statement of operations during the year ended December 31, 2023.</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OTC</w:t>
      </w:r>
    </w:p>
    <w:p>
      <w:pPr>
        <w:spacing w:after="0" w:line="1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October 1, 2023, Viatris received an offer from Cooper Consumer Health SAS, a leading European OTC drug manufacturer and distributor, for Viatris to divest its OTC Business, including two manufacturing sites located in Merignac, France, and Confienza, Italy, and an R&amp;D site in Monza, Italy. In January 2024, we exercised our option to accept the offer in the OTC Transaction and entered into a definitive transaction agreement with respect to such OTC Transaction. The Company retained the rights for Viagra®, Dymista® (which, in certain limited markets, are sold as OTC products) and select OTC products in certain markets. The OTC Transaction closed on July 3, 2024.</w:t>
      </w:r>
    </w:p>
    <w:p>
      <w:pPr>
        <w:spacing w:after="0" w:line="21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OTC Business divested met the criteria to be classified as held for sale on October 1, 2023. As such, the related assets and liabilities were classified as held for sale in the condensed consolidated balance sheets as of June 30, 2024 and December 31, 2023. Upon classification as held for sale in the fourth quarter of 2023, we recognized a total charge of approximately $734.7 million, which was comprised of a goodwill impairment charge of approximately $580.1 million (recorded as a component of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expense), and a charge of approximately $154.7 million to write down the disposal group to fair value, less cost to sell (recorded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consolidated statement of operations. During the three and six months ended June 30, 2024, the Company recorded an additional pre-tax charge of approximately $247.6 million to further write down the disposal group to fair value, less cost to sell. The additional charge was recorded as a component of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in the condensed consolidated statement of operations, and was primarily due to an increase in estimated transaction related costs, including the assumption of additional contractual obligations, as well as the impact of working capital and other transaction related adjustments on the estimated proceeds.</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API</w:t>
      </w:r>
    </w:p>
    <w:p>
      <w:pPr>
        <w:spacing w:after="0" w:line="11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October 1, 2023, Viatris executed an agreement to divest its API business in India to Matrix Pharma Private Limited, a privately held pharmaceutical company based in India. The transaction includes three manufacturing sites and a R&amp;D lab in Hyderabad, three manufacturing sites in Vizag and third-party API sales. Viatris will retain some selective R&amp;D capabilities in API. The transaction closed in June 2024. The API business in India met the criteria to be classified as held for sale on October 1, 2023 and the related assets and liabilities were reclassified as held for sale in the consolidated balance sheet as of December 31, 2023. During the three and six months ended June 30, 2024, the Company recognized a pre-tax charge of approximately $7.0 million and $17.4 million, respectively, to write down the disposal group to fair value, less cost to sell (recorded as a component of </w:t>
      </w:r>
      <w:r>
        <w:rPr>
          <w:rFonts w:ascii="Times New Roman" w:cs="Times New Roman" w:eastAsia="Times New Roman" w:hAnsi="Times New Roman"/>
          <w:sz w:val="18"/>
          <w:szCs w:val="18"/>
          <w:i w:val="1"/>
          <w:iCs w:val="1"/>
          <w:color w:val="auto"/>
        </w:rPr>
        <w:t>Other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Net) </w:t>
      </w:r>
      <w:r>
        <w:rPr>
          <w:rFonts w:ascii="Times New Roman" w:cs="Times New Roman" w:eastAsia="Times New Roman" w:hAnsi="Times New Roman"/>
          <w:sz w:val="18"/>
          <w:szCs w:val="18"/>
          <w:color w:val="auto"/>
        </w:rPr>
        <w:t>in the condensed consolidated statement of operations.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Upjohn Distributor Markets</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the fourth quarter of 2022, the commercialization rights in the Upjohn Distributor Markets met the criteria to be classified as held for sale. Upon classification as held for sale, the Company recognized a total charge of $374.2 million in 2022, which was comprised of a goodwill impairment charge of $117.0 million, other charges, principally inventory write-offs, of $84.3 million and a charge of approximately $172.9 million to write down the disposal group to fair value, less cost to sell. During the three and six months ended June 30, 2023, the Company recorded additional charges of $10.0 million and $19.2 million, respectively. During the six months ended June 30, 2023, the Company additionally recorded an intangible asset charge of $32.0 million to write down the disposal group to fair value, less cost to sell. Total charges during the year ended December 31, 2023 amounted to $136.4 million, primarily consisting of losses on the disposals of $85.2 million, which were recorded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The divestitures of the commercialization rights in certain of the Upjohn Distributor Markets closed during 2023 and 2024, and the remaining transactions are expected to be completed during 2024. If the remaining transactions are not completed, the distribution arrangements will expire in accordance with our agreement with Pfizer and the Company will wind down operations in these markets, which may result in additional asset write-offs and other costs being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Biocon Biologics Transaction</w:t>
      </w:r>
    </w:p>
    <w:p>
      <w:pPr>
        <w:spacing w:after="0" w:line="11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November 29, 2022, Viatris completed a transaction to contribute its biosimilars portfolio to Biocon Biologics.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During the three months ended June 30, 2024 and 2023, the Company recorded a gain of $282.4 million and $28.9 million, respectively, and during the six months ended June 30, 2024 and 2023, the Company recognized a gain of $329.3 million and $31.5 million, respectively, as a result of remeasuring the CCPS in Biocon Biologics to fair value. The increase is primarily related to changes in certain market factors, including Biocon’s share price. The Company’s CCPS in Biocon Biologics are classified as equity securities and are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condensed consolidated balance sheets, and gains and losses recorded as a result of remeasuring the CCPS in Biocon Biologics to fair value are recorded as a component of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The fair value is reassessed quarterly. 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for further discussion. Viatris received $145 million during the six months ended June 30, 2024. In addition, Viatris and Biocon Biologics have agreed to a closing working capital target of $250 million, of which</w:t>
      </w:r>
    </w:p>
    <w:p>
      <w:pPr>
        <w:spacing w:after="0" w:line="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$220 million was paid during 2023. Viatris and Biocon Biologics have tentatively agreed to offset certain amounts due between the parties, including the remaining working capital target amount. The Company is entitled to an additional $160 million in cash payments in the fourth quarter of 2024 as deferred consideration pursuant to the terms of the Biocon Agreement. Refer to Note 8 </w:t>
      </w:r>
      <w:r>
        <w:rPr>
          <w:rFonts w:ascii="Times New Roman" w:cs="Times New Roman" w:eastAsia="Times New Roman" w:hAnsi="Times New Roman"/>
          <w:sz w:val="18"/>
          <w:szCs w:val="18"/>
          <w:i w:val="1"/>
          <w:iCs w:val="1"/>
          <w:color w:val="auto"/>
        </w:rPr>
        <w:t>Balance Sheet Components</w:t>
      </w:r>
      <w:r>
        <w:rPr>
          <w:rFonts w:ascii="Times New Roman" w:cs="Times New Roman" w:eastAsia="Times New Roman" w:hAnsi="Times New Roman"/>
          <w:sz w:val="18"/>
          <w:szCs w:val="18"/>
          <w:color w:val="auto"/>
        </w:rPr>
        <w:t xml:space="preserve"> for additional information on assets and liabilities related to Biocon Biologics.</w:t>
      </w:r>
    </w:p>
    <w:p>
      <w:pPr>
        <w:spacing w:after="0" w:line="21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At the time of closing of the Biocon Biologics Transaction, Viatris and Biocon Biologics also entered an agreement pursuant to which Viatris was providing commercialization and certain other transition services on behalf of Biocon Biologics, including billings, collections, and the remittance of rebates, to ensure business continuity for patients, customers and colleagues. Biocon Biologics had substantially exited all transition services with Viatris as of December 31, 2023.</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Assets and Liabilities Held for Sale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Assets and liabilities held for sale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held for sale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w:t>
            </w:r>
          </w:p>
        </w:tc>
      </w:t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on assets held for sale</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23"/>
        </w:trPr>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 held for sale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2,786.0</w:t>
            </w: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8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held for sale</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30"/>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8"/>
        </w:trPr>
        <w:tc>
          <w:tcPr>
            <w:tcW w:w="8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held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Incentive Plan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Prior to the Distribution, Viatris adopted and Pfizer, in the capacity as Viatris’ sole stockholder at such time, approved the 2020 Incentive Plan (the </w:t>
      </w:r>
      <w:r>
        <w:rPr>
          <w:rFonts w:ascii="Times New Roman" w:cs="Times New Roman" w:eastAsia="Times New Roman" w:hAnsi="Times New Roman"/>
          <w:sz w:val="18"/>
          <w:szCs w:val="18"/>
          <w:i w:val="1"/>
          <w:iCs w:val="1"/>
          <w:color w:val="auto"/>
        </w:rPr>
        <w:t>Viatris Inc. 2020 Stock Incentive Plan</w:t>
      </w:r>
      <w:r>
        <w:rPr>
          <w:rFonts w:ascii="Times New Roman" w:cs="Times New Roman" w:eastAsia="Times New Roman" w:hAnsi="Times New Roman"/>
          <w:sz w:val="18"/>
          <w:szCs w:val="18"/>
          <w:color w:val="auto"/>
        </w:rPr>
        <w:t>) which became effective as of the Distribution. In connection with the Combination, as of November 16,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assumed the 2003 LTIP (</w:t>
      </w:r>
      <w:r>
        <w:rPr>
          <w:rFonts w:ascii="Times New Roman" w:cs="Times New Roman" w:eastAsia="Times New Roman" w:hAnsi="Times New Roman"/>
          <w:sz w:val="18"/>
          <w:szCs w:val="18"/>
          <w:i w:val="1"/>
          <w:iCs w:val="1"/>
          <w:color w:val="auto"/>
        </w:rPr>
        <w:t>Mylan N.V. Amended and Restated 2003 Long-Term Incentive Plan</w:t>
      </w:r>
      <w:r>
        <w:rPr>
          <w:rFonts w:ascii="Times New Roman" w:cs="Times New Roman" w:eastAsia="Times New Roman" w:hAnsi="Times New Roman"/>
          <w:sz w:val="18"/>
          <w:szCs w:val="18"/>
          <w:color w:val="auto"/>
        </w:rPr>
        <w:t>), which had previously been approved by Mylan shareholders. The 2020 Incentive Plan includes 72,500,000 shares of Viatris’ common stock authorized for grant pursuant to the 2020 Incentive Plan, which may include dividend payments payable in common stock on unvested shares granted under awards. No shares remain available for issuance under the 2003 LTIP, however, certain awards remain outstanding under the plan.</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Under the 2020 Incentive Plan,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awards (stock options and SARs) activity: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14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Under Stock Awards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3,578,704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June 30,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3,566,869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0" w:type="dxa"/>
            <w:vAlign w:val="bottom"/>
          </w:tcPr>
          <w:p>
            <w:pPr>
              <w:spacing w:after="0"/>
              <w:rPr>
                <w:sz w:val="1"/>
                <w:szCs w:val="1"/>
                <w:color w:val="auto"/>
              </w:rPr>
            </w:pPr>
          </w:p>
        </w:tc>
      </w:tr>
      <w:tr>
        <w:trPr>
          <w:trHeight w:val="234"/>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3,491,381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stock awards outstanding, stock awards vested and expected to vest, and stock awards exercisable had average remaining contractual terms of 3.6 years, 3.5 years and 3.4 years, respectively. Also, at June 30, 2024, stock awards outstanding, stock awards vested and expected to vest, and stock awards exercisable had aggregate intrinsic values of $0.4 million, $0.3 million, and $0.2 million,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rollforward of the changes in the Company’s nonvested Restricted Stock Awards (restricted stock and restricted stock unit awards,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from December 31, 2023 to June 30, 2024 is presented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8"/>
        </w:trPr>
        <w:tc>
          <w:tcPr>
            <w:tcW w:w="8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31,096,783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13,842,443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(11,101,232)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(3,280,961)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30,557,033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$239.7 million of total unrecognized compensation expense, net of estimated forfeitures, related to all of its stock-based awards, which we expect to recognize over the remaining weighted average vesting period of 1.7 years. The total intrinsic value of Restricted Stock Awards released and stock options exercised during the six months ended June 30, 2024 and 2023 was $137.9 million and $101.6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right="7540" w:hanging="332"/>
        <w:spacing w:after="0" w:line="503" w:lineRule="auto"/>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Pensions and Other Postretirement Benefits </w:t>
      </w:r>
      <w:r>
        <w:rPr>
          <w:rFonts w:ascii="Times New Roman" w:cs="Times New Roman" w:eastAsia="Times New Roman" w:hAnsi="Times New Roman"/>
          <w:sz w:val="18"/>
          <w:szCs w:val="18"/>
          <w:i w:val="1"/>
          <w:iCs w:val="1"/>
          <w:color w:val="auto"/>
        </w:rPr>
        <w:t>Defined Benefit Plans</w:t>
      </w: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7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Periodic Benefit Cost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net periodic benefit cost for the three and six months ended June 30, 2024 and 2023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Pension and Other Postretirement Benefits</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22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8"/>
        </w:trPr>
        <w:tc>
          <w:tcPr>
            <w:tcW w:w="6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is making the minimum mandatory contributions to its defined benefit pension plans in the U.S. and Puerto Rico for the 2024 plan year. The Company expects to make total benefit payments of approximately $114.4 million from pension and other postretirement benefit plans in 2024. The Company anticipates making contributions to pension and other postretirement benefit plans of approximately $61.3 million in 2024.</w:t>
      </w:r>
    </w:p>
    <w:p>
      <w:pPr>
        <w:spacing w:after="0" w:line="200" w:lineRule="exact"/>
        <w:rPr>
          <w:sz w:val="20"/>
          <w:szCs w:val="20"/>
          <w:color w:val="auto"/>
        </w:rPr>
      </w:pPr>
    </w:p>
    <w:p>
      <w:pPr>
        <w:spacing w:after="0" w:line="21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Selected balance sheet components consist of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6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0" w:type="dxa"/>
            <w:vAlign w:val="bottom"/>
          </w:tcPr>
          <w:p>
            <w:pPr>
              <w:spacing w:after="0"/>
              <w:rPr>
                <w:sz w:val="1"/>
                <w:szCs w:val="1"/>
                <w:color w:val="auto"/>
              </w:rPr>
            </w:pPr>
          </w:p>
        </w:tc>
      </w:tr>
      <w:tr>
        <w:trPr>
          <w:trHeight w:val="21"/>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due from Biocon Biologics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fixed income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financial instruments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 for taxes on intercompany profit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80" w:type="dxa"/>
            <w:vAlign w:val="bottom"/>
            <w:tcBorders>
              <w:top w:val="single" w:sz="8" w:color="CCEEFF"/>
              <w:bottom w:val="single" w:sz="8" w:color="CCEEFF"/>
            </w:tcBorders>
            <w:vMerge w:val="restart"/>
          </w:tcPr>
          <w:p>
            <w:pPr>
              <w:ind w:left="640"/>
              <w:spacing w:after="0"/>
              <w:rPr>
                <w:sz w:val="20"/>
                <w:szCs w:val="20"/>
                <w:color w:val="auto"/>
              </w:rPr>
            </w:pPr>
            <w:r>
              <w:rPr>
                <w:rFonts w:ascii="Times New Roman" w:cs="Times New Roman" w:eastAsia="Times New Roman" w:hAnsi="Times New Roman"/>
                <w:sz w:val="18"/>
                <w:szCs w:val="18"/>
                <w:color w:val="auto"/>
              </w:rPr>
              <w:t>Prepaid expenses consist primarily of prepaid rent, insurance and other individually insignificant items.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Non-marketable equity investments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CCPS in Biocon Biologics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80" w:type="dxa"/>
            <w:vAlign w:val="bottom"/>
          </w:tcPr>
          <w:p>
            <w:pPr>
              <w:jc w:val="center"/>
              <w:ind w:left="38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0"/>
        </w:trPr>
        <w:tc>
          <w:tcPr>
            <w:tcW w:w="4880" w:type="dxa"/>
            <w:vAlign w:val="bottom"/>
            <w:vMerge w:val="continue"/>
          </w:tcPr>
          <w:p>
            <w:pPr>
              <w:spacing w:after="0"/>
              <w:rPr>
                <w:sz w:val="16"/>
                <w:szCs w:val="16"/>
                <w:color w:val="auto"/>
              </w:rPr>
            </w:pPr>
          </w:p>
        </w:tc>
        <w:tc>
          <w:tcPr>
            <w:tcW w:w="48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8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payables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7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22"/>
                <w:szCs w:val="22"/>
                <w:color w:val="auto"/>
              </w:rPr>
            </w:pP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allowances</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and professional accruals, including litigation accruals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 liabilities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restructuring</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financial instruments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3,393.9</w:t>
            </w:r>
          </w:p>
        </w:tc>
        <w:tc>
          <w:tcPr>
            <w:tcW w:w="0" w:type="dxa"/>
            <w:vAlign w:val="bottom"/>
          </w:tcPr>
          <w:p>
            <w:pPr>
              <w:spacing w:after="0"/>
              <w:rPr>
                <w:sz w:val="1"/>
                <w:szCs w:val="1"/>
                <w:color w:val="auto"/>
              </w:rPr>
            </w:pPr>
          </w:p>
        </w:tc>
      </w:tr>
      <w:tr>
        <w:trPr>
          <w:trHeight w:val="21"/>
        </w:trPr>
        <w:tc>
          <w:tcPr>
            <w:tcW w:w="87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obligations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21"/>
                <w:szCs w:val="21"/>
                <w:color w:val="auto"/>
              </w:rPr>
            </w:pP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liabilities</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related items, including contingencies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restructuring</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Other long-term obligations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660" w:right="300" w:hanging="328"/>
        <w:spacing w:after="0" w:line="230" w:lineRule="auto"/>
        <w:tabs>
          <w:tab w:leader="none" w:pos="589" w:val="left"/>
        </w:tabs>
        <w:numPr>
          <w:ilvl w:val="1"/>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Balance as of June 30, 2024 includes $353.0 million related to the Idorsia Transaction. Refer to Note 4 </w:t>
      </w:r>
      <w:r>
        <w:rPr>
          <w:rFonts w:ascii="Times New Roman" w:cs="Times New Roman" w:eastAsia="Times New Roman" w:hAnsi="Times New Roman"/>
          <w:sz w:val="18"/>
          <w:szCs w:val="18"/>
          <w:i w:val="1"/>
          <w:iCs w:val="1"/>
          <w:color w:val="auto"/>
        </w:rPr>
        <w:t>Acquisitions and Other Transactions</w:t>
      </w:r>
      <w:r>
        <w:rPr>
          <w:rFonts w:ascii="Times New Roman" w:cs="Times New Roman" w:eastAsia="Times New Roman" w:hAnsi="Times New Roman"/>
          <w:sz w:val="18"/>
          <w:szCs w:val="18"/>
          <w:color w:val="auto"/>
        </w:rPr>
        <w:t xml:space="preserve"> for additional information.</w:t>
      </w:r>
    </w:p>
    <w:p>
      <w:pPr>
        <w:spacing w:after="0" w:line="194" w:lineRule="exact"/>
        <w:rPr>
          <w:rFonts w:ascii="Times New Roman" w:cs="Times New Roman" w:eastAsia="Times New Roman" w:hAnsi="Times New Roman"/>
          <w:sz w:val="23"/>
          <w:szCs w:val="23"/>
          <w:color w:val="auto"/>
          <w:vertAlign w:val="superscript"/>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Earnings per Share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Basic (loss) earnings per share is computed by dividing net (loss) earnings attributable to holders of Viatris Inc. common stock by the weighted average number of shares outstanding during the period. Diluted (loss) earnings per share is computed by dividing net (loss) earnings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(loss) earnings per share attributable to Viatris Inc. are calculated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18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Basic (loss) earnings attributable to Viatris Inc. common shareholders</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earnings attributable to Viatris Inc. common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 (loss) earnings per share attributable to Viatris Inc.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 (loss) earnings attributable to Viatris Inc. common shareholders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earnings attributable to Viatris Inc. common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awards</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dilutive shares outstanding</w:t>
            </w: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1,204.6</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 (loss) earnings per share attributable to Viatris Inc.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Additional stock awards and Restricted Stock Awards were outstanding during the three and six months ended June 30, 2024 and 2023, but were not included in the computation of diluted (loss) earnings per share for each respective period because the effect would be anti-dilutive. Excluded shares at June 30, 2024 also include certain share-based compensation awards and restricted shares whose performance conditions had not been fully met. Such excluded shares and anti-dilutive awards represented 23.2 million shares and 22.7 million shares for the three and six months ended June 30, 2024, respectively, and 24.2 million shares and 19.0 million shares for the three and six months ended June 30, 2023, respectively.</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paid a quarterly dividend of $0.12 per share on the Company’s issued and outstanding common stock on March 18, 2024 and June 14, 2024. On August 5, 2024, the Company’s Board of Directors declared a quarterly cash dividend of $0.12 per share on the Company’s issued and outstanding common stock, which will be payable on September 13, 2024 to shareholders of record as of the close of business on August 23, 2024.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six months ended June 30, 2024 and 2023, the Company repurchased approximately 19.2 million shares of common stock at a cost of approximately $250 million, and approximately 21.2 million shares of common stock at a cost of approximately $250 million, respectively, under the program. As of June 30, 2024, the Company had repurchased a total of $500 million in shares under the program. The share repurchase program does not obligate the Company to acquire any particular amount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ind w:left="340" w:right="8520" w:hanging="332"/>
        <w:spacing w:after="0" w:line="503" w:lineRule="auto"/>
        <w:tabs>
          <w:tab w:leader="none" w:pos="33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six months ended June 30, 2024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Developed</w:t>
            </w:r>
          </w:p>
        </w:tc>
        <w:tc>
          <w:tcPr>
            <w:tcW w:w="140" w:type="dxa"/>
            <w:vAlign w:val="bottom"/>
          </w:tcPr>
          <w:p>
            <w:pPr>
              <w:spacing w:after="0"/>
              <w:rPr>
                <w:sz w:val="16"/>
                <w:szCs w:val="16"/>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6"/>
                <w:szCs w:val="16"/>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JANZ </w:t>
            </w:r>
            <w:r>
              <w:rPr>
                <w:rFonts w:ascii="Times New Roman" w:cs="Times New Roman" w:eastAsia="Times New Roman" w:hAnsi="Times New Roman"/>
                <w:sz w:val="18"/>
                <w:szCs w:val="18"/>
                <w:b w:val="1"/>
                <w:bCs w:val="1"/>
                <w:color w:val="auto"/>
                <w:vertAlign w:val="superscript"/>
              </w:rPr>
              <w:t>(2)</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280" w:type="dxa"/>
            <w:vAlign w:val="bottom"/>
          </w:tcPr>
          <w:p>
            <w:pPr>
              <w:spacing w:after="0"/>
              <w:rPr>
                <w:sz w:val="16"/>
                <w:szCs w:val="16"/>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Markets </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457"/>
              <w:spacing w:after="0"/>
              <w:rPr>
                <w:sz w:val="20"/>
                <w:szCs w:val="20"/>
                <w:color w:val="auto"/>
              </w:rPr>
            </w:pPr>
            <w:r>
              <w:rPr>
                <w:rFonts w:ascii="Times New Roman" w:cs="Times New Roman" w:eastAsia="Times New Roman" w:hAnsi="Times New Roman"/>
                <w:sz w:val="9"/>
                <w:szCs w:val="9"/>
                <w:b w:val="1"/>
                <w:bCs w:val="1"/>
                <w:color w:val="auto"/>
              </w:rPr>
              <w:t>(3)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9,867.1</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June 30, 2024 and December 31, 2023 include an accumulated impairment loss of $929.0 million.</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June 30, 2024 and December 31, 2023 include an accumulated impairment loss of $351.0 million and $30.0 million, respectively.</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June 30, 2024 and December 31, 2023 include an accumulated impairment loss of $124.0 million.</w:t>
      </w:r>
    </w:p>
    <w:p>
      <w:pPr>
        <w:spacing w:after="0" w:line="19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annually on April 1st or more frequently if events or changes in circumstances indicate that the carrying value of goodwill may not be recoverable. The Company performed the annual goodwill impairment test as of April 1, 2024.</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performed its annual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When compared to the prior year’s annual goodwill impairment test completed on April 1, 2023, due to certain macroeconomic conditions, the Company has experienced fluctuations in foreign exchange rates in certain international markets, combined with an increase in market interest rates. These conditions impacted all reporting units, with the most significant impact in JANZ and Emerging Markets. The impact in the other reporting units was offset by changes in other discount rate assumptions.</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April 1, 2024, the allocation of the Company’s total goodwill was as follows: North America $3.12 billion, Europe $3.86 billion, Emerging Markets $1.17 billion, JANZ $0.62 billion and Greater China $0.93 billion.</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conjunction with its annual goodwill impairment test, the Company recorded a goodwill impairment charge of $321.0 million during the second quarter of 2024 related to its JANZ reporting unit, which was recorded within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in the condensed consolidated statement of operations. The impairment charge was primarily the result of a 1.0% increase in the discount rate and a 0.5% reduction in the terminal growth rate assumption for the reporting unit.</w:t>
      </w:r>
    </w:p>
    <w:p>
      <w:pPr>
        <w:spacing w:after="0" w:line="20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For the JANZ reporting unit at April 1, 2024, the Company forecasted cash flows for the next 10 years. During the forecast period, the revenue compound annual growth rate was approximately negative 0.3%. A terminal year value was calculated with a 1.0% revenue growth rate applied. The discount rate utilized was 8.0% and the estimated tax rate was 30.3%.</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Following the goodwill impairment charge recorded in the JANZ reporting unit, the carrying value of the reporting unit was equal to its estimated fair value as of April 1, 2024. If market conditions or the projected results were to change materially, it may be necessary to record further impairment charges to the JANZ reporting unit in future periods.</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April 1, 2024, the Company determined that the fair values of the North America, Greater China, and Emerging Markets reporting units were substantially in excess of the respective unit’s carrying value.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the Europe reporting unit, the estimated fair value exceeded its carrying value by approximately $882 million or 7.9% for the annual goodwill impairment test. As it relates to the discounted cash flow approach for the Europe reporting unit at April 1, 2024, the Company forecasted cash flows for the next 10 years. During the forecast period, the revenue compound annual growth rate was approximately 2.5%. A terminal year value was calculated with a 2.0% revenue growth rate applied. The discount rate utilized was 10.0% and the estimated tax rate was 15.7%. If all other assumptions are held constant, a reduction in the terminal value growth rate by 1.5% or an increase in discount rate by 1.0% would result in an impairment charge for the Europe reporting unit.</w:t>
      </w:r>
    </w:p>
    <w:p>
      <w:pPr>
        <w:spacing w:after="0" w:line="21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components at June 30, 2024 and December 31,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Original Cost</w:t>
            </w:r>
          </w:p>
        </w:tc>
        <w:tc>
          <w:tcPr>
            <w:tcW w:w="1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1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Net Book Value</w:t>
            </w:r>
          </w:p>
        </w:tc>
        <w:tc>
          <w:tcPr>
            <w:tcW w:w="0" w:type="dxa"/>
            <w:vAlign w:val="bottom"/>
          </w:tcPr>
          <w:p>
            <w:pPr>
              <w:spacing w:after="0"/>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rights, licenses and other </w:t>
            </w:r>
            <w:r>
              <w:rPr>
                <w:rFonts w:ascii="Times New Roman" w:cs="Times New Roman" w:eastAsia="Times New Roman" w:hAnsi="Times New Roman"/>
                <w:sz w:val="23"/>
                <w:szCs w:val="23"/>
                <w:color w:val="auto"/>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16,226.1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17,526.9</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18,419.0</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rights, licenses and other </w:t>
            </w:r>
            <w:r>
              <w:rPr>
                <w:rFonts w:ascii="Times New Roman" w:cs="Times New Roman" w:eastAsia="Times New Roman" w:hAnsi="Times New Roman"/>
                <w:sz w:val="23"/>
                <w:szCs w:val="23"/>
                <w:color w:val="auto"/>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15,316.4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18,861.7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15,316.4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19,181.1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amortizable intangible assets. Other intangible assets consist principally of customer lists and contractual rights.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2024, the Company recorded IPR&amp;D of approximately $675.0 million as part of the Idorsia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Acquisitions and Other Transactions</w:t>
      </w:r>
      <w:r>
        <w:rPr>
          <w:rFonts w:ascii="Times New Roman" w:cs="Times New Roman" w:eastAsia="Times New Roman" w:hAnsi="Times New Roman"/>
          <w:sz w:val="18"/>
          <w:szCs w:val="18"/>
          <w:color w:val="auto"/>
        </w:rPr>
        <w:t xml:space="preserve"> for additional information.</w:t>
      </w:r>
    </w:p>
    <w:p>
      <w:pPr>
        <w:spacing w:after="0" w:line="23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Amortization expense, intangible asset disposal &amp; impairment charges and IPR&amp;D intangible asset impairment charges (which are included as a component of amortization expense) are classified primarily within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in the condensed consolidated statements of operations and were as follows for the three and six months ended June 30, 2024 and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disposal &amp; impairment charges</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IPR&amp;D intangible asset impairment charges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610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Total intangible asset amortization expense (including disposal &amp; impairment</w:t>
            </w: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0" w:type="dxa"/>
            <w:vAlign w:val="bottom"/>
          </w:tcPr>
          <w:p>
            <w:pPr>
              <w:spacing w:after="0"/>
              <w:rPr>
                <w:sz w:val="1"/>
                <w:szCs w:val="1"/>
                <w:color w:val="auto"/>
              </w:rPr>
            </w:pPr>
          </w:p>
        </w:tc>
      </w:tr>
      <w:tr>
        <w:trPr>
          <w:trHeight w:val="221"/>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charges)</w:t>
            </w:r>
          </w:p>
        </w:tc>
        <w:tc>
          <w:tcPr>
            <w:tcW w:w="3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2024, the Company concluded that one of its IPR&amp;D assets was fully impaired due to unfavorable clinical results and the termination of the development program.</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six months ended June 30, 2023, the Company recognized an intangible asset charge of approximately $32.0 million, which was recorded within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in the condensed consolidated statement of operations, to write down the disposal group to fair value, less cost to sell, related to our commercialization rights in the Upjohn Distributor Markets, which were classified as held for sale. Refer to Note 5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 amortization expense over the remainder of 2024 and for the years ending December 31, 2025 through 2028 is estimated to be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0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
        </w:trPr>
        <w:tc>
          <w:tcPr>
            <w:tcW w:w="5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Instruments and Risk Management</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 Management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has also entered into forward contracts to hedge forecasted foreign currency denominated sales from certain international subsidiaries and a portion of forecasted intercompany inventory sales denominated in Euro, Japanese Yen, Chinese Renminbi and Indian Rupee for up to twenty-four months. These contracts are designated as cash flow hedges to manage foreign currency transaction risk and are measured at fair value and reported as current assets or current liabilities in the condensed consolidated balance sheets. Any changes in the fair value of designated cash flow hedges are deferred in AOCE and are reclassified into earnings when the hedged item impacts earnings.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principal amounts of the Company’s outstanding Euro and Yen borrowings and the notional amounts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 and Yen borrowings designated as net investment hedges:</w:t>
      </w:r>
    </w:p>
    <w:p>
      <w:pPr>
        <w:spacing w:after="0" w:line="11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Notional Amount Designated as a Net</w:t>
      </w: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Investment Hedge</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620" w:type="dxa"/>
            <w:vAlign w:val="bottom"/>
            <w:vMerge w:val="restart"/>
          </w:tcPr>
          <w:p>
            <w:pPr>
              <w:ind w:left="324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000" w:type="dxa"/>
            <w:vAlign w:val="bottom"/>
            <w:vMerge w:val="continue"/>
          </w:tcPr>
          <w:p>
            <w:pPr>
              <w:spacing w:after="0"/>
              <w:rPr>
                <w:sz w:val="16"/>
                <w:szCs w:val="16"/>
                <w:color w:val="auto"/>
              </w:rPr>
            </w:pPr>
          </w:p>
        </w:tc>
        <w:tc>
          <w:tcPr>
            <w:tcW w:w="4620" w:type="dxa"/>
            <w:vAlign w:val="bottom"/>
            <w:vMerge w:val="continue"/>
          </w:tcPr>
          <w:p>
            <w:pPr>
              <w:spacing w:after="0"/>
              <w:rPr>
                <w:sz w:val="16"/>
                <w:szCs w:val="16"/>
                <w:color w:val="auto"/>
              </w:rPr>
            </w:pPr>
          </w:p>
        </w:tc>
        <w:tc>
          <w:tcPr>
            <w:tcW w:w="11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710628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2.250% Euro Senior Notes due 2024</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1.023% Euro Senior Notes due 2024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wp:posOffset>
            </wp:positionV>
            <wp:extent cx="71062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2.125% Euro Senior Notes due 2025</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1.362% Euro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3.125% Euro Senior Notes due 2028</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1.908% Euro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Euro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18415</wp:posOffset>
            </wp:positionV>
            <wp:extent cx="710628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YEN Term Loan</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Yen Total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33"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Euro Senior Notes were repaid at maturity during the second quarter of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30"/>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34"/>
        </w:trPr>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95"/>
        </w:trPr>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59" w:lineRule="exact"/>
        <w:rPr>
          <w:sz w:val="20"/>
          <w:szCs w:val="20"/>
          <w:color w:val="auto"/>
        </w:rPr>
      </w:pPr>
    </w:p>
    <w:p>
      <w:pPr>
        <w:sectPr>
          <w:pgSz w:w="11900" w:h="16838" w:orient="portrait"/>
          <w:cols w:equalWidth="0" w:num="2">
            <w:col w:w="6540" w:space="660"/>
            <w:col w:w="4020"/>
          </w:cols>
          <w:pgMar w:left="320" w:top="114" w:right="359" w:bottom="1440" w:gutter="0" w:footer="0" w:header="0"/>
          <w:type w:val="continuous"/>
        </w:sect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At June 30, 2024, the principal amount of the Company’s outstanding Yen borrowings and the notional amount of the Yen borrowings designated as net investment hedges was $248.6 million.</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third quarter of 2023, the Company executed fixed-rate cross-currency interest rate swaps with notional amounts totaling Japanese Yen 14.6 billion with settlement dates through 2026. During the second quarter of 2024, the Company executed fixed-rate cross-currency interest rate swaps with notional amounts totaling Euro 500 million with settlement dates through 2026. The transactions hedge a portion of the Company’s net investment in certain Yen- and Euro-functional currency subsidiaries. All changes in the fair value of these derivative instruments, which are designated as net investment hedges, are marked-to-market using the current spot exchange rate as of the end of the period. The portion of these changes related to the excluded component will be amortized in interest expense over the life of the derivative while the remainder will be recorded in AOCE until the sale or substantial liquidation of the underlying net investments. The semiannual net interest payment received related to the fixed-rate component of the cross-currency interest rate swaps will be reflected in operating cash flows.</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executed foreign currency forward contracts with notional amounts totaling Euro 500 million. During the second quarter of 2024, the Company executed additional foreign currency forward contracts with notional amounts totaling Euro 600 million. The transactions hedge a portion of the Company’s net investment in certain Euro functional currency subsidiaries. The contracts have been designated as a net investment hedge. The contracts matured in July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21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Flow Hedging Relationships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condensed consolidated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the classification and fair values of derivative instruments in our condensed consolidated balance sheets: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820" w:type="dxa"/>
            <w:vAlign w:val="bottom"/>
            <w:tcBorders>
              <w:top w:val="single" w:sz="8" w:color="auto"/>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3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060" w:type="dxa"/>
            <w:vAlign w:val="bottom"/>
            <w:gridSpan w:val="2"/>
          </w:tcPr>
          <w:p>
            <w:pPr>
              <w:jc w:val="right"/>
              <w:ind w:right="10"/>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32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0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020" w:type="dxa"/>
            <w:vAlign w:val="bottom"/>
            <w:gridSpan w:val="2"/>
          </w:tcPr>
          <w:p>
            <w:pPr>
              <w:jc w:val="right"/>
              <w:ind w:right="10"/>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3780" w:type="dxa"/>
            <w:vAlign w:val="bottom"/>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 Fair Value</w:t>
            </w:r>
          </w:p>
        </w:tc>
        <w:tc>
          <w:tcPr>
            <w:tcW w:w="100" w:type="dxa"/>
            <w:vAlign w:val="bottom"/>
          </w:tcPr>
          <w:p>
            <w:pPr>
              <w:spacing w:after="0"/>
              <w:rPr>
                <w:sz w:val="16"/>
                <w:szCs w:val="16"/>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2023 Fair Value</w:t>
            </w:r>
          </w:p>
        </w:tc>
        <w:tc>
          <w:tcPr>
            <w:tcW w:w="0" w:type="dxa"/>
            <w:vAlign w:val="bottom"/>
          </w:tcPr>
          <w:p>
            <w:pPr>
              <w:spacing w:after="0"/>
              <w:rPr>
                <w:sz w:val="1"/>
                <w:szCs w:val="1"/>
                <w:color w:val="auto"/>
              </w:rPr>
            </w:pPr>
          </w:p>
        </w:tc>
      </w:tr>
      <w:tr>
        <w:trPr>
          <w:trHeight w:val="20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spacing w:after="0"/>
              <w:rPr>
                <w:sz w:val="15"/>
                <w:szCs w:val="15"/>
                <w:color w:val="auto"/>
              </w:rPr>
            </w:pPr>
          </w:p>
        </w:tc>
        <w:tc>
          <w:tcPr>
            <w:tcW w:w="18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Prepaid expenses &amp;</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&amp;</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w:t>
            </w:r>
          </w:p>
        </w:tc>
        <w:tc>
          <w:tcPr>
            <w:tcW w:w="18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19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hedges:</w:t>
            </w: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80" w:type="dxa"/>
            <w:vAlign w:val="bottom"/>
            <w:shd w:val="clear" w:color="auto" w:fill="CCEEFF"/>
          </w:tcPr>
          <w:p>
            <w:pPr>
              <w:spacing w:after="0"/>
              <w:rPr>
                <w:sz w:val="15"/>
                <w:szCs w:val="15"/>
                <w:color w:val="auto"/>
              </w:rPr>
            </w:pPr>
          </w:p>
        </w:tc>
        <w:tc>
          <w:tcPr>
            <w:tcW w:w="18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Prepaid expenses &amp;</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derivatives not designated as hedges</w:t>
            </w:r>
          </w:p>
        </w:tc>
        <w:tc>
          <w:tcPr>
            <w:tcW w:w="1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the gains/(losses) incurred to hedge or offset operational foreign exchange or interest rate risk:</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7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100" w:type="dxa"/>
            <w:vAlign w:val="bottom"/>
          </w:tcPr>
          <w:p>
            <w:pPr>
              <w:spacing w:after="0"/>
              <w:rPr>
                <w:sz w:val="13"/>
                <w:szCs w:val="13"/>
                <w:color w:val="auto"/>
              </w:rPr>
            </w:pPr>
          </w:p>
        </w:tc>
        <w:tc>
          <w:tcPr>
            <w:tcW w:w="18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in AOCE (Net</w:t>
            </w:r>
          </w:p>
        </w:tc>
        <w:tc>
          <w:tcPr>
            <w:tcW w:w="170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Reclassified from AOCE</w:t>
            </w: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Tax) on Derivatives</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into Earnings</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120" w:type="dxa"/>
            <w:vAlign w:val="bottom"/>
          </w:tcPr>
          <w:p>
            <w:pPr>
              <w:spacing w:after="0"/>
              <w:rPr>
                <w:sz w:val="16"/>
                <w:szCs w:val="16"/>
                <w:color w:val="auto"/>
              </w:rPr>
            </w:pP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39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Derivative Financial Instruments in Cash Flow Hedging</w:t>
            </w: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Relationships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 xml:space="preserve"> :</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w:t>
            </w:r>
          </w:p>
        </w:tc>
        <w:tc>
          <w:tcPr>
            <w:tcW w:w="200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 Financial Instruments in Net Investment</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000" w:type="dxa"/>
            <w:vAlign w:val="bottom"/>
            <w:shd w:val="clear" w:color="auto" w:fill="CCEEFF"/>
          </w:tcPr>
          <w:p>
            <w:pPr>
              <w:ind w:left="40"/>
              <w:spacing w:after="0" w:line="231"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 Financial Instruments in Net Investment</w:t>
            </w: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borrowings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 Financial Instruments Not Designated as</w:t>
            </w: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20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option and forward contracts</w:t>
            </w:r>
          </w:p>
        </w:tc>
        <w:tc>
          <w:tcPr>
            <w:tcW w:w="2000" w:type="dxa"/>
            <w:vAlign w:val="bottom"/>
          </w:tcPr>
          <w:p>
            <w:pPr>
              <w:ind w:left="40"/>
              <w:spacing w:after="0" w:line="243" w:lineRule="exact"/>
              <w:rPr>
                <w:sz w:val="20"/>
                <w:szCs w:val="20"/>
                <w:color w:val="auto"/>
              </w:rPr>
            </w:pPr>
            <w:r>
              <w:rPr>
                <w:rFonts w:ascii="Times New Roman" w:cs="Times New Roman" w:eastAsia="Times New Roman" w:hAnsi="Times New Roman"/>
                <w:sz w:val="18"/>
                <w:szCs w:val="18"/>
                <w:color w:val="auto"/>
              </w:rPr>
              <w:t xml:space="preserve">net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100" w:type="dxa"/>
            <w:vAlign w:val="bottom"/>
          </w:tcPr>
          <w:p>
            <w:pPr>
              <w:spacing w:after="0"/>
              <w:rPr>
                <w:sz w:val="24"/>
                <w:szCs w:val="24"/>
                <w:color w:val="auto"/>
              </w:rPr>
            </w:pPr>
          </w:p>
        </w:tc>
        <w:tc>
          <w:tcPr>
            <w:tcW w:w="18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AOCE (Net</w:t>
            </w:r>
          </w:p>
        </w:tc>
        <w:tc>
          <w:tcPr>
            <w:tcW w:w="17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AOCE</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Tax) on Derivatives</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into Earnings</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120" w:type="dxa"/>
            <w:vAlign w:val="bottom"/>
          </w:tcPr>
          <w:p>
            <w:pPr>
              <w:spacing w:after="0"/>
              <w:rPr>
                <w:sz w:val="16"/>
                <w:szCs w:val="16"/>
                <w:color w:val="auto"/>
              </w:rPr>
            </w:pP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39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Derivative Financial Instruments in Cash Flow Hedging</w:t>
            </w: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Relationships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 xml:space="preserve"> :</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w:t>
            </w:r>
          </w:p>
        </w:tc>
        <w:tc>
          <w:tcPr>
            <w:tcW w:w="200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 Financial Instruments in Net Investment</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000" w:type="dxa"/>
            <w:vAlign w:val="bottom"/>
            <w:shd w:val="clear" w:color="auto" w:fill="CCEEFF"/>
          </w:tcPr>
          <w:p>
            <w:pPr>
              <w:ind w:left="40"/>
              <w:spacing w:after="0" w:line="231"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 Financial Instruments in Net Investment</w:t>
            </w: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borrowings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 Financial Instruments Not Designated as</w:t>
            </w: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20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option and forward contracts</w:t>
            </w:r>
          </w:p>
        </w:tc>
        <w:tc>
          <w:tcPr>
            <w:tcW w:w="2000" w:type="dxa"/>
            <w:vAlign w:val="bottom"/>
          </w:tcPr>
          <w:p>
            <w:pPr>
              <w:ind w:left="40"/>
              <w:spacing w:after="0" w:line="243" w:lineRule="exact"/>
              <w:rPr>
                <w:sz w:val="20"/>
                <w:szCs w:val="20"/>
                <w:color w:val="auto"/>
              </w:rPr>
            </w:pPr>
            <w:r>
              <w:rPr>
                <w:rFonts w:ascii="Times New Roman" w:cs="Times New Roman" w:eastAsia="Times New Roman" w:hAnsi="Times New Roman"/>
                <w:sz w:val="18"/>
                <w:szCs w:val="18"/>
                <w:color w:val="auto"/>
              </w:rPr>
              <w:t xml:space="preserve">net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660" w:right="40" w:hanging="328"/>
        <w:spacing w:after="0" w:line="21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June 30, 2024, the Company expects that approximately $10.0 million of pre-tax net gains on cash flow hedges will be reclassified from AOCE into earnings during the next twelve months.</w:t>
      </w:r>
    </w:p>
    <w:p>
      <w:pPr>
        <w:spacing w:after="0" w:line="47"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location of the gain/(loss) recognized in earnings on derivatives.</w:t>
      </w:r>
    </w:p>
    <w:p>
      <w:pPr>
        <w:spacing w:after="0" w:line="68" w:lineRule="exact"/>
        <w:rPr>
          <w:rFonts w:ascii="Times New Roman" w:cs="Times New Roman" w:eastAsia="Times New Roman" w:hAnsi="Times New Roman"/>
          <w:sz w:val="23"/>
          <w:szCs w:val="23"/>
          <w:color w:val="auto"/>
          <w:vertAlign w:val="superscript"/>
        </w:rPr>
      </w:pPr>
    </w:p>
    <w:p>
      <w:pPr>
        <w:ind w:left="640" w:hanging="308"/>
        <w:spacing w:after="0" w:line="219" w:lineRule="auto"/>
        <w:tabs>
          <w:tab w:leader="none" w:pos="6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location of the gain/(loss) reclassified from AOCE into earnings.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0" w:lineRule="exact"/>
        <w:rPr>
          <w:sz w:val="20"/>
          <w:szCs w:val="20"/>
          <w:color w:val="auto"/>
        </w:rPr>
      </w:pPr>
    </w:p>
    <w:p>
      <w:pPr>
        <w:ind w:left="980" w:right="320" w:hanging="324"/>
        <w:spacing w:after="0" w:line="284" w:lineRule="auto"/>
        <w:tabs>
          <w:tab w:leader="none" w:pos="97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measurement date for identical assets or liabilities.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hierarchy gives the highest priority to Level 1 inputs.</w:t>
      </w:r>
    </w:p>
    <w:p>
      <w:pPr>
        <w:spacing w:after="0" w:line="50"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other than quoted prices in active markets for identical assets or liabilities.</w:t>
      </w:r>
    </w:p>
    <w:p>
      <w:pPr>
        <w:spacing w:after="0" w:line="117" w:lineRule="exact"/>
        <w:rPr>
          <w:rFonts w:ascii="Times New Roman" w:cs="Times New Roman" w:eastAsia="Times New Roman" w:hAnsi="Times New Roman"/>
          <w:sz w:val="18"/>
          <w:szCs w:val="18"/>
          <w:i w:val="1"/>
          <w:iCs w:val="1"/>
          <w:color w:val="auto"/>
        </w:rPr>
      </w:pPr>
    </w:p>
    <w:p>
      <w:pPr>
        <w:ind w:left="980" w:right="140" w:hanging="324"/>
        <w:spacing w:after="0" w:line="284" w:lineRule="auto"/>
        <w:tabs>
          <w:tab w:leader="none" w:pos="97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are used when little or no market data is available. The fair value hierarchy gives the lowest priority to 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w:t>
      </w:r>
    </w:p>
    <w:p>
      <w:pPr>
        <w:spacing w:after="0" w:line="160"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carried at fair value are classified in the tables below in one of the three categories described above: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Exchange traded funds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 securities</w:t>
            </w: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CCPS in Biocon Biologics</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fixed income investments: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available-for-sale fixed income investments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derivative assets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derivative assets</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recurring fair value measurement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derivative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derivative liabilities</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recurring fair value measurement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financial assets and liabilities that utilize Level 2 inputs, the Company utilizes both direct and indirect observable price quotes, including interest rate yield curves, foreign exchange forward prices and bank price quotes. Below is a summary of valuation techniques for the Company’s financial assets and liabilities:</w:t>
      </w:r>
    </w:p>
    <w:p>
      <w:pPr>
        <w:spacing w:after="0" w:line="66"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valued at observable net asset value prices.</w:t>
      </w:r>
    </w:p>
    <w:p>
      <w:pPr>
        <w:spacing w:after="0" w:line="117" w:lineRule="exact"/>
        <w:rPr>
          <w:rFonts w:ascii="Times New Roman" w:cs="Times New Roman" w:eastAsia="Times New Roman" w:hAnsi="Times New Roman"/>
          <w:sz w:val="18"/>
          <w:szCs w:val="18"/>
          <w:color w:val="auto"/>
        </w:rPr>
      </w:pPr>
    </w:p>
    <w:p>
      <w:pPr>
        <w:jc w:val="both"/>
        <w:ind w:left="980" w:right="100" w:hanging="324"/>
        <w:spacing w:after="0" w:line="267" w:lineRule="auto"/>
        <w:tabs>
          <w:tab w:leader="none" w:pos="97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Equity securities, exchange traded funds </w:t>
      </w:r>
      <w:r>
        <w:rPr>
          <w:rFonts w:ascii="Times New Roman" w:cs="Times New Roman" w:eastAsia="Times New Roman" w:hAnsi="Times New Roman"/>
          <w:sz w:val="18"/>
          <w:szCs w:val="18"/>
          <w:color w:val="auto"/>
        </w:rPr>
        <w:t>— valued at the active quoted market prices from broker or dealer quotations or transparent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sources at the reporting date. Unrealized gains and losses attributable to changes in fair value are included in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in the condensed consolidated statements of operations.</w:t>
      </w:r>
    </w:p>
    <w:p>
      <w:pPr>
        <w:spacing w:after="0" w:line="65" w:lineRule="exact"/>
        <w:rPr>
          <w:rFonts w:ascii="Times New Roman" w:cs="Times New Roman" w:eastAsia="Times New Roman" w:hAnsi="Times New Roman"/>
          <w:sz w:val="18"/>
          <w:szCs w:val="18"/>
          <w:b w:val="1"/>
          <w:bCs w:val="1"/>
          <w:i w:val="1"/>
          <w:iCs w:val="1"/>
          <w:color w:val="auto"/>
        </w:rPr>
      </w:pPr>
    </w:p>
    <w:p>
      <w:pPr>
        <w:ind w:left="980" w:hanging="324"/>
        <w:spacing w:after="0" w:line="267" w:lineRule="auto"/>
        <w:tabs>
          <w:tab w:leader="none" w:pos="97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Equity securities, marketable securities </w:t>
      </w:r>
      <w:r>
        <w:rPr>
          <w:rFonts w:ascii="Times New Roman" w:cs="Times New Roman" w:eastAsia="Times New Roman" w:hAnsi="Times New Roman"/>
          <w:sz w:val="18"/>
          <w:szCs w:val="18"/>
          <w:color w:val="auto"/>
        </w:rPr>
        <w:t>— valued using quoted stock prices from public exchanges at the reporting date. Unrealized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losses attributable to changes in fair value are included in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in the condensed consolidated statements of operations.</w:t>
      </w:r>
    </w:p>
    <w:p>
      <w:pPr>
        <w:spacing w:after="0" w:line="65" w:lineRule="exact"/>
        <w:rPr>
          <w:rFonts w:ascii="Times New Roman" w:cs="Times New Roman" w:eastAsia="Times New Roman" w:hAnsi="Times New Roman"/>
          <w:sz w:val="18"/>
          <w:szCs w:val="18"/>
          <w:b w:val="1"/>
          <w:bCs w:val="1"/>
          <w:i w:val="1"/>
          <w:iCs w:val="1"/>
          <w:color w:val="auto"/>
        </w:rPr>
      </w:pPr>
    </w:p>
    <w:p>
      <w:pPr>
        <w:ind w:left="980" w:right="100" w:hanging="324"/>
        <w:spacing w:after="0" w:line="261" w:lineRule="auto"/>
        <w:tabs>
          <w:tab w:leader="none" w:pos="97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CCPS in Biocon Biologics </w:t>
      </w:r>
      <w:r>
        <w:rPr>
          <w:rFonts w:ascii="Times New Roman" w:cs="Times New Roman" w:eastAsia="Times New Roman" w:hAnsi="Times New Roman"/>
          <w:sz w:val="18"/>
          <w:szCs w:val="18"/>
          <w:color w:val="auto"/>
        </w:rPr>
        <w:t>— valued using a Monte Carlo simulation model using Level 3 inputs. The fair value of the CCPS is sensitive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changes in the forecasts of operating metrics, changes in volatility and discount rates, and share dilution. The Company elected the fair value option for the CCPS under </w:t>
      </w:r>
      <w:r>
        <w:rPr>
          <w:rFonts w:ascii="Times New Roman" w:cs="Times New Roman" w:eastAsia="Times New Roman" w:hAnsi="Times New Roman"/>
          <w:sz w:val="18"/>
          <w:szCs w:val="18"/>
          <w:i w:val="1"/>
          <w:iCs w:val="1"/>
          <w:color w:val="auto"/>
        </w:rPr>
        <w:t>ASC 825.</w:t>
      </w:r>
      <w:r>
        <w:rPr>
          <w:rFonts w:ascii="Times New Roman" w:cs="Times New Roman" w:eastAsia="Times New Roman" w:hAnsi="Times New Roman"/>
          <w:sz w:val="18"/>
          <w:szCs w:val="18"/>
          <w:color w:val="auto"/>
        </w:rPr>
        <w:t xml:space="preserve"> The fair value is reassessed quarterly and any change in the fair value estimate is recorded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(Income), Net </w:t>
      </w:r>
      <w:r>
        <w:rPr>
          <w:rFonts w:ascii="Times New Roman" w:cs="Times New Roman" w:eastAsia="Times New Roman" w:hAnsi="Times New Roman"/>
          <w:sz w:val="18"/>
          <w:szCs w:val="18"/>
          <w:color w:val="auto"/>
        </w:rPr>
        <w:t>in the condensed consolidated statements of operations for that period.</w:t>
      </w:r>
    </w:p>
    <w:p>
      <w:pPr>
        <w:spacing w:after="0" w:line="71" w:lineRule="exact"/>
        <w:rPr>
          <w:rFonts w:ascii="Times New Roman" w:cs="Times New Roman" w:eastAsia="Times New Roman" w:hAnsi="Times New Roman"/>
          <w:sz w:val="18"/>
          <w:szCs w:val="18"/>
          <w:b w:val="1"/>
          <w:bCs w:val="1"/>
          <w:i w:val="1"/>
          <w:iCs w:val="1"/>
          <w:color w:val="auto"/>
        </w:rPr>
      </w:pPr>
    </w:p>
    <w:p>
      <w:pPr>
        <w:ind w:left="980" w:right="380" w:hanging="324"/>
        <w:spacing w:after="0" w:line="267" w:lineRule="auto"/>
        <w:tabs>
          <w:tab w:leader="none" w:pos="97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Available-for-sale fixed income investments </w:t>
      </w:r>
      <w:r>
        <w:rPr>
          <w:rFonts w:ascii="Times New Roman" w:cs="Times New Roman" w:eastAsia="Times New Roman" w:hAnsi="Times New Roman"/>
          <w:sz w:val="18"/>
          <w:szCs w:val="18"/>
          <w:color w:val="auto"/>
        </w:rPr>
        <w:t>— valued at the quoted market prices from broker or dealer quotations or transparent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65"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exchange derivative assets and liabilities </w:t>
      </w:r>
      <w:r>
        <w:rPr>
          <w:rFonts w:ascii="Times New Roman" w:cs="Times New Roman" w:eastAsia="Times New Roman" w:hAnsi="Times New Roman"/>
          <w:sz w:val="18"/>
          <w:szCs w:val="18"/>
          <w:color w:val="auto"/>
        </w:rPr>
        <w:t>— valued using quoted forward foreign exchange prices and spot rates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Counterparties to these contracts are highly rated financial institutions.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of June 30, 2024, the Company had a contingent consideration liability of $353.0 million related to the Idorsia Transaction. As of June 30, 2024 and December 31, 2023, the Company had a contingent consideration liability of $159.7 million and $177.6 million, respectively, related to the Respiratory Delivery Platform, and as of December 31, 2023, the Company had a contingent consideration liability of $15.8 million related to the Biocon Biologics Transaction. Refer to Note 5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for additional information. The measurement of these contingent consideration liabilities is calculated using unobservable Level 3 inputs based on the Company’s own assumptions primarily related to the probability and timing of future events and payments which are discounted using a market rate of return. At June 30, 2024, discount rates ranging from 9.0% to 19.0%, and at December 31, 2023, discount rates ranging from 6.4% and 8.0% were utilized in the valuations. Significant changes in unobservable inputs could result in material changes to the contingent consideration liabilities.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rollforward of the activity in the Company’s fair value of contingent consideration from December 31, 2023 to June 30, 2024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Current Portion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Contingent</w:t>
            </w:r>
          </w:p>
        </w:tc>
        <w:tc>
          <w:tcPr>
            <w:tcW w:w="0" w:type="dxa"/>
            <w:vAlign w:val="bottom"/>
          </w:tcPr>
          <w:p>
            <w:pPr>
              <w:spacing w:after="0"/>
              <w:rPr>
                <w:sz w:val="1"/>
                <w:szCs w:val="1"/>
                <w:color w:val="auto"/>
              </w:rPr>
            </w:pPr>
          </w:p>
        </w:tc>
      </w:tr>
      <w:tr>
        <w:trPr>
          <w:trHeight w:val="203"/>
        </w:trPr>
        <w:tc>
          <w:tcPr>
            <w:tcW w:w="7380" w:type="dxa"/>
            <w:vAlign w:val="bottom"/>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Portion </w:t>
            </w:r>
            <w:r>
              <w:rPr>
                <w:rFonts w:ascii="Times New Roman" w:cs="Times New Roman" w:eastAsia="Times New Roman" w:hAnsi="Times New Roman"/>
                <w:sz w:val="9"/>
                <w:szCs w:val="9"/>
                <w:b w:val="1"/>
                <w:bCs w:val="1"/>
                <w:color w:val="auto"/>
              </w:rPr>
              <w:t>(2)</w:t>
            </w:r>
          </w:p>
        </w:tc>
        <w:tc>
          <w:tcPr>
            <w:tcW w:w="140" w:type="dxa"/>
            <w:vAlign w:val="bottom"/>
          </w:tcPr>
          <w:p>
            <w:pPr>
              <w:spacing w:after="0"/>
              <w:rPr>
                <w:sz w:val="17"/>
                <w:szCs w:val="17"/>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29"/>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Fair value loss </w:t>
            </w:r>
            <w:r>
              <w:rPr>
                <w:rFonts w:ascii="Times New Roman" w:cs="Times New Roman" w:eastAsia="Times New Roman" w:hAnsi="Times New Roman"/>
                <w:sz w:val="23"/>
                <w:szCs w:val="23"/>
                <w:color w:val="auto"/>
                <w:vertAlign w:val="superscript"/>
              </w:rPr>
              <w:t>(3)</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current liabilities in the condensed consolidated balance sheets.</w:t>
      </w:r>
    </w:p>
    <w:p>
      <w:pPr>
        <w:spacing w:after="0" w:line="55"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long-term obligations in the condensed consolidated balance sheets.</w:t>
      </w:r>
    </w:p>
    <w:p>
      <w:pPr>
        <w:spacing w:after="0" w:line="56"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litigation settlements and other contingencies, net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the Company has not elected the fair value option for financial assets and liabilities other than the CCPS, any future transacted financial asset or liability will be evaluated for the fair value election.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additional information, 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Viatris’ 2023 Form 10-K.</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Receivables Facility and Note Securitization Facility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a $400 million Receivables Facility which expires in April 2025 and a $200 million Note Securitization Facility which expires in August 2024.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Amounts outstanding under either facility are included as a component of short-term borrowings, while the accounts receivable securing these obligations remain as a component of accounts receivable, net,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long-term debt is as follows:</w:t>
      </w:r>
    </w:p>
    <w:p>
      <w:pPr>
        <w:spacing w:after="0" w:line="1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520" w:type="dxa"/>
            <w:vAlign w:val="bottom"/>
          </w:tcPr>
          <w:p>
            <w:pPr>
              <w:ind w:left="3280"/>
              <w:spacing w:after="0"/>
              <w:rPr>
                <w:sz w:val="20"/>
                <w:szCs w:val="20"/>
                <w:color w:val="auto"/>
              </w:rPr>
            </w:pPr>
            <w:r>
              <w:rPr>
                <w:rFonts w:ascii="Times New Roman" w:cs="Times New Roman" w:eastAsia="Times New Roman" w:hAnsi="Times New Roman"/>
                <w:sz w:val="14"/>
                <w:szCs w:val="14"/>
                <w:b w:val="1"/>
                <w:bCs w:val="1"/>
                <w:color w:val="auto"/>
              </w:rPr>
              <w:t>Interest Rate as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4520" w:type="dxa"/>
            <w:vAlign w:val="bottom"/>
          </w:tcPr>
          <w:p>
            <w:pPr>
              <w:ind w:left="3260"/>
              <w:spacing w:after="0"/>
              <w:rPr>
                <w:sz w:val="20"/>
                <w:szCs w:val="20"/>
                <w:color w:val="auto"/>
              </w:rPr>
            </w:pPr>
            <w:r>
              <w:rPr>
                <w:rFonts w:ascii="Times New Roman" w:cs="Times New Roman" w:eastAsia="Times New Roman" w:hAnsi="Times New Roman"/>
                <w:sz w:val="14"/>
                <w:szCs w:val="14"/>
                <w:b w:val="1"/>
                <w:bCs w:val="1"/>
                <w:color w:val="auto"/>
              </w:rPr>
              <w:t>of June 30, 2024</w:t>
            </w: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9803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1"/>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4800" w:type="dxa"/>
            <w:vAlign w:val="bottom"/>
          </w:tcPr>
          <w:p>
            <w:pPr>
              <w:ind w:left="20"/>
              <w:spacing w:after="0" w:line="261"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2.250 %</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4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(a) ****</w:t>
            </w:r>
          </w:p>
        </w:tc>
        <w:tc>
          <w:tcPr>
            <w:tcW w:w="3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1.023 %</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4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2.125 %</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4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1.650 %</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5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financing fees</w:t>
            </w:r>
          </w:p>
        </w:tc>
        <w:tc>
          <w:tcPr>
            <w:tcW w:w="3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1,934.7</w:t>
            </w: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ind w:left="20"/>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bl>
      <w:tblPr>
        <w:tblLayout w:type="fixed"/>
        <w:tblInd w:w="0" w:type="dxa"/>
        <w:tblCellMar>
          <w:top w:w="0" w:type="dxa"/>
          <w:left w:w="0" w:type="dxa"/>
          <w:bottom w:w="0" w:type="dxa"/>
          <w:right w:w="0" w:type="dxa"/>
        </w:tblCellMar>
      </w:tblPr>
      <w:tr>
        <w:trPr>
          <w:trHeight w:val="252"/>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4480" w:type="dxa"/>
            <w:vAlign w:val="bottom"/>
            <w:shd w:val="clear" w:color="auto" w:fill="CCEEFF"/>
          </w:tcPr>
          <w:p>
            <w:pPr>
              <w:ind w:left="20"/>
              <w:spacing w:after="0" w:line="252"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2.125 %</w:t>
            </w: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1.650 %</w:t>
            </w:r>
          </w:p>
        </w:tc>
        <w:tc>
          <w:tcPr>
            <w:tcW w:w="3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w:t>
            </w: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2,245.1</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1.362 %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w:t>
            </w: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3.125 %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w:t>
            </w: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2032</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1.908 %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1,478.4</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2040</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1,644.0</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2043</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2046</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2048</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2050</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r>
      <w:tr>
        <w:trPr>
          <w:trHeight w:val="230"/>
        </w:trPr>
        <w:tc>
          <w:tcPr>
            <w:tcW w:w="5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YEN Term Loan Facility</w:t>
            </w:r>
          </w:p>
        </w:tc>
        <w:tc>
          <w:tcPr>
            <w:tcW w:w="38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Variable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r>
      <w:tr>
        <w:trPr>
          <w:trHeight w:val="230"/>
        </w:trPr>
        <w:tc>
          <w:tcPr>
            <w:tcW w:w="5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financing fees</w:t>
            </w:r>
          </w:p>
        </w:tc>
        <w:tc>
          <w:tcPr>
            <w:tcW w:w="35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5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Long-term debt</w:t>
            </w:r>
          </w:p>
        </w:tc>
        <w:tc>
          <w:tcPr>
            <w:tcW w:w="35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14,731.2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16,188.1</w:t>
            </w:r>
          </w:p>
        </w:tc>
      </w:tr>
      <w:tr>
        <w:trPr>
          <w:trHeight w:val="20"/>
        </w:trPr>
        <w:tc>
          <w:tcPr>
            <w:tcW w:w="6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340" w:right="4640" w:hanging="8"/>
        <w:spacing w:after="0" w:line="254" w:lineRule="auto"/>
        <w:tabs>
          <w:tab w:leader="none" w:pos="586"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2024 Euro Senior Notes were repaid at maturity in the second quarter of 2024.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was issued by Mylan Inc.</w:t>
      </w: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was originally issued by Mylan N.V.; now held by Utah Acquisition Sub Inc.</w:t>
      </w:r>
    </w:p>
    <w:p>
      <w:pPr>
        <w:ind w:left="660" w:hanging="328"/>
        <w:spacing w:after="0" w:line="199" w:lineRule="auto"/>
        <w:tabs>
          <w:tab w:leader="none" w:pos="66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Viatris Inc.</w:t>
      </w:r>
    </w:p>
    <w:p>
      <w:pPr>
        <w:spacing w:after="0" w:line="56" w:lineRule="exact"/>
        <w:rPr>
          <w:rFonts w:ascii="Times New Roman" w:cs="Times New Roman" w:eastAsia="Times New Roman" w:hAnsi="Times New Roman"/>
          <w:sz w:val="23"/>
          <w:szCs w:val="23"/>
          <w:color w:val="auto"/>
          <w:vertAlign w:val="superscript"/>
        </w:rPr>
      </w:pPr>
    </w:p>
    <w:p>
      <w:pPr>
        <w:ind w:left="720" w:hanging="388"/>
        <w:spacing w:after="0" w:line="194" w:lineRule="auto"/>
        <w:tabs>
          <w:tab w:leader="none" w:pos="7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Upjohn Finance B.V.</w:t>
      </w:r>
    </w:p>
    <w:p>
      <w:pPr>
        <w:spacing w:after="0" w:line="22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At June 30, 2024 and December 31, 2023, the aggregate fair value of the Company’s outstanding notes was approximately $14.22 billion and $15.25 billion, respectively. The fair values of the outstanding notes were valued at quoted market prices from broker or dealer quotations and were classified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Mandatory minimum repayments remaining on the notional amount of outstanding long-term debt at June 30, 2024 were as follows for each of the periods ending December 31: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0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2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2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29"/>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8,539</w:t>
            </w:r>
          </w:p>
        </w:tc>
      </w:tr>
      <w:tr>
        <w:trPr>
          <w:trHeight w:val="248"/>
        </w:trPr>
        <w:tc>
          <w:tcPr>
            <w:tcW w:w="10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16,609</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Comprehensive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Accumulated other comprehensive loss, as reflected in the condensed consolidated balance sheets, is comprised of the following:</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available-for-sale fixed income securities, net of tax</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gain and prior service cost related to defined benefit plans, net of tax</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unrecognized gain (loss) on derivatives in cash flow hedging relationships, net of tax</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gain on derivatives in net investment hedging relationships, net of tax</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accumulated other comprehensive loss, before tax, consist of the following, for the three and six months ended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0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60" w:type="dxa"/>
            <w:vAlign w:val="bottom"/>
          </w:tcPr>
          <w:p>
            <w:pPr>
              <w:spacing w:after="0"/>
              <w:rPr>
                <w:sz w:val="11"/>
                <w:szCs w:val="11"/>
                <w:color w:val="auto"/>
              </w:rPr>
            </w:pP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36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6"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0" w:type="dxa"/>
            <w:vAlign w:val="bottom"/>
          </w:tcPr>
          <w:p>
            <w:pPr>
              <w:spacing w:after="0"/>
              <w:rPr>
                <w:sz w:val="1"/>
                <w:szCs w:val="1"/>
                <w:color w:val="auto"/>
              </w:rPr>
            </w:pPr>
          </w:p>
        </w:tc>
      </w:tr>
      <w:tr>
        <w:trPr>
          <w:trHeight w:val="156"/>
        </w:trPr>
        <w:tc>
          <w:tcPr>
            <w:tcW w:w="33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 as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cash flow hedges, included in interest</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5"/>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actuarial gain included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5"/>
        </w:trPr>
        <w:tc>
          <w:tcPr>
            <w:tcW w:w="33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7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37"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260" w:type="dxa"/>
            <w:vAlign w:val="bottom"/>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 net of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0" w:type="dxa"/>
            <w:vAlign w:val="bottom"/>
          </w:tcPr>
          <w:p>
            <w:pPr>
              <w:spacing w:after="0"/>
              <w:rPr>
                <w:sz w:val="1"/>
                <w:szCs w:val="1"/>
                <w:color w:val="auto"/>
              </w:rPr>
            </w:pPr>
          </w:p>
        </w:tc>
      </w:tr>
      <w:tr>
        <w:trPr>
          <w:trHeight w:val="155"/>
        </w:trPr>
        <w:tc>
          <w:tcPr>
            <w:tcW w:w="32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76"/>
        </w:trPr>
        <w:tc>
          <w:tcPr>
            <w:tcW w:w="32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Amortization of actuarial gain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56"/>
        </w:trPr>
        <w:tc>
          <w:tcPr>
            <w:tcW w:w="32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Plan Items</w:t>
            </w:r>
          </w:p>
        </w:tc>
        <w:tc>
          <w:tcPr>
            <w:tcW w:w="14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37"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280" w:type="dxa"/>
            <w:vAlign w:val="bottom"/>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 net of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w w:val="98"/>
              </w:rPr>
              <w:t>(1.6)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0" w:type="dxa"/>
            <w:vAlign w:val="bottom"/>
          </w:tcPr>
          <w:p>
            <w:pPr>
              <w:spacing w:after="0"/>
              <w:rPr>
                <w:sz w:val="1"/>
                <w:szCs w:val="1"/>
                <w:color w:val="auto"/>
              </w:rPr>
            </w:pPr>
          </w:p>
        </w:tc>
      </w:tr>
      <w:tr>
        <w:trPr>
          <w:trHeight w:val="155"/>
        </w:trPr>
        <w:tc>
          <w:tcPr>
            <w:tcW w:w="328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divestiture of defined pension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plan included in SG&amp;A</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actuarial gain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56"/>
        </w:trPr>
        <w:tc>
          <w:tcPr>
            <w:tcW w:w="328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2023,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center"/>
              <w:ind w:left="359"/>
              <w:spacing w:after="0"/>
              <w:rPr>
                <w:sz w:val="20"/>
                <w:szCs w:val="20"/>
                <w:color w:val="auto"/>
              </w:rPr>
            </w:pPr>
            <w:r>
              <w:rPr>
                <w:rFonts w:ascii="Times New Roman" w:cs="Times New Roman" w:eastAsia="Times New Roman" w:hAnsi="Times New Roman"/>
                <w:sz w:val="18"/>
                <w:szCs w:val="18"/>
                <w:color w:val="auto"/>
                <w:w w:val="98"/>
              </w:rPr>
              <w:t>(1.3)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60" w:type="dxa"/>
            <w:vAlign w:val="bottom"/>
          </w:tcPr>
          <w:p>
            <w:pPr>
              <w:spacing w:after="0"/>
              <w:rPr>
                <w:sz w:val="11"/>
                <w:szCs w:val="11"/>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Plan Items</w:t>
            </w:r>
          </w:p>
        </w:tc>
        <w:tc>
          <w:tcPr>
            <w:tcW w:w="14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28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6"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80" w:type="dxa"/>
            <w:vAlign w:val="bottom"/>
            <w:vMerge w:val="continue"/>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bottom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w w:val="98"/>
              </w:rPr>
              <w:t>(2.3)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0" w:type="dxa"/>
            <w:vAlign w:val="bottom"/>
          </w:tcPr>
          <w:p>
            <w:pPr>
              <w:spacing w:after="0"/>
              <w:rPr>
                <w:sz w:val="1"/>
                <w:szCs w:val="1"/>
                <w:color w:val="auto"/>
              </w:rPr>
            </w:pPr>
          </w:p>
        </w:tc>
      </w:tr>
      <w:tr>
        <w:trPr>
          <w:trHeight w:val="156"/>
        </w:trPr>
        <w:tc>
          <w:tcPr>
            <w:tcW w:w="328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as cash flow hedges, included in</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divestiture of defined pension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plan included in SG&amp;A</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actuarial gain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55"/>
        </w:trPr>
        <w:tc>
          <w:tcPr>
            <w:tcW w:w="328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8"/>
                <w:szCs w:val="18"/>
                <w:color w:val="auto"/>
                <w:w w:val="97"/>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2023,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center"/>
              <w:ind w:left="359"/>
              <w:spacing w:after="0"/>
              <w:rPr>
                <w:sz w:val="20"/>
                <w:szCs w:val="20"/>
                <w:color w:val="auto"/>
              </w:rPr>
            </w:pPr>
            <w:r>
              <w:rPr>
                <w:rFonts w:ascii="Times New Roman" w:cs="Times New Roman" w:eastAsia="Times New Roman" w:hAnsi="Times New Roman"/>
                <w:sz w:val="18"/>
                <w:szCs w:val="18"/>
                <w:color w:val="auto"/>
                <w:w w:val="98"/>
              </w:rPr>
              <w:t>(1.3)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and generic products, including complex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8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is the Chief Executive Officer, who evaluates the performance of its segments based on total revenues and segment profitability.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costs are not included in the measurement of segment profitability, such as costs, if any, associated with the following:</w:t>
      </w:r>
    </w:p>
    <w:p>
      <w:pPr>
        <w:spacing w:after="0" w:line="117" w:lineRule="exact"/>
        <w:rPr>
          <w:sz w:val="20"/>
          <w:szCs w:val="20"/>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amortization expense and impairments of goodwill and long-lived assets;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and Acquired IPR&amp;D expense;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charges or net gains for litigation settlements and other contingencies;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right="20" w:firstLine="320"/>
        <w:spacing w:after="0" w:line="255" w:lineRule="auto"/>
        <w:tabs>
          <w:tab w:leader="none" w:pos="13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costs related to divestitures, and, as applicable, any associated transition activities.</w:t>
      </w:r>
    </w:p>
    <w:p>
      <w:pPr>
        <w:spacing w:after="0" w:line="80" w:lineRule="exact"/>
        <w:rPr>
          <w:rFonts w:ascii="Times New Roman" w:cs="Times New Roman" w:eastAsia="Times New Roman" w:hAnsi="Times New Roman"/>
          <w:sz w:val="18"/>
          <w:szCs w:val="18"/>
          <w:color w:val="auto"/>
        </w:rPr>
      </w:pPr>
    </w:p>
    <w:p>
      <w:pPr>
        <w:ind w:left="660" w:right="20" w:firstLine="320"/>
        <w:spacing w:after="0" w:line="258" w:lineRule="auto"/>
        <w:tabs>
          <w:tab w:leader="none" w:pos="13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spacing w:after="0" w:line="7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report depreciation expense, total assets and capital expenditures by segment, as such information is not used by the chief operating decision maker.</w:t>
      </w:r>
    </w:p>
    <w:p>
      <w:pPr>
        <w:spacing w:after="0" w:line="160"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accounting policies of the segments are the same as those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the 2023 Form 10-K.</w:t>
      </w:r>
    </w:p>
    <w:p>
      <w:pPr>
        <w:spacing w:after="0" w:line="16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Presented in the table below is segment information for the periods identified and a reconciliation of segment information to total consolidated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Segment Profitability</w:t>
            </w:r>
          </w:p>
        </w:tc>
      </w:tr>
      <w:tr>
        <w:trPr>
          <w:trHeight w:val="211"/>
        </w:trPr>
        <w:tc>
          <w:tcPr>
            <w:tcW w:w="4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r>
      <w:tr>
        <w:trPr>
          <w:trHeight w:val="20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Markets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JANZ</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Emerging Markets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r>
      <w:tr>
        <w:trPr>
          <w:trHeight w:val="22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1,817.9</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disposal &amp; impairment charges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Globally managed research and development costs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IPR&amp;D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 &amp; other contingencies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related and other special items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30"/>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other unallocated</w:t>
            </w: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Segment Profitability</w:t>
            </w:r>
          </w:p>
        </w:tc>
      </w:tr>
      <w:tr>
        <w:trPr>
          <w:trHeight w:val="211"/>
        </w:trPr>
        <w:tc>
          <w:tcPr>
            <w:tcW w:w="474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Markets</w:t>
            </w: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4,484.6</w:t>
            </w:r>
          </w:p>
        </w:tc>
        <w:tc>
          <w:tcPr>
            <w:tcW w:w="100" w:type="dxa"/>
            <w:vAlign w:val="bottom"/>
          </w:tcPr>
          <w:p>
            <w:pPr>
              <w:spacing w:after="0"/>
              <w:rPr>
                <w:sz w:val="19"/>
                <w:szCs w:val="19"/>
                <w:color w:val="auto"/>
              </w:rPr>
            </w:pP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4,524.2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1,998.4</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JANZ</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Emerging Markets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1,204.5</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r>
      <w:tr>
        <w:trPr>
          <w:trHeight w:val="22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9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7,439.4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7,628.6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3,594.4</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w:t>
            </w: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disposal &amp; impairment charges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goodwill</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Globally managed research and development costs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IPR&amp;D</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 &amp; other contingencies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related and other special items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r>
      <w:tr>
        <w:trPr>
          <w:trHeight w:val="229"/>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other unallocated</w:t>
            </w:r>
          </w:p>
        </w:tc>
        <w:tc>
          <w:tcPr>
            <w:tcW w:w="9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Licensing and Other Partner Agreements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including those related to the Idorsia Transaction. Refer to Note 11 </w:t>
      </w:r>
      <w:r>
        <w:rPr>
          <w:rFonts w:ascii="Times New Roman" w:cs="Times New Roman" w:eastAsia="Times New Roman" w:hAnsi="Times New Roman"/>
          <w:sz w:val="18"/>
          <w:szCs w:val="18"/>
          <w:i w:val="1"/>
          <w:iCs w:val="1"/>
          <w:color w:val="auto"/>
        </w:rPr>
        <w:t>Financial Instruments and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w:t>
      </w:r>
      <w:r>
        <w:rPr>
          <w:rFonts w:ascii="Times New Roman" w:cs="Times New Roman" w:eastAsia="Times New Roman" w:hAnsi="Times New Roman"/>
          <w:sz w:val="18"/>
          <w:szCs w:val="18"/>
          <w:color w:val="auto"/>
        </w:rPr>
        <w:t>for further discussion of contingent consideration.</w:t>
      </w:r>
    </w:p>
    <w:p>
      <w:pPr>
        <w:spacing w:after="0" w:line="18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Our potential maximum development milestones not accrued for at June 30, 2024 totaled approximately $407 million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estimate that the amounts that may be paid through the end of 2024 to be approximately $8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Mapi</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2018, the Company entered into an exclusive license and commercialization agreement with Mapi for the development and commercialization on a world-wide basis of GA Depot. Under the terms of the license and commercialization agreement, as of June 30, 2024, Mapi is eligible to receive regulatory approval and commercial launch milestone payments of up to $90.0 million. Additionally, upon commercial launch of GA Depot, Mapi is eligible to receive potential contingent payments, such as tiered royalties and tiered sales-based milestones.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Company entered into a letter agreement, as amended, with Mapi for the development and commercialization of certain additional products, which is subject to finalization pending the execution of a definitive agreement, which is expected during 2024. The Company made an initial upfront payment of $75.0 million which was accounted for as </w:t>
      </w:r>
      <w:r>
        <w:rPr>
          <w:rFonts w:ascii="Times New Roman" w:cs="Times New Roman" w:eastAsia="Times New Roman" w:hAnsi="Times New Roman"/>
          <w:sz w:val="18"/>
          <w:szCs w:val="18"/>
          <w:i w:val="1"/>
          <w:iCs w:val="1"/>
          <w:color w:val="auto"/>
        </w:rPr>
        <w:t>Acquired IPR&amp;D</w:t>
      </w:r>
      <w:r>
        <w:rPr>
          <w:rFonts w:ascii="Times New Roman" w:cs="Times New Roman" w:eastAsia="Times New Roman" w:hAnsi="Times New Roman"/>
          <w:sz w:val="18"/>
          <w:szCs w:val="18"/>
          <w:color w:val="auto"/>
        </w:rPr>
        <w:t xml:space="preserve"> expense in the consolidated statements of operations during the fourth quarter of 2023.</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was informed that Mapi received a Complete Response Letter (“CRL”) regarding the NDA for GA Depot 40 mg from the FDA. The Companies are reviewing the content of the CRL and will be determining the appropriate next steps.</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holds investments in preferred shares of Mapi that are accounted for at cost, less impairment, if any, adjusted for observable price changes, in accordance with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During the second quarter of 2023, the Company made an additional investment of $30.0 million in preferred shares of Mapi. The preferred shares are convertible on a one-to-one basis into Mapi ordinary shares at Viatris’ option. The Company recognized a gain of $45.6 million during the second quarter of 2023 as a result of remeasuring our pre-existing equity interest in Mapi, which was recorded as a component of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in the condensed consolidated statements of operations. The Company has determined that Mapi represents a variable interest entity (“VIE”), but has concluded that Viatris is not the primary beneficiary of Mapi as we do not have the power to direct the activities of the VIE that most significantly impact the VIE’s economic performance. Accordingly, we have not consolidated Mapi’s results of operations and financial position into our condensed consolidated financial statements.</w:t>
      </w:r>
    </w:p>
    <w:p>
      <w:pPr>
        <w:spacing w:after="0" w:line="217"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each of June 30, 2024 and December 31, 2023, our condensed consolidated balance sheets included, within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$132.1 million related to our equity investments in Mapi, which included cumulative unrealized gains of $62.1 million, and within </w:t>
      </w:r>
      <w:r>
        <w:rPr>
          <w:rFonts w:ascii="Times New Roman" w:cs="Times New Roman" w:eastAsia="Times New Roman" w:hAnsi="Times New Roman"/>
          <w:sz w:val="18"/>
          <w:szCs w:val="18"/>
          <w:i w:val="1"/>
          <w:iCs w:val="1"/>
          <w:color w:val="auto"/>
        </w:rPr>
        <w:t>Prepaid Expenses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$52.5 million related to advances, including for initial orders of commercial launch supply of GA Depot under our supply agreement with Mapi.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maximum exposure to loss as a result of our involvement with Mapi is limited to the carrying value of the investments and advances.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other significant changes to our licensing and other partner agreements as disclosed in our 2023 Form 10-K.</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Legislative Updates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August 16, 2022, the U.S. government enacted the Inflation Reduction Act of 2022 into law, which includes a new corporate alternative minimum tax (“CAMT”) and an excise tax of 1% on the fair market value of net stock repurchases. Both provisions are effective for years after December 31, 2022. The Company reflected the applicable estimated excise tax in treasury stock as part of the cost basis of the stock repurchased and recorded a corresponding liability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our condensed consolidated balance sheets as of June 30, 2024 and December 31, 2023. The share repurchase and authorization amounts otherwise disclosed in this Form 10-Q exclude the excise tax. The Company does not anticipate being subject to the 15% CAMT tax in either 2023 or 2024 based on enacted law and regulatory guidance; however, our CAMT status could change in the future, depending on new regulations or regulatory guidance issued by the U.S. Department of the Treasury.</w:t>
      </w:r>
    </w:p>
    <w:p>
      <w:pPr>
        <w:spacing w:after="0" w:line="21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In addition, many countries are actively considering or have proposed or enacted changes to their tax laws based on the Pillar Two Global Anti-Base Erosion Rules (“Pillar Two Rules”) proposed by the OECD. The Pillar Two Rules impose a global minimum tax of 15%, and under these rules, the Company may be required to pay a “top-up” tax to the extent our effective tax rate in any given country is below 15%. Several countries have enacted the Pillar Two Rules effective January 1, 2024, with many countries postponing implementation to January 1, 2025 or later, if at all. After determining which jurisdictions are not required to calculate a Pillar Two liability as a result of the existing safe harbors, the Company has determined that the impact of the Pillar Two Rules in the countries that have enacted such rules effective January 1, 2024, is not material to our results of operations for the three and six months ended June 30, 2024. While the Company is monitoring developments and evaluating the potential impact on future periods, we do not expect Pillar Two Rules to have a significant impact on the 2024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Examinations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ongoing IRS examinations. The years 2020 through 2022 are open years, with 2020 and 2021 under examination.</w:t>
      </w:r>
    </w:p>
    <w:p>
      <w:pPr>
        <w:spacing w:after="0" w:line="225"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tax positions.</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Australia, the tax authorities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2020 and we commenced litigation in the Australian Federal Court challenging those decisions. A trial took place in October 2023 and on March 20, 2024, the Court issued a decision in favor of the Company. The tax authorities did not appeal the Court decision. The Company made a partial payment of $56.0 million in 2021 and $5.2 million in 2022 in order to stay potential interest and penalties resulting from this litigation, which has been refunded.</w:t>
      </w:r>
    </w:p>
    <w:p>
      <w:pPr>
        <w:spacing w:after="0" w:line="21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w:t>
      </w:r>
    </w:p>
    <w:p>
      <w:pPr>
        <w:spacing w:after="0" w:line="16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 The Company recorded tax expense of approximately $22.3 million during 2023 due to the terms of this agreement. The remaining issues are in the audit phase or are being challenged in the Indian tax courts.</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2020, the Swedish Tax Authorities (“STA”) asserted an underpayment of tax against Meda A.B. for the tax years 2014 to 2019. The claim was that profits earned by its Luxembourg subsidiary should have been attributed to Meda A.B. The Company appealed the STA’s assessment to the Administrative Court of Stockholm. On September 16, 2022, the Court ruled in favor of Meda A.B. that no tax was due. The STA appealed that decision. On April 10, 2024, the Administrative Court of Appeals overturned the lower Court’s ruling and issued a decision in favor of the STA upholding its original assessment. The amount due including interest and penalties is approximately $18.2 million, which was paid during the second quarter of 2024. The Company has filed a petition seeking review of the decision to the Supreme Administrative Court.</w:t>
      </w:r>
    </w:p>
    <w:p>
      <w:pPr>
        <w:spacing w:after="0" w:line="21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recorded a net reserve for uncertain tax positions of $239.3 million and $287.1 million, including interest and penalties, in connection with its international audits at June 30, 2024 and December 31, 2023, respectively. In connection with our international tax audits, it is possible that we will incur material losses above the amounts reserved.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Company’s major U.S. state taxing jurisdictions remain open from fiscal year 2013 through 2022, with several state audits currently in progress. The Company’s major international taxing jurisdictions remain open from 2012 through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Uncertainty in Income Taxes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4" w:right="5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Litigation</w:t>
      </w:r>
    </w:p>
    <w:p>
      <w:pPr>
        <w:spacing w:after="0" w:line="22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7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Legal costs are recorded as incurred and are classified in SG&amp;A in the Company’s condensed consolidated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EpiPen® Auto-Injector Litigation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Plaintiffs filed an amended complaint asserting federal antitrust claims which are based on allegations concerning a patent settlement between Pfizer and Teva and other alleged actions regarding the launch of Teva’s generic epinephrine auto-injector. Plaintiffs seek monetary damages, declaratory relief, attorneys’ fees and costs. A trial is currently scheduled to begin in July 2026.</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 Class certification was denied.</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June 2024, the Company received a civil subpoena from the Attorney General of the State of Mississippi seeking information relating to the sales and/or marketing of EpiPen® Auto-Injector. The Company is fully cooperating with this request and has communicated with certain other State Attorneys General regarding related issues. The issues covered in the Mississippi subpoena and the communications with certain other States generally relate to issues from litigations and/or investigations that have been previously disclosed, including the indirect purchaser class action that was resolved in 2022.</w:t>
      </w:r>
    </w:p>
    <w:p>
      <w:pPr>
        <w:spacing w:after="0" w:line="21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total accrual of approximately $5.5 million related to these matters at June 30, 2024, which is included in other current liabilities in the condensed consolidated balance sheets. Although it is reasonably possible that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Pricing Matters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Department of Justice</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 May 10, 2018, the Company received a civil investigative demand from the Civil Division of the DOJ seeking information relating to the pricing and sale of its generic drug products.</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had fully cooperated with these investigations, which we believe were related to a broader industry-wide investigation of the generic pharmaceutical industry. The Antitrust Division of the DOJ has advised that it no longer considers the Company, and its former President, a subject of its antitrust investigation. The Civil Division of the DOJ has also informed the Company that it does not expect to take any further actions in connection with its civil investigative demand.</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Civil Litigation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former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EDPA Court has ordered certain plaintiffs’ complaints regarding two single-drug product cases to proceed as bellwethers. The Company is named in those plaintiffs’ complaints that regard one of the two individual drug products and class certification and summary judgment motions are pending.</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Attorneys General Litigation</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was transferred to the aforementioned MDL proceeding in the EDPA. The operative complaint includes attorneys general of forty-four states, the District of Columbia and the Commonwealth of Puerto Rico. The Company is alleged to have engaged in anticompetitive conduct with respect to four generic drug products. The amended complaint also includes claims asserted by attorneys general of thirty-four states and the Commonwealth of Puerto Rico against certain individuals, including the Company’s former President, with respect to a single drug product.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w:t>
      </w:r>
    </w:p>
    <w:p>
      <w:pPr>
        <w:spacing w:after="0" w:line="2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May 10, 2019, certain attorneys general filed a new complaint in the United States District Court for the District of Connecticut against various drug manufacturers and individuals, including the Company and one of its sales employees,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alleging anticompetitive conduct with respect to additional generic drugs. On November 1, 2019, the complaint was amended, adding additional states as plaintiffs. The operative complaint is brought by attorneys general of forty-five states, certain territories and the District of Columbia. The amended complaint also includes claims asserted by attorneys general of forty states and certain territories against several individuals, including a Company sales employee. The amended complaint seeks declaratory and injunctive relief, disgorgement, attorneys’ fees and costs, and certain states seek monetary damages, civil penalties, restitution, and other equitable monetary relief. This lawsuit was transferred to the aforementioned MDL proceeding in the EDPA.</w:t>
      </w:r>
    </w:p>
    <w:p>
      <w:pPr>
        <w:spacing w:after="0" w:line="19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forty-four states, certain territories and the District of Columbia.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 This lawsuit was transferred to the aforementioned MDL proceeding in the EDPA and was ordered to proceed as a bellwether.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aforementioned complaints have now been transferred back to the U.S. District Court for the District of Connecticut.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Related Litigation</w:t>
      </w:r>
    </w:p>
    <w:p>
      <w:pPr>
        <w:spacing w:after="0" w:line="229"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17"/>
          <w:szCs w:val="17"/>
          <w:color w:val="auto"/>
        </w:rPr>
        <w:t>Purported class action complaints were filed in October 2016 against Mylan N.V. and Mylan Inc. (collectively, for the purposes of this paragraph,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(“SDNY Class Action Litigation”). The complaints alleged that defendants made false or misleading statements and omissions of purportedly material fact, in violation of federal securities laws, in connection with disclosures relating to the classification of their EpiPen®</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Auto-Injector as a non-innovator drug for purposes of the Medicaid Drug Rebate Program. 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spacing w:after="0" w:line="203" w:lineRule="exact"/>
        <w:rPr>
          <w:sz w:val="20"/>
          <w:szCs w:val="20"/>
          <w:color w:val="auto"/>
        </w:rPr>
      </w:pPr>
    </w:p>
    <w:p>
      <w:pPr>
        <w:ind w:firstLine="648"/>
        <w:spacing w:after="0" w:line="290" w:lineRule="auto"/>
        <w:rPr>
          <w:sz w:val="20"/>
          <w:szCs w:val="20"/>
          <w:color w:val="auto"/>
        </w:rPr>
      </w:pPr>
      <w:r>
        <w:rPr>
          <w:rFonts w:ascii="Times New Roman" w:cs="Times New Roman" w:eastAsia="Times New Roman" w:hAnsi="Times New Roman"/>
          <w:sz w:val="17"/>
          <w:szCs w:val="17"/>
          <w:color w:val="auto"/>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w:t>
      </w:r>
    </w:p>
    <w:p>
      <w:pPr>
        <w:ind w:right="40"/>
        <w:spacing w:after="0" w:line="256" w:lineRule="auto"/>
        <w:rPr>
          <w:sz w:val="20"/>
          <w:szCs w:val="20"/>
          <w:color w:val="auto"/>
        </w:rPr>
      </w:pPr>
      <w:r>
        <w:rPr>
          <w:rFonts w:ascii="Times New Roman" w:cs="Times New Roman" w:eastAsia="Times New Roman" w:hAnsi="Times New Roman"/>
          <w:sz w:val="18"/>
          <w:szCs w:val="18"/>
          <w:color w:val="auto"/>
        </w:rPr>
        <w:t>for purposes of this paragraph, the “defendants”). 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 On March 30, 2023, the Court dismissed all of Plaintiffs’ claims by granting Defendants’ motion for summary judgment and denying Plaintiffs’ cross-motion for partial summary judgment. Plaintiffs’ appeals to the U.S. Court of Appeals for the Second Circuit were rejected and the SDNY’s decision dismissing Plaintiffs’ claims was affirmed.</w:t>
      </w:r>
    </w:p>
    <w:p>
      <w:pPr>
        <w:spacing w:after="0" w:line="21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April 30, 2017, a similar lawsuit was filed in the Tel Aviv District Court (Economic Division) in Israel (“Israel Litigation”), which had been stayed pending a decision in the SDNY Class Action Litigation. The Israel Litigation was dismissed by the Court.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February 14, 2020, the Abu Dhabi Investment Authority filed a complaint against Mylan in the SDNY asserting allegations pertaining to EpiPen® Auto-Injector and certain generic drugs under the federal securities laws (“ADIA Litigation”) that overlap with those asserted in the SDNY Class Action Litigation. The complaint filed in the ADIA Litigation seeks monetary damages as well as the plaintiff’s fees and costs.</w:t>
      </w:r>
    </w:p>
    <w:p>
      <w:pPr>
        <w:spacing w:after="0" w:line="20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June 26, 2020, a putative class action complaint was filed by the Public Employees Retirement System of Mississippi, which was subsequently amended on November 13, 2020, against Mylan N.V., certain of Mylan N.V.’s former directors and officers, and a former officer/current director of the Company (collectively for the purposes of this paragraph, the “defendants”) in the U.S. District Court for the Western District of Pennsylvania (“WDPA”) on behalf of certain purchasers of</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securities of Mylan N.V. (“WDPA Mylan N.V. Class Action Litigation”). The amended complaint alleges that defendants made false or misleading statements and omissions of purportedly material fact, in violation of federal securities laws, in connection with disclosures relating to the Nashik and Morgantown manufacturing plants and inspections at the plants by the FDA. Plaintiff seeks certification of a class of purchasers of Mylan N.V. securities between February 16, 2016 and May 7, 2019. On May 18, 2023, the Court dismissed 45 of the 46 challenged statements. The complaint seeks monetary damages, as well as the plaintiff’s fees and costs.</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February 15, 2021, a complaint was filed in the SDNY by Skandia Mutual Life Ins. Co., Lansforsakringar AB, KBC Asset Management N.V., and GIC Private Limited, against the Company, certain of Mylan N.V.’s former directors and officers, a former officer/current director of the Company, and certain former and current employees of the Company (“Skandia Litigation”). The Complaint filed in the Skandia Litigation asserts claims which are based on allegations that are similar to those in the SDNY Class Action Litigation and WDPA Mylan N.V. Class Action Litigation. Plaintiffs seek compensatory damages, costs and expenses and attorneys’ fees.</w:t>
      </w:r>
    </w:p>
    <w:p>
      <w:pPr>
        <w:spacing w:after="0" w:line="21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On October 28, 2021, the Company and certain of its then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alleges violations of Sections 11, 12(a)(2), and 15 of the Securities Act of 1933 for purportedly failing to disclose or misrepresenting material information in the registration statement and related prospectus issued in connection with the Combination. On January 3, 2023, an amended complaint was filed naming the same defendants and alleging the same violations as the original complaint. Plaintiffs seek monetary damages, reasonable costs and expenses, and certain other equitable and injunctive relief. The Court has approved the settlement to fully resolve this matter.</w:t>
      </w:r>
    </w:p>
    <w:p>
      <w:pPr>
        <w:spacing w:after="0" w:line="21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Beginning in May 2023, putative class action complaints were filed against the Company and certain of the Company’s current and former officers, directors, and employees in the WDPA on behalf of certain purchasers of securities of the Company. These actions have been consolidated and, on October 23, 2023, a consolidated amended putative class action complaint was filed in the WDPA against the Company, a director, and a former officer and director (“WDPA Viatris Class Action Litigation”). The operative complaint alleges that defendants made false or misleading statements and omissions of material fact, in violation of federal securities laws, in connection with disclosures relating to the Company’s projected financial performance and biosimilars business. Plaintiffs seek certification of a class of purchasers of Company securities between March 1, 2021 and February 25, 2022. Plaintiffs seek monetary damages, reasonable costs and expenses, and certain other relief.</w:t>
      </w:r>
    </w:p>
    <w:p>
      <w:pPr>
        <w:spacing w:after="0" w:line="216"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Beginning in August 2023, stockholder derivative actions purportedly on behalf of Viatris were filed in the WDPA against certain of the Company’s current and former officers, directors, and employees alleging that defendants failed to ensure that the Company was making truthful and accurate statements in connection with the disclosures alleged in the WDPA Viatris Class Action Litigation. Viatris is named as a nominal defendant in these derivative actions. Certain of the complaints also assert claims for corporate waste and unjust enrichment. Plaintiffs seek various forms of relief, including damages, disgorgement, restitution, costs and fees.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Opioids</w:t>
      </w:r>
    </w:p>
    <w:p>
      <w:pPr>
        <w:spacing w:after="0" w:line="229" w:lineRule="exact"/>
        <w:rPr>
          <w:sz w:val="20"/>
          <w:szCs w:val="20"/>
          <w:color w:val="auto"/>
        </w:rPr>
      </w:pPr>
    </w:p>
    <w:p>
      <w:pPr>
        <w:jc w:val="both"/>
        <w:ind w:right="380" w:firstLine="648"/>
        <w:spacing w:after="0" w:line="281" w:lineRule="auto"/>
        <w:rPr>
          <w:sz w:val="20"/>
          <w:szCs w:val="20"/>
          <w:color w:val="auto"/>
        </w:rPr>
      </w:pPr>
      <w:r>
        <w:rPr>
          <w:rFonts w:ascii="Times New Roman" w:cs="Times New Roman" w:eastAsia="Times New Roman" w:hAnsi="Times New Roman"/>
          <w:sz w:val="17"/>
          <w:szCs w:val="17"/>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spacing w:after="0" w:line="164"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January 13, 2023, the Company received a civil subpoena from the Attorney General of the State of New York seeking information relating to opioids manufactured, marketed, or sold by the Company and related subject matter. Beginning in January 2024, the Company has received similar subpoenas from the Attorneys General of Alaska, Oregon, Utah, Maryland, and Louisiana. The Company is fully cooperating with these subpoena requests.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has accrued approximately $270 million in connection with the possible resolution of certain of these matters at June 30, 2024,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Citalopram</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2013, the European Commission issued a decision finding that Lundbeck and several generic companies, including Generics [U.K.] Limited (“GUK”), had violated EU competition rules relating to various settlement agreements entered into in 2002 for citalopram. After various appeals, the European Commission’s decision was upheld in March 2021. On March 28, 2023, bodies of the national health authorities in England &amp; Wales served a claim in the U.K. Competition Appeals Tribunal against parties to the citalopram investigation, including GUK, seeking monetary damages, plus interest, purportedly arising from the settlement agreements. GUK,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spacing w:after="0" w:line="21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accrued approximately €12.3 million as of June 30, 2024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Perindopril</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2014, the European Commission issued a decision finding that Les Laboratoires Servier (“Servier”), along with several generic companies, including the Company, had violated EU competition rules relating to various settlement agreements for perindopril. The settlement agreement involving the Company is a 2005 agreement entered into between Servier and Matrix Laboratories, Inc., which the Company acquired in 2007. After various appeals, the European Commission’s decision was upheld in June 2024. The Company satisfied its monetary obligation in 2014.</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has received a notice from an organization representing health insurers in the Netherlands stating an intention to commence follow-on litigation and asserting monetary damages. Also, bodies of national health authorities in England, Wales, Scotland, and Northern Ireland served a claim in the English High Court against Servier, seeking monetary damages, plus interest, purportedly arising from the settlement agreements. Servier plans to seek to have all of the generic companies, including the Company, joined as defendants in this litigation.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176"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The Company has accrued approximately $65.7 million as of June 30, 2024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Nitrosamines</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Third party payor, consumer and medical monitoring classes were certified in the valsartan MDL. The Company has also received requests to indemnify purchasers of the Company’s API and/or finished dose forms of these products. The original master complaints concerning ranitidine were dismissed on December 31, 2020. The end-payor plaintiff immediately appealed to the U.S. Court of Appeals for the Eleventh Circuit, which affirmed the dismissal. The</w:t>
      </w:r>
    </w:p>
    <w:p>
      <w:pPr>
        <w:spacing w:after="0" w:line="1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personal injury and 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Lipitor</w:t>
      </w:r>
    </w:p>
    <w:p>
      <w:pPr>
        <w:spacing w:after="0" w:line="22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State court proceedings remain pending in Missouri and New York.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Company is involved in a number of patent litigation lawsuits involving the validity and/or infringement of patents held by branded</w:t>
      </w:r>
    </w:p>
    <w:p>
      <w:pPr>
        <w:spacing w:after="0" w:line="5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pharmaceutical manufacturers including but not limited to the matters described below.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spacing w:after="0" w:line="19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approximately $5.1 million accrued related to its intellectual property matters at June 30, 2024. It is reasonably possible that we may incur additional losses and fees but we cannot estimate a range of such reasonably possible losses or legal fees related to these claims at this time.</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Yupelri</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Beginning in January 2023, certain generic companies notified us that they had filed ANDAs with the FDA seeking approval to market generic versions of Yupelri® with associated Paragraph IV certifications. The companies assert the invalidity and/or non-infringement of polymorph patents expiring in 2030 and 2031, and a method of use patent expiring in 2039. The companies have not filed Paragraph IV certifications to our compound patents, which currently expire in December 2025, with one compound patent subject to a patent term extension to October 2028. Beginning in February 2023, we brought patent infringement actions against the generic filers in federal district courts, including the U.S. District Court for the District of New Jersey, the U.S. District Court for the District of Delaware, the U.S. District Court for the Middle District of North Carolina, and the U.S. District Court for the Eastern District of Pennsylvania asserting infringement of the patents by the generic companies. The actions filed in Delaware and North Carolina have been dismissed and the actions will proceed in New Jersey and Pennsylvania. The Company has entered into settlement agreements with Teva, Accord, Orbicular, and Lupin</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granting licenses to commercialize their generic versions of Yupelri® in April 2039 or earlier depending on certain circumstances. Four ANDA filers remain in the litigation.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Tyrvaya</w:t>
      </w:r>
    </w:p>
    <w:p>
      <w:pPr>
        <w:spacing w:after="0" w:line="22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June 2023, a generic company notified Oyster Point that it had filed an ANDA with the FDA seeking approval to market a generic version of Tyrvaya® with associated Paragraph IV certifications. The generic company asserts the invalidity and/or non-infringement of six Orange Book listed patents that all have expiration dates in October 2035. In July 2023, Oyster Point brought a patent infringement action against the generic filer in the U.S. District Court of the District of New Jersey asserting infringement by the generic company. In March 2024, Oyster Point filed an amended complaint asserting infringement with respect to four additional patents that were recently listed in the Orange Book for Tyrvaya® and also have expiration dates in October 2035.</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Amitiza</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2023, Sawai Pharmaceutical Co. (“Sawai”) filed challenges with the Japanese Patent Office (“JPO”) asserting invalidity of patent term extensions for the JPP ‘4332353 patent (the ‘353 patent) relevant to Amitiza®, which the Company commercializes in Japan as a licensee of the relevant patents, including the ‘353 patent. Towa Pharmaceutical Co. Ltd. also filed a challenge to the ‘353 patent term extension in January 2024. Separately, in December 2023, Sawai filed an invalidity action with the JPO against the ‘353 patent itself. With the granted extensions, the ‘353 patent has expiration dates for the Company’s 24µg and 12µg strengths of April 2025 and April 2027, respectively. In April 2024, Sawai filed challenges with the JPO with respect to the 12µg strength, asserting invalidity of patent term extensions of three additional patents expiring in August 2027, November 2027, and December 2028, and challenged the validity of the August 2027 patent itself.</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The Company is involved in various other legal proceedings including commercial, contractual, employment, or other similar matters that are considered normal to its business. The Company has approximately $20 million accrued related to these various other legal proceedings at June 30, 2024.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following discussion and analysis addresses material changes in the financial condition and results of operations of Viatris Inc. and</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subsidiaries for the periods presented. Unless context requires otherwise, the “Company,” “Viatris,” “our” or “we” refer to Viatris Inc. and its subsidiaries.</w:t>
      </w:r>
    </w:p>
    <w:p>
      <w:pPr>
        <w:spacing w:after="0" w:line="21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the Consolidated Financial Statements, the related Notes to Consolidated Financial Statements and Management’s Discussion and Analysis of Financial Condition and Results of Operations included in Viatris’ 2023 Form 10-K, the unaudited interim financial statements and related Notes included in Part I — Item 1 of this Form 10-Q and our other SEC filings and public disclosures. The interim results of operations and comprehensive loss for the three and six months ended June 30, 2024, and cash flows for the six months ended June 30, 2024 are not necessarily indicative of the results to be expected for the full fiscal year or any other future period.</w:t>
      </w:r>
    </w:p>
    <w:p>
      <w:pPr>
        <w:spacing w:after="0" w:line="17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8"/>
          <w:szCs w:val="18"/>
          <w:color w:val="auto"/>
        </w:rPr>
        <w:t>This Form 10-Q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including but not limited to the Company’s two-phased strategic vision and potential, announced and completed divestitures, acquisitions or other transactions; the benefits and synergies of such divestitures, acquisitions, or other transactions, or restructuring programs;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202" w:lineRule="exact"/>
        <w:rPr>
          <w:sz w:val="20"/>
          <w:szCs w:val="20"/>
          <w:color w:val="auto"/>
        </w:rPr>
      </w:pPr>
    </w:p>
    <w:p>
      <w:pPr>
        <w:ind w:left="660" w:right="280" w:hanging="328"/>
        <w:spacing w:after="0" w:line="23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not realize the intended benefits of, or achieve the intended goals or outlooks with respect to, its strategic initiatives (including divestitures, acquisitions, or other potential transactions) or move up the value chain by focusing on more complex and innovative products to build a more durable higher margin portfolio;</w:t>
      </w:r>
    </w:p>
    <w:p>
      <w:pPr>
        <w:ind w:left="660" w:right="160" w:hanging="328"/>
        <w:spacing w:after="0" w:line="22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achieve intended or expected benefits, goals, outlooks, synergies, growth opportunities and operating efficiencies in connection with divestitures, acquisitions, other transactions, or restructuring programs, within the expected timeframes or at all;</w:t>
      </w:r>
    </w:p>
    <w:p>
      <w:pPr>
        <w:ind w:left="660" w:right="240" w:hanging="328"/>
        <w:spacing w:after="0" w:line="21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divestitures, failure to realize the total transaction values or proceeds, including as a result of any purchase price adjustment or a failure to achieve any conditions to the payment of any contingent consideration;</w:t>
      </w: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or impairment charges or other losses, including but not limited to related to the divestiture or sale of businesses or assets;</w:t>
      </w: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achieve expected or targeted future financial and operating performance and results;</w:t>
      </w: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public health outbreaks, epidemics and pandemics;</w:t>
      </w: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of healthcare and pharmaceutical regulators;</w:t>
      </w:r>
    </w:p>
    <w:p>
      <w:pPr>
        <w:ind w:left="660" w:right="20" w:hanging="328"/>
        <w:spacing w:after="0" w:line="23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w:t>
      </w:r>
    </w:p>
    <w:p>
      <w:pPr>
        <w:spacing w:after="0" w:line="2"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motivate and retain key personnel;</w:t>
      </w: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liquidity, capital resources and ability to obtain financing;</w:t>
      </w:r>
    </w:p>
    <w:p>
      <w:pPr>
        <w:ind w:left="660" w:right="700" w:hanging="328"/>
        <w:spacing w:after="0" w:line="22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legal or other impediments to the Company’s ability to bring new products to market, including but not limited to “at-risk launches”;</w:t>
      </w:r>
    </w:p>
    <w:p>
      <w:pPr>
        <w:spacing w:after="0" w:line="1" w:lineRule="exact"/>
        <w:rPr>
          <w:rFonts w:ascii="Times New Roman" w:cs="Times New Roman" w:eastAsia="Times New Roman" w:hAnsi="Times New Roman"/>
          <w:sz w:val="18"/>
          <w:szCs w:val="18"/>
          <w:color w:val="auto"/>
        </w:rPr>
      </w:pPr>
    </w:p>
    <w:p>
      <w:pPr>
        <w:ind w:left="660" w:right="680" w:hanging="328"/>
        <w:spacing w:after="0" w:line="21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clinical trials and the Company’s or its partners’ ability to execute on new product opportunities and develop, manufacture and commercialize products;</w:t>
      </w:r>
    </w:p>
    <w:p>
      <w:pPr>
        <w:ind w:left="660" w:right="280" w:hanging="328"/>
        <w:spacing w:after="0" w:line="22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spacing w:after="0" w:line="1" w:lineRule="exact"/>
        <w:rPr>
          <w:rFonts w:ascii="Times New Roman" w:cs="Times New Roman" w:eastAsia="Times New Roman" w:hAnsi="Times New Roman"/>
          <w:sz w:val="18"/>
          <w:szCs w:val="18"/>
          <w:color w:val="auto"/>
        </w:rPr>
      </w:pPr>
    </w:p>
    <w:p>
      <w:pPr>
        <w:ind w:left="660" w:right="300" w:hanging="328"/>
        <w:spacing w:after="0" w:line="21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outcome of any ongoing legal proceedings, including government inquiries or investigations, and the impact of any such proceedings on the Company;</w:t>
      </w: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breach of data security or data privacy or disruptions to our IT systems;</w:t>
      </w: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significant operations globally;</w:t>
      </w: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intellectual property and preserve intellectual property rights;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relationships;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right="560" w:hanging="328"/>
        <w:spacing w:after="0" w:line="23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changes in the Company’s or its partners’ customer and supplier relationships and customer purchasing patterns, including customer loss and business disruption being greater than expected following an acquisition or divestiture;</w:t>
      </w:r>
    </w:p>
    <w:p>
      <w:pPr>
        <w:ind w:left="660" w:hanging="328"/>
        <w:spacing w:after="0" w:line="21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competition, including decreases in sales or revenues as a result of the loss of market exclusivity for certain products;</w:t>
      </w:r>
    </w:p>
    <w:p>
      <w:pPr>
        <w:ind w:left="660" w:hanging="328"/>
        <w:spacing w:after="0" w:line="21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and financial conditions of the Company or its partners;</w:t>
      </w:r>
    </w:p>
    <w:p>
      <w:pPr>
        <w:ind w:left="660" w:hanging="328"/>
        <w:spacing w:after="0" w:line="21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future demand, pricing and reimbursement for the Company’s products;</w:t>
      </w:r>
    </w:p>
    <w:p>
      <w:pPr>
        <w:ind w:left="660" w:right="40" w:hanging="328"/>
        <w:spacing w:after="0" w:line="22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matters beyond the control of management, including but not limited to general political and economic conditions, inflation rates and global exchange rates; and</w:t>
      </w:r>
    </w:p>
    <w:p>
      <w:pPr>
        <w:spacing w:after="0" w:line="1" w:lineRule="exact"/>
        <w:rPr>
          <w:rFonts w:ascii="Times New Roman" w:cs="Times New Roman" w:eastAsia="Times New Roman" w:hAnsi="Times New Roman"/>
          <w:sz w:val="18"/>
          <w:szCs w:val="18"/>
          <w:color w:val="auto"/>
        </w:rPr>
      </w:pPr>
    </w:p>
    <w:p>
      <w:pPr>
        <w:ind w:left="660" w:right="280" w:hanging="328"/>
        <w:spacing w:after="0" w:line="233"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1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more detailed information on the risks and uncertainties associated with Viatris, see the risks described in Part I, Item 1A in the 2023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Viatris is a global healthcare company which we believe is uniquely positioned to bridge the traditional divide between generics and brands, combining the best of both to more holistically address healthcare needs globally. With a mission to empower people worldwide to live healthier at every stage of life, Viatris provides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w:t>
      </w:r>
    </w:p>
    <w:p>
      <w:pPr>
        <w:spacing w:after="0" w:line="187"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Viatris’ executive management team is focused on ensuring that the Company is optimally structured and efficiently resourced to deliver sustainable value to patients, shareholders, customers and other key stakeholders. The Company has industry leading commercial, R&amp;D, regulatory, manufacturing, legal and medical expertise complemented by a strong commitment to quality and an unparalleled geographic footprint to deliver high-quality medicines to patients in more than 165 countries and territories. Viatris’ portfolio is comprised of approved molecules across a wide range of key therapeutic areas, including globally recognized iconic and key brands and generics, including complex products. Following the completion of the previously announced divestitures, the Company operates approximately 30 manufacturing sites worldwide that produce oral solid doses, injectables, complex dosage forms and API, with a global workforce of approximately 33,000. Viatris is headquartered in the U.S., with global centers in Pittsburgh, Pennsylvania, Shanghai, China and Hyderabad, India.</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and generic products, including complex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Market and Industry Factors</w:t>
      </w:r>
    </w:p>
    <w:p>
      <w:pPr>
        <w:spacing w:after="0" w:line="227"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14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process of obtaining regulatory approval to manufacture and market new branded and generic pharmaceutical products is rigorous, time consuming, costly, and inherently unpredictable. Complex products are more difficult, costly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time-consuming to receive regulatory approval for and bring to market. Any delay in regulatory approval could impact the commercial or financial success of a product. Regulatory approval, if and when obtained, may be limited in scope. Even if regulatory approvals for new products are obtained, the success of those products is dependent upon market acceptance.</w:t>
      </w:r>
    </w:p>
    <w:p>
      <w:pPr>
        <w:spacing w:after="0" w:line="203"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spacing w:after="0" w:line="18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depending on certain factors – including decisions by Japanese regulatory and/or patent authorities – generic entry may occur for Amitiza® 24 μg in Japan prior to one of the patents relevant to Amitiza® expiring in April 2025.</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Sales continue to be negatively affected by the impact of tender systems in certain countries.</w:t>
      </w:r>
    </w:p>
    <w:p>
      <w:pPr>
        <w:spacing w:after="0" w:line="183"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inflation, elections, geopolitical events, including the ongoing conflicts in the Middle East and between Russia and Ukraine and related trade controls, sanctions, supply chain and staffing challenges and other economic considerations, supply chain disruptions, foreign currency exchange fluctuations, public health epidemics, changes in intellectual property legal protections and other regulatory changes.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Idorsia Acquisition</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March 15, 2024, the Company acquired the development programs and certain personnel related to selatogrel and cenerimod from Idorsia in exchange for an upfront payment to Idorsia of $350 million, potential milestone payments (including $300 million payable upon the achievement of certain development and regulatory milestones, and $2.1 billion payable upon the achievement of certain tiered sales milestones), as well as potential contingent tiered sales royalties. Viatris and Idorsia are both contributing to the development costs for both programs. Viatris has worldwide commercialization rights for both selatogrel and cenerimod (excluding, for cenerimod only, Japan, South Korea and certain countries in the Asia-Pacific region). A joint development committee is overseeing the development of the ongoing Phase 3 programs through regulatory approval. The agreements also provide Viatris a right of first refusal and a right of first negotiation for certain other assets in Idorsia’s pipeline. The transaction expands our portfolio of innovative assets by adding two Phase 3 assets and combines our financial strength and worldwide operational infrastructure with Idorsia’s proven, highly-productive drug development team and innovation engine.</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Acquisitions and Other Transactions</w:t>
      </w:r>
      <w:r>
        <w:rPr>
          <w:rFonts w:ascii="Times New Roman" w:cs="Times New Roman" w:eastAsia="Times New Roman" w:hAnsi="Times New Roman"/>
          <w:sz w:val="18"/>
          <w:szCs w:val="18"/>
          <w:color w:val="auto"/>
        </w:rPr>
        <w:t xml:space="preserve"> in Part I, Item 1 of this Form 10-Q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Divestitures</w:t>
      </w:r>
    </w:p>
    <w:p>
      <w:pPr>
        <w:spacing w:after="0" w:line="21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October 1, 2023, the Company announced it received an offer for the divestiture of its OTC Business, and entered into definitive agreements to divest its women’s healthcare business and, separately, in another transaction, its rights to two women’s healthcare products in certain countries, its API business in India and commercialization rights in the Upjohn Distributor Markets. The divestiture of the women’s healthcare business is primarily related to our oral and injectable contraceptives and does not include all of our women’s healthcare related products; as an example, our Xulane® product in the U.S. is excluded. The transaction to divest the Company’s rights to two women’s healthcare products in certain countries closed in December 2023 (other than in the U.K., which remains subject to regulatory approval), and the divestiture of the women’s healthcare business closed in March 2024. The divestitures of the commercialization rights in certain of the Upjohn Distributor Markets closed during 2023 and 2024, the divestiture of our API business in India closed in June 2024, and the OTC Transaction closed in July 2024.</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in Part I, Item 1 of this Form 10-Q for more information.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six months ended June 30, 2024 and 2023, the Company repurchased approximately 19.2 million shares of common stock at a cost of approximately $250 million and approximately 21.2 million shares of common stock at a cost of approximately $250 million, respectively, under the program. As of June 30, 2024, the Company had repurchased a total of $500 million in shares under the program. The share repurchase program does not obligate the Company to acquire any particular amount of common stock.</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is a summary of the Company’s financial results for the three and six months ended June 30, 2024 compared to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449"/>
        </w:trPr>
        <w:tc>
          <w:tcPr>
            <w:tcW w:w="7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More information about non-GAAP measures used by the Company as part of this discussion, including adjusted cost of sales, adjusted gross margins, adjusted EBITDA, adjusted net earnings, and adjusted EPS (all of which are defined below) can be found in “Item 2.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 - Use of Non-GAAP Financial Measures.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Three Months Ended June 30,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5"/>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2024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2024 Constant</w:t>
            </w:r>
          </w:p>
        </w:tc>
        <w:tc>
          <w:tcPr>
            <w:tcW w:w="100" w:type="dxa"/>
            <w:vAlign w:val="bottom"/>
          </w:tcPr>
          <w:p>
            <w:pPr>
              <w:spacing w:after="0"/>
              <w:rPr>
                <w:sz w:val="11"/>
                <w:szCs w:val="11"/>
                <w:color w:val="auto"/>
              </w:rPr>
            </w:pPr>
          </w:p>
        </w:tc>
        <w:tc>
          <w:tcPr>
            <w:tcW w:w="134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46"/>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28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215"/>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Impact </w:t>
            </w:r>
            <w:r>
              <w:rPr>
                <w:rFonts w:ascii="Times New Roman" w:cs="Times New Roman" w:eastAsia="Times New Roman" w:hAnsi="Times New Roman"/>
                <w:sz w:val="18"/>
                <w:szCs w:val="18"/>
                <w:b w:val="1"/>
                <w:bCs w:val="1"/>
                <w:color w:val="auto"/>
                <w:w w:val="99"/>
                <w:vertAlign w:val="superscript"/>
              </w:rPr>
              <w:t>(1)</w:t>
            </w:r>
          </w:p>
        </w:tc>
        <w:tc>
          <w:tcPr>
            <w:tcW w:w="140" w:type="dxa"/>
            <w:vAlign w:val="bottom"/>
          </w:tcPr>
          <w:p>
            <w:pPr>
              <w:spacing w:after="0"/>
              <w:rPr>
                <w:sz w:val="17"/>
                <w:szCs w:val="17"/>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7"/>
                <w:szCs w:val="17"/>
                <w:color w:val="auto"/>
              </w:rPr>
            </w:pPr>
          </w:p>
        </w:tc>
        <w:tc>
          <w:tcPr>
            <w:tcW w:w="1340" w:type="dxa"/>
            <w:vAlign w:val="bottom"/>
          </w:tcPr>
          <w:p>
            <w:pPr>
              <w:jc w:val="right"/>
              <w:ind w:right="202"/>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Markets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08"/>
        </w:trPr>
        <w:tc>
          <w:tcPr>
            <w:tcW w:w="33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4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3340" w:type="dxa"/>
            <w:vAlign w:val="bottom"/>
            <w:tcBorders>
              <w:top w:val="single" w:sz="8" w:color="CCEEFF"/>
              <w:bottom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Consolidated total revenues </w:t>
            </w:r>
            <w:r>
              <w:rPr>
                <w:rFonts w:ascii="Times New Roman" w:cs="Times New Roman" w:eastAsia="Times New Roman" w:hAnsi="Times New Roman"/>
                <w:sz w:val="23"/>
                <w:szCs w:val="23"/>
                <w:color w:val="auto"/>
                <w:vertAlign w:val="superscript"/>
              </w:rPr>
              <w:t>(4)</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3,918.6</w:t>
            </w:r>
          </w:p>
        </w:tc>
        <w:tc>
          <w:tcPr>
            <w:tcW w:w="14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3,895.5</w:t>
            </w:r>
          </w:p>
        </w:tc>
        <w:tc>
          <w:tcPr>
            <w:tcW w:w="14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Currency impact is shown as unfavorable (favorable).</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28"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constant currency percentage change is derived by translating net sales or revenues for the current period at prior year comparative period exchange rates, and in doing so shows the percentage change from 2024 constant currency net sales or revenues to the corresponding amount in the prior year.</w:t>
      </w:r>
    </w:p>
    <w:p>
      <w:pPr>
        <w:spacing w:after="0" w:line="37"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June 30, 2024, other revenues in Developed Markets, Greater China, JANZ, and Emerging Markets were approximately $5.9 million, $0.4 million, $0.2 million, and $4.2 million, respectively.</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exclude intersegment revenue which eliminates on a consolidated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Viatris reported total revenues of $3.80 billion, compared to $3.92 billion for the comparable prior year period, representing a decrease of $122.0 million, or 3%. Total revenues include both net sales and other revenues from third parties. Net sales for the current quarter were $3.79 billion, compared to $3.91 billion for the comparable prior year period, representing a decrease of $123.6 million, or 3%. Other revenues for the current quarter were $10.7 million, compared to $9.1 million for the comparable prior year period.</w:t>
      </w:r>
    </w:p>
    <w:p>
      <w:pPr>
        <w:spacing w:after="0" w:line="18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decrease in net sales was partially driven by the unfavorable impact of foreign currency translation of approximately $98.9 million, or 3%, primarily reflecting changes in the U.S. Dollar as compared to the currencies of subsidiaries in countries within the EU, Japan, China, and countries in Emerging Markets. Additionally, net sales decreased by approximately $109.2 million or 3% due to the inclusion of net sales in the prior year period related to divestitures that have closed during 2023 and 2024. On a constant currency basis, net sales from the remaining business increased by approximately $84.5 million, or 2%, for the three months ended June 30, 2024 compared to the prior year period. The increase was driven by new product sales, primarily in the U.S., of approximately $209.9 million. New product sales include new products launched in 2024 and the carryover impact of new products, including business development, launched within the last twelve months. This increase was partially offset by base business erosion of approximately $125.4 million.</w:t>
      </w:r>
    </w:p>
    <w:p>
      <w:pPr>
        <w:spacing w:after="0" w:line="219"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33% and 34% for the three months ended June 30, 2024 and 2023,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are derived from our four reporting segments: Developed Markets, Greater China, JANZ, and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Developed Markets Segment</w:t>
      </w:r>
    </w:p>
    <w:p>
      <w:pPr>
        <w:spacing w:after="0" w:line="25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Net sales from Developed Markets decreased by $34.6 million or 1% during the three months ended June 30, 2024 when compared to the prior year period. The decrease was partially driven by the unfavorable impact of foreign currency translation of approximately $15.7 million, or 1%. Net sales also decreased by approximately $31.6 million or 1% due to the inclusion of net sales in the prior year period related to divestitures that have closed during 2023 and 2024. Constant currency net sales from the remaining business increased by $12.7 million or less than 1% when compared to the prior year period. New product sales, including Breyna™ in the U.S., combined with the stability of our existing product portfolio, helped to offset the anticipated lower net sales of certain existing products within the U.S., including EpiPen® Auto-Injector and Perforomist®, as a result of lower pricing and volumes due to additional competition and unfavorable channel dynamics. Net sales within North America totaled approximately $986.4 million and net sales within Europe totaled approximately $1.33 billion.</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Greater China Segment</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Net sales from Greater China increased by $6.9 million or 1% for the three months ended June 30, 2024 when compared to the prior year period. The unfavorable impact of foreign currency translation was approximately $19.0 million, or 4%. Constant currency net sales increased by approximately $25.9 million or 5% when compared to the prior year period, driven by higher volumes of existing products. Divestitures did not have a significant impact on the net sales for the current quarter.</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JANZ Segment</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Net sales from JANZ decreased by $25.9 million or 7% for the three months ended June 30, 2024 when compared to the prior year period. This decrease was the result of the unfavorable impact of foreign currency translation of approximately $29.9 million, or 8%. Constant currency net sales increased by approximately $4.5 million, or 1%, when compared to the prior year period, driven primarily by new product sales in Australia and volume growth of our promoted brands in Japan. This increase was partially offset by lower net sales of existing products mainly driven by lower pricing in Japan as a result of government price reductions and additional competition. Divestitures did not have a significant impact on the net sales for the current quarter.</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Emerging Markets Segment</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Net sales from Emerging Markets decreased by $70.0 million or 11% for the three months ended June 30, 2024 when compared to the prior year period. This decrease was partially driven by the unfavorable impact of foreign currency translation of approximately $34.3 million, or 5%. In addition, net sales also decreased by approximately $77.1 million, or 12%, due to the inclusion of net sales in the prior year period related to divestitures that have closed during 2023 and 2024. Constant currency net sales from the remaining business increased by $41.4 million, or 6% when compared to the prior year period, primarily driven by new products and higher volumes of existing products in certain Latin American, Middle Eastern and Asian countries.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Cost of sales increased from $2.31 billion for the three months ended June 30, 2023 to $2.35 billion for the three months ended June 30, 2024. The increase in cost of sales was driven by an IPR&amp;D intangible asset impairment charge of $102.0 million. Refer to Note 10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in Part I, Item 1 of this Form 10-Q for more information. This increase was partially offset by the impact of the decrease in net sales, including as a result of the divestitures that have closed during 2023 and 2024</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Gross profit for the three months ended June 30, 2024 was $1.45 billion and gross margins were 38%. For the three months ended June 30, 2023, gross profit was $1.61 billion and gross margins were 41%. This change in gross profit is primarily related to the decrease in net sales and the increase in cost of sales. Adjusted gross margins were approximately 58% for the three months ended June 30, 2024, compared to approximately 60% for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cost of sales, as reported under U.S. GAAP, and adjusted cost of sales and adjusted gross margin for the three months ended June 30, 2024 compared to the three months ended June 30, 2023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GAAP cost of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2,310.0</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accounting amortization and other related items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(709.9)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and divestiture-related costs</w:t>
            </w:r>
          </w:p>
        </w:tc>
        <w:tc>
          <w:tcPr>
            <w:tcW w:w="32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related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special items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1,592.7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1,586.9</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2,203.9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2,331.7</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margin </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hanging="328"/>
        <w:spacing w:after="0" w:line="229" w:lineRule="auto"/>
        <w:tabs>
          <w:tab w:leader="none" w:pos="655"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gross profit is calculated as total revenues less adjusted cost of sales. Adjusted gross margin is calculated as adjusted gross profit divided by total revenues.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&amp; Development Expense</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R&amp;D expense for the three months ended June 30, 2024 was $204.1 million, compared to $208.3 million for the comparable prior year period, a decrease of $4.2 million due to the timing of clinical development programs.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&amp; Administrative Expense</w:t>
      </w:r>
    </w:p>
    <w:p>
      <w:pPr>
        <w:spacing w:after="0" w:line="214"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color w:val="auto"/>
        </w:rPr>
        <w:t>SG&amp;A expense for the current quarter was $1.36 billion, compared to $1.03 billion for the comparable prior year period, an increase of $326.1 million. The increase was primarily due to a goodwill impairment charge of $321.0 million related to the JANZ reporting unit, and higher acquisition and</w:t>
      </w:r>
    </w:p>
    <w:p>
      <w:pPr>
        <w:ind w:right="420"/>
        <w:spacing w:after="0" w:line="268" w:lineRule="auto"/>
        <w:rPr>
          <w:sz w:val="20"/>
          <w:szCs w:val="20"/>
          <w:color w:val="auto"/>
        </w:rPr>
      </w:pPr>
      <w:r>
        <w:rPr>
          <w:rFonts w:ascii="Times New Roman" w:cs="Times New Roman" w:eastAsia="Times New Roman" w:hAnsi="Times New Roman"/>
          <w:sz w:val="18"/>
          <w:szCs w:val="18"/>
          <w:color w:val="auto"/>
        </w:rPr>
        <w:t xml:space="preserve">divestiture-related costs of approximately $41.3 million. Refer to Note 10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in Part I, Item 1 of this Form 10-Q for more information on the goodwill impairment charge.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Litigation Settlements and Other Contingencies,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(gains)/losses recognized in litigation settlements and other contingencies, net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adjustment (related to the Respiratory Delivery Platform)</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134.2</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8"/>
                <w:szCs w:val="18"/>
                <w:color w:val="auto"/>
                <w:w w:val="96"/>
              </w:rPr>
              <w:t>(25.1)</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131.0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6"/>
              </w:rPr>
              <w:t>(11.0)</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 Part I, Item 1 of this Form 10-Q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June 30, 2024 totaled $145.8 million, compared to $143.7 million for the three months ended June 30, 2023, an increase of $2.1 million. The increase is primarily due to the non-cash accretion of the contingent consideration liability related to the Idorsia Transaction, partially offset by lower interest expense as a result of debt repayments.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Other expense (income), net includes gains and losses from divestitures of businesses, changes in the fair value of equity securities, foreign exchange, expense (income) related to post-employment benefit plans, TSA income, and interest and dividend income. Other expense (income), net for the three months ended June 30, 2024 totaled $6.1 million of expense, compared to $107.5 million of income for the three months ended June 30, 2023.</w:t>
      </w:r>
    </w:p>
    <w:p>
      <w:pPr>
        <w:spacing w:after="0" w:line="20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decrease in other income, net was primarily driven by: (1) net loss on divestitures of approximately $258.8 million; and (2) lower TSA income of approximately $40.8 million as the prior year period included TSA income related to the reimbursement for transition services provided to Biocon Biologics. Biocon Biologics had substantially exited all transition services with Viatris as of December 31, 2023. The costs related to the transition services are included in SG&amp;A and R&amp;D. This decrease was partially offset by higher net gains of $174.2 million related to our non-marketable equity investments, including the CCPS in Biocon Biologics.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2024, the Company recognized an income tax benefit of $65.4 million, compared to an income tax provision of $69.0 million for the comparable prior year period, a change of $134.4 million. The current year income tax provision was negatively impacted due to the goodwill impairment charge recorded in the second quarter of 2024, for which no tax benefit was realized. This was partially offset by a benefit related to the release of reserves for uncertain tax positions as a result of the favorable court decision in the Australian tax matter, and certain statute of limitations expirations. The current year and prior year provisions were also impacted by the levels of income and the changing mix at which it is earned in jurisdictions with differing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5"/>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2024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2024 Constant</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46"/>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28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215"/>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Impact </w:t>
            </w:r>
            <w:r>
              <w:rPr>
                <w:rFonts w:ascii="Times New Roman" w:cs="Times New Roman" w:eastAsia="Times New Roman" w:hAnsi="Times New Roman"/>
                <w:sz w:val="18"/>
                <w:szCs w:val="18"/>
                <w:b w:val="1"/>
                <w:bCs w:val="1"/>
                <w:color w:val="auto"/>
                <w:w w:val="99"/>
                <w:vertAlign w:val="superscript"/>
              </w:rPr>
              <w:t>(1)</w:t>
            </w:r>
          </w:p>
        </w:tc>
        <w:tc>
          <w:tcPr>
            <w:tcW w:w="140" w:type="dxa"/>
            <w:vAlign w:val="bottom"/>
          </w:tcPr>
          <w:p>
            <w:pPr>
              <w:spacing w:after="0"/>
              <w:rPr>
                <w:sz w:val="17"/>
                <w:szCs w:val="17"/>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7"/>
                <w:szCs w:val="17"/>
                <w:color w:val="auto"/>
              </w:rPr>
            </w:pPr>
          </w:p>
        </w:tc>
        <w:tc>
          <w:tcPr>
            <w:tcW w:w="1340" w:type="dxa"/>
            <w:vAlign w:val="bottom"/>
          </w:tcPr>
          <w:p>
            <w:pPr>
              <w:jc w:val="right"/>
              <w:ind w:right="197"/>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Markets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Consolidated total revenues </w:t>
            </w:r>
            <w:r>
              <w:rPr>
                <w:rFonts w:ascii="Times New Roman" w:cs="Times New Roman" w:eastAsia="Times New Roman" w:hAnsi="Times New Roman"/>
                <w:sz w:val="23"/>
                <w:szCs w:val="23"/>
                <w:color w:val="auto"/>
                <w:vertAlign w:val="superscript"/>
              </w:rPr>
              <w:t>(4)</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7,647.7</w:t>
            </w:r>
          </w:p>
        </w:tc>
        <w:tc>
          <w:tcPr>
            <w:tcW w:w="14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7,636.1</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Currency impact is shown as unfavorable (favorable).</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28" w:lineRule="auto"/>
        <w:tabs>
          <w:tab w:leader="none" w:pos="64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constant currency percentage change is derived by translating net sales or revenues for the current period at prior year comparative period exchange rates, and in doing so shows the percentage change from 2024 constant currency net sales or revenues to the corresponding amount in the prior year.</w:t>
      </w:r>
    </w:p>
    <w:p>
      <w:pPr>
        <w:spacing w:after="0" w:line="37"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4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six months ended June 30, 2024, other revenues in Developed Markets, Greater China, JANZ, and Emerging Markets were approximately $13.1 million, $0.4 million, $0.5 million, and $6.6 million, respectively.</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exclude intersegment revenue which eliminates on a consolidated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Viatris reported total revenues of $7.46 billion, compared to $7.65 billion for the comparable prior year period, representing a decrease of $187.7 million, or 2%. Total revenues include both net sales and other revenues from third parties. Net sales for the six months ended June 30, 2024 were $7.44 billion, compared to $7.63 billion for the comparable prior year period, representing a decrease of $189.2 million, or 2%. Other revenues for the six months ended June 30, 2024 were $20.6 million, compared to $19.1 million for the comparable prior year period.</w:t>
      </w:r>
    </w:p>
    <w:p>
      <w:pPr>
        <w:spacing w:after="0" w:line="18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decrease in net sales was driven by the unfavorable impact of foreign currency translation of approximately $176.1 million, or 2%, primarily reflecting changes in the U.S. Dollar as compared to the currencies of subsidiaries in Japan, China, and countries in Emerging Markets. Additionally, net sales decreased by approximately $154.8 million or 2% due to the inclusion of net sales in the prior year period related to divestitures that have closed during 2023 and 2024. On a constant currency basis, net sales from the remaining business increased by approximately $141.7 million, or 2%, for the six months ended June 30, 2024 compared to the prior year period. The increase was driven by new product sales, primarily in the U.S., of approximately $364.2 million. New product sales include new products launched in 2024 and the carryover impact of new products, including business development, launched within the last twelve months. This increase was partially offset by base business erosion of approximately $222.5 million.</w:t>
      </w:r>
    </w:p>
    <w:p>
      <w:pPr>
        <w:spacing w:after="0" w:line="18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33% and 35% for the six months ended June 30, 2024 and 2023,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are derived from our four reporting segments: Developed Markets, Greater China, JANZ, and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Developed Markets Segment</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Net sales from Developed Markets decreased by $39.6 million or 1% for the six months ended June 30, 2024 when compared to the prior year period. The unfavorable impact of foreign currency translation was approximately $1.7 million. Net sales decreased by approximately $46.7 million or 1% due to the inclusion of net sales in the prior year period related to divestitures that have closed during 2023 and 2024. Constant currency net sales from the remaining business increased by approximately $8.8 million or less than 1% when compared to the prior year period. New product sales, including Breyna™ in the U.S., combined with the stability of our existing product portfolio, helped to offset the anticipated lower net sales of certain existing products within the U.S., including EpiPen® Auto-Injector and Perforomist®, as a result of lower pricing and volumes due to additional competition and unfavorable channel dynamics. Net sales within North America totaled approximately $1.88 billion and net sales within Europe totaled approximately $2.60 billion.</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Greater China Segment</w:t>
      </w:r>
    </w:p>
    <w:p>
      <w:pPr>
        <w:spacing w:after="0" w:line="227"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Net sales from Greater China decreased by $13.8 million or 1% for the six months ended June 30, 2024 when compared to the prior year period. This decrease was the result of the unfavorable impact of foreign currency translation of approximately $40.5 million, or 4%. Constant currency net sales increased by approximately $26.7 million or 2% when compared to the prior year period, driven by higher volumes of existing products. Divestitures did not have a significant impact on the net sales for the current quarter.</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JANZ Segment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Net sales from JANZ decreased by $50.3 million or 7% for the six months ended June 30, 2024 when compared to the prior year period. This decrease was the result of the unfavorable impact of foreign currency translation of approximately $60.7 million, or 8%. Constant currency net sales increased by approximately $11.0 million, or 2%, when compared to the prior year period, driven primarily by new product sales in Australia and volume growth of our promoted brands in Japan. This increase was partially offset by lower net sales of existing products mainly driven by lower pricing in Japan as a result of government price reductions and additional competition. Divestitures did not have a significant impact on the net sales for the current quarter.</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Emerging Markets Segment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Net sales from Emerging Markets decreased by $85.5 million or 7% for the six months ended June 30, 2024 when compared to the prior year period. This decrease was driven by the unfavorable impact of foreign currency translation of approximately $73.2 million, or 6%. In addition, net sales also decreased by approximately $107.5 million, or 8%, due to the inclusion of net sales in the prior year period related to divestitures that have closed during 2023 and 2024. Constant currency net sales from the remaining business increased by $95.2 million, or 7% when compared to the prior year period, primarily driven by new products and higher volumes of existing products in certain Latin American, Middle Eastern and Asian countries.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Cost of sales increased from $4.50 billion for the six months ended June 30, 2023 to $4.51 billion for the six months ended June 30, 2024. The increase in cost of sales was driven by an IPR&amp;D intangible asset impairment charge of $102.0 million. Refer to Note 10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in Part I, Item 1 of this Form 10-Q for more information. This increase was largely offset by the impact of the decrease in net sales, including as a result of the divestitures that have closed during 2023 and 2024</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Gross profit for the six months ended June 30, 2024 was $2.95 billion and gross margins were 40%. For the six months ended June 30, 2023, gross profit was $3.15 billion and gross margins were 41%. This change in gross profit is primarily related to the decrease in net sales and the increase in cost of sales. Adjusted gross margins were approximately 58% for the six months ended June 30, 2024, compared to approximately 60%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cost of sales, as reported under U.S. GAAP, and adjusted cost of sales and adjusted gross margin for the six months ended June 30, 2024 compared to the six months ended June 30, 2023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GAAP 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4,510.6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4,496.9</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accounting amortization and other related items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(1,321.4)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(1,262.7)</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and divestiture-related costs</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related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special items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3,101.3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3,065.1</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4,358.7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4,582.6</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margin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hanging="328"/>
        <w:spacing w:after="0" w:line="229" w:lineRule="auto"/>
        <w:tabs>
          <w:tab w:leader="none" w:pos="655"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gross profit is calculated as total revenues less adjusted cost of sales. Adjusted gross margin is calculated as adjusted gross profit divided by total revenues.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Research &amp; Development Expense</w:t>
      </w:r>
    </w:p>
    <w:p>
      <w:pPr>
        <w:spacing w:after="0" w:line="22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R&amp;D expense for the six months ended June 30, 2024 was $403.8 million, compared to $391.2 million for the comparable prior year period, an increase of $12.6 million. This increase was primarily due to continued investment in our pipeline, including for the selatogrel and cenerimod clinical development programs.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Selling, General &amp; Administrative Expense</w:t>
      </w:r>
    </w:p>
    <w:p>
      <w:pPr>
        <w:spacing w:after="0" w:line="22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SG&amp;A expense for the six months ended June 30, 2024 was $2.38 billion, compared to $1.99 billion for the comparable prior year period, an increase of $384.7 million. The increase was primarily due to a goodwill impairment charge of $321.0 million related to the JANZ reporting unit, and higher acquisition and divestiture-related costs of approximately $66.7 million. Refer to Note 10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in Part I, Item 1 of this Form 10-Q for more information on the goodwill impairment charge.</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Litigation Settlements and Other Contingencies,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losses/(gains) recognized in litigation settlements and other contingencies, net during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June 30, 2023,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adjustment (related to the Respiratory Delivery Platform)</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206.2</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8"/>
                <w:szCs w:val="18"/>
                <w:color w:val="auto"/>
                <w:w w:val="96"/>
              </w:rPr>
              <w:t>(25.9)</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207.8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 Part I, Item 1 of this Form 10-Q for more information.</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six months ended June 30, 2024 totaled $284.2 million, compared to $290.7 million for the six months ended June 30, 2023, a decrease of $6.5 million. The decrease is primarily due to the impact of debt repayments, partially offset by the non-cash accretion of the contingent consideration liability related to the Idorsia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Other expense (income), net includes gains and losses from divestitures of businesses, changes in the fair value of equity securities, foreign exchange, expense (income) related to post-employment benefit plans, TSA income, and interest and dividend income. Other income, net for the six months ended June 30, 2024 totaled $133.0 million, compared to $177.4 million for the six months ended June 30, 2023.</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decrease in other income, net was primarily driven by a net loss on divestitures of approximately $188.4 million, and by lower TSA income of approximately $73.1 million as the prior year period included TSA income related to the reimbursement for transition services provided to Biocon Biologics. Biocon Biologics had substantially exited all transition services with Viatris as of December 31, 2023. The costs related to the transition services are included in SG&amp;A and R&amp;D. This was partially offset by higher net gains of $200.8 million related to our non-marketable equity investments, including the CCPS in Biocon Biologics.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43" w:lineRule="exact"/>
        <w:rPr>
          <w:sz w:val="20"/>
          <w:szCs w:val="20"/>
          <w:color w:val="auto"/>
        </w:rPr>
      </w:pPr>
    </w:p>
    <w:p>
      <w:pPr>
        <w:ind w:right="20" w:firstLine="198"/>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the Company recognized an income tax provision of $25.3 million, compared to $167.0 million for the comparable prior year period, a decrease of $141.7 million. The current year income tax provision was negatively impacted due to the goodwill impairment charge recorded in the second quarter of 2024, for which no tax benefit was realized. This was partially offset by a benefit related to the release of reserves for uncertain tax positions as a result of the favorable court decision in the Australian tax matter, and certain statute of limitations expirations. The current year and prior year provisions were also impacted by the levels of income and the changing mix at which it is earned in jurisdictions with differing tax rates. Further impacting the tax provision for the six months ended June 30, 2023 was a tax expense of $22.3 million related to an agreement with the Indian tax authorities in March 2023 in respect of the pricing of its international transactions.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of Sales and Adjusted Gross Margin</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use the non-GAAP financial measure “adjusted cost of sales” and the corresponding non-GAAP financial measure “adjusted gross margin.” The principal items excluded from adjusted cost of sales include restructuring, acquisition and divestiture-related costs, and other special items, purchase accounting amortization and other related items, and share-based compensation expense, which are described in greater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Earnings and Adjusted EPS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Adjusted net earnings and adjusted net earnings per diluted share (“adjusted EPS”) are non-GAAP financial measures and provide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and adjusted EPS are important internal financial metrics related to the ongoing operating performance of the Company, and are therefore useful to investors and that their understanding of our performance is enhanced by these measures. Actual internal and forecasted operating results and annual budgets used by management include adjusted net earnings and adjusted EPS.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income tax provision (benefit), interest expense and depreciation and amortization. EBITDA is further adjusted for share-based compensation expense, litigation settlements and other contingencies, net, gain on divestitures of businesses, restructuring related costs, impairment of long-lived assets, acquisition and divestiture-related and other special items to determine adjusted EBITDA. These adjustments are generally permitted under our credit agreement in calculating adjusted EBITDA for determining compliance with our debt covenants.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items excluded from adjusted cost of sales, adjusted EBITDA, adjusted net earnings, and adjusted EPS include:</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Amortization and Other Related Items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ongoing impact of certain amounts recorded in connection with acquisitions of both businesses and assets is excluded from adjusted cost of sales, adjusted EBITDA, adjusted net earnings, and adjusted EPS. These amounts include the amortization of intangible assets, inventory step-up, property, plant and equipment step-up, intangible asset impairment charges, including for IPR&amp;D, and impairment of goodwill. For the acquisition of businesses accounted for under the provisions of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these purchase accounting impacts are excluded regardless of the financing method used for the acquisitions, including the use of cash, long-term debt, the issuance of common stock, contingent consideration or any combination thereof.</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Value Adjustments, Including Contingent Consideration</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impact of changes to the fair value of assets and liabilities, including contingent and deferred consideration and non-marketable equity investments, and the related accretion income or expense are excluded from adjusted EBITDA, adjusted net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Share-based compensation expense is excluded from adjusted cost of sales, adjusted EBITDA, adjusted net earnings, and adjusted EPS.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Acquisition and Divestiture-Related Costs and Other Special Items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related to restructuring, acquisition and divestiture-related activities and other actions are excluded from adjusted cost of sales,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adjusted net earnings, and adjusted EPS, as applicable. These amounts include items such as:</w:t>
      </w:r>
    </w:p>
    <w:p>
      <w:pPr>
        <w:spacing w:after="0" w:line="99" w:lineRule="exact"/>
        <w:rPr>
          <w:sz w:val="20"/>
          <w:szCs w:val="20"/>
          <w:color w:val="auto"/>
        </w:rPr>
      </w:pPr>
    </w:p>
    <w:p>
      <w:pPr>
        <w:ind w:left="980" w:right="56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13" w:lineRule="exact"/>
        <w:rPr>
          <w:rFonts w:ascii="Times New Roman" w:cs="Times New Roman" w:eastAsia="Times New Roman" w:hAnsi="Times New Roman"/>
          <w:sz w:val="18"/>
          <w:szCs w:val="18"/>
          <w:color w:val="auto"/>
        </w:rPr>
      </w:pPr>
    </w:p>
    <w:p>
      <w:pPr>
        <w:ind w:left="980" w:right="40" w:hanging="324"/>
        <w:spacing w:after="0" w:line="258"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 and divestiture costs, including costs relating to integration and planning,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w:t>
      </w:r>
    </w:p>
    <w:p>
      <w:pPr>
        <w:spacing w:after="0" w:line="2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incurred from time to time, related to certain special events or activities that lead to gains or losses, including, but not limited to, incremental manufacturing variances, asset write-downs, including other-than-temporary impairments of investments in equity or debt instruments, or liability adjustments;</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to further develop and optimize our global enterprise resource planning systems, operations and supply chain;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from divestitures, including impairments of held for sale assets; and</w:t>
      </w:r>
    </w:p>
    <w:p>
      <w:pPr>
        <w:spacing w:after="0" w:line="63"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related to uncertain tax positions are excluded from adjusted net earnings, and adjusted EPS. In addition, tax adjustments to adjusted earnings are recorded to present items on an after-tax basis consistent with the presentation of adjusted net earnings and adjusted EPS.</w:t>
      </w:r>
    </w:p>
    <w:p>
      <w:pPr>
        <w:spacing w:after="0" w:line="20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EBITDA, adjusted net earnings, and adjusted EPS because it believes it is helpful to understanding the underlying, ongoing operational performance of the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Litigation Settlements, Net</w:t>
      </w:r>
    </w:p>
    <w:p>
      <w:pPr>
        <w:spacing w:after="0" w:line="227"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Charges and gains related to legal matters, such as those discussed in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included in Part I, Item 1 of this Form 10-Q are generally excluded from adjusted EBITDA, adjusted net earnings, and adjusted EPS. Normal, ongoing defense costs of the Company made in the normal course of our business are not excluded.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Net (Loss) Earnings to Adjusted Net Earnings and U.S. GAAP (Loss) Earnings Per Share to Adjusted EPS</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net (loss) earnings and diluted (loss) earnings per share as reported under U.S. GAAP, and adjusted net earnings and adjusted EPS for the periods shown follows: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U.S. GAAP net (loss) earnings and U.S. GAAP diluted</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181"/>
        </w:trPr>
        <w:tc>
          <w:tcPr>
            <w:tcW w:w="40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Purchase accounting amortization (primarily included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 cost of sales)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 of goodwill (included in SG&amp;A) </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expense (primarily amortization of premiums</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discounts on long term debt)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0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Loss on divestitures of businesses (included in other</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income, net) </w:t>
            </w:r>
            <w:r>
              <w:rPr>
                <w:rFonts w:ascii="Times New Roman" w:cs="Times New Roman" w:eastAsia="Times New Roman" w:hAnsi="Times New Roman"/>
                <w:sz w:val="23"/>
                <w:szCs w:val="23"/>
                <w:color w:val="auto"/>
                <w:vertAlign w:val="superscript"/>
              </w:rPr>
              <w:t>(c)</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Acquisition and divestiture-related costs (primarily</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included in SG&amp;A) </w:t>
            </w:r>
            <w:r>
              <w:rPr>
                <w:rFonts w:ascii="Times New Roman" w:cs="Times New Roman" w:eastAsia="Times New Roman" w:hAnsi="Times New Roman"/>
                <w:sz w:val="23"/>
                <w:szCs w:val="23"/>
                <w:color w:val="auto"/>
                <w:vertAlign w:val="superscript"/>
              </w:rPr>
              <w:t>(d)</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Restructuring-related costs </w:t>
            </w:r>
            <w:r>
              <w:rPr>
                <w:rFonts w:ascii="Times New Roman" w:cs="Times New Roman" w:eastAsia="Times New Roman" w:hAnsi="Times New Roman"/>
                <w:sz w:val="23"/>
                <w:szCs w:val="23"/>
                <w:color w:val="auto"/>
                <w:vertAlign w:val="superscript"/>
              </w:rPr>
              <w:t>(e)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special items included in:</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(f)</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Tax effect of the above items and other income tax</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related items </w:t>
            </w:r>
            <w:r>
              <w:rPr>
                <w:rFonts w:ascii="Times New Roman" w:cs="Times New Roman" w:eastAsia="Times New Roman" w:hAnsi="Times New Roman"/>
                <w:sz w:val="23"/>
                <w:szCs w:val="23"/>
                <w:color w:val="auto"/>
                <w:vertAlign w:val="superscript"/>
              </w:rPr>
              <w:t>(g)</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earnings and adjusted EPS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include the following:</w:t>
      </w:r>
    </w:p>
    <w:p>
      <w:pPr>
        <w:spacing w:after="0" w:line="63" w:lineRule="exact"/>
        <w:rPr>
          <w:sz w:val="20"/>
          <w:szCs w:val="20"/>
          <w:color w:val="auto"/>
        </w:rPr>
      </w:pPr>
    </w:p>
    <w:p>
      <w:pPr>
        <w:ind w:left="660" w:hanging="328"/>
        <w:spacing w:after="0" w:line="229" w:lineRule="auto"/>
        <w:tabs>
          <w:tab w:leader="none" w:pos="655"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six months ended June 30, 2024, includes an IPR&amp;D intangible asset impairment charge of $102.0 million as the Company concluded that one of its IPR&amp;D assets was fully impaired due to unfavorable clinical results and the termination of the development program.</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six months ended June 30, 2024, includes a goodwill impairment charge of $321.0 million related to the JANZ reporting unit.</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36" w:lineRule="auto"/>
        <w:tabs>
          <w:tab w:leader="none" w:pos="655"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six months ended June 30, 2024, includes an additional pre-tax charge related to the divestiture of the OTC Business of approximately $247.6 million to further write down the disposal group to fair value, less cost to sell. Also includes a pre-tax charge related to the divestiture of the API business of approximately $7.0 million and $17.4 million, respectively. For the six months ended June 30, 2024, also includes a pre-tax gain on the divestiture of the women’s healthcare business of approximately $80.8 million for the difference between the consideration received and the carrying value of the assets transferred (including an allocation of goodwill).</w:t>
      </w:r>
    </w:p>
    <w:p>
      <w:pPr>
        <w:spacing w:after="0" w:line="9"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Acquisition and divestiture-related costs consist primarily of transaction costs including legal and consulting fees and integration activities.</w:t>
      </w:r>
    </w:p>
    <w:p>
      <w:pPr>
        <w:spacing w:after="0" w:line="55" w:lineRule="exact"/>
        <w:rPr>
          <w:rFonts w:ascii="Times New Roman" w:cs="Times New Roman" w:eastAsia="Times New Roman" w:hAnsi="Times New Roman"/>
          <w:sz w:val="23"/>
          <w:szCs w:val="23"/>
          <w:color w:val="auto"/>
          <w:vertAlign w:val="superscript"/>
        </w:rPr>
      </w:pPr>
    </w:p>
    <w:p>
      <w:pPr>
        <w:ind w:left="660" w:hanging="328"/>
        <w:spacing w:after="0" w:line="219" w:lineRule="auto"/>
        <w:tabs>
          <w:tab w:leader="none" w:pos="655"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six months ended June 30, 2024, charges include approximately $11.6 million and $15.6 million, respectively, in cost of sales and approximately $8.5 million and $24.1 million, respectively, in SG&amp;A.</w:t>
      </w:r>
    </w:p>
    <w:p>
      <w:pPr>
        <w:spacing w:after="0" w:line="35"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55"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six months ended June 30, 2024, charges include incremental manufacturing variances at plants in the 2020 restructuring program of approximately $(1.1) million and $11.5 million, respectively.</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Net (Loss) Earnings to EBITDA and Adjusted EBITDA</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Below is a reconciliation of U.S. GAAP net (loss) earnings to EBITDA and adjusted EBITDA for the three and six months ended June 30, 2024 compared to the prior year period: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28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net (loss) earnings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 (deduct) adjustments: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(a)</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 (deduct) adjustments: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divestitures of businesses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acquisition and divestiture-related and other special items </w:t>
            </w:r>
            <w:r>
              <w:rPr>
                <w:rFonts w:ascii="Times New Roman" w:cs="Times New Roman" w:eastAsia="Times New Roman" w:hAnsi="Times New Roman"/>
                <w:sz w:val="23"/>
                <w:szCs w:val="23"/>
                <w:color w:val="auto"/>
                <w:vertAlign w:val="superscript"/>
              </w:rPr>
              <w:t>(c)</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580" w:hanging="248"/>
        <w:spacing w:after="0"/>
        <w:tabs>
          <w:tab w:leader="none" w:pos="58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amortization of premiums and discounts on long-term debt.</w:t>
      </w:r>
    </w:p>
    <w:p>
      <w:pPr>
        <w:spacing w:after="0" w:line="55" w:lineRule="exact"/>
        <w:rPr>
          <w:rFonts w:ascii="Times New Roman" w:cs="Times New Roman" w:eastAsia="Times New Roman" w:hAnsi="Times New Roman"/>
          <w:sz w:val="23"/>
          <w:szCs w:val="23"/>
          <w:color w:val="auto"/>
          <w:vertAlign w:val="superscript"/>
        </w:rPr>
      </w:pPr>
    </w:p>
    <w:p>
      <w:pPr>
        <w:ind w:left="580" w:hanging="248"/>
        <w:spacing w:after="0" w:line="194" w:lineRule="auto"/>
        <w:tabs>
          <w:tab w:leader="none" w:pos="58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purchase accounting related amortization.</w:t>
      </w:r>
    </w:p>
    <w:p>
      <w:pPr>
        <w:spacing w:after="0" w:line="56" w:lineRule="exact"/>
        <w:rPr>
          <w:rFonts w:ascii="Times New Roman" w:cs="Times New Roman" w:eastAsia="Times New Roman" w:hAnsi="Times New Roman"/>
          <w:sz w:val="23"/>
          <w:szCs w:val="23"/>
          <w:color w:val="auto"/>
          <w:vertAlign w:val="superscript"/>
        </w:rPr>
      </w:pPr>
    </w:p>
    <w:p>
      <w:pPr>
        <w:ind w:left="580" w:hanging="248"/>
        <w:spacing w:after="0" w:line="194" w:lineRule="auto"/>
        <w:tabs>
          <w:tab w:leader="none" w:pos="58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items detailed in the Reconciliation of U.S. GAAP Net (Loss) Earnings to Adjusted Net Earnings.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primary source of liquidity is net cash provided by operating activities, which was $993.7 million for the six months ended June 30, 2024. We believe that net cash provided by operating activities and available liquidity will continue to allow us to meet our needs for working capital, capital expenditures, interest and principal payments on debt obligations, dividend payments, and share repurchases.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Beginning in 2024, upfront and milestone payments related to externally developed IPR&amp;D projects acquired directly in a transaction other than a business combination, which were previously included in cash flows from operating activities in the condensed consolidated statements of cash flows, are now classified as cash flows from investing activities. Certain reclassifications were made to conform the prior period condensed consolidated financial statements to the current period presentation. The adjustments resulted in an increase to net cash provided by operating activities and an increase to net cash used in investing activities of $10.2 million for the six months ended June 30, 2023.</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by $502.6 million to $993.7 million for the six months ended June 30, 2024, as compared to net cash provided by operating activities of $1.50 billion for the six months ended June 30, 2023. Net cash provided by operating activities is derived from net (loss)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decrease in net cash provided by operating activities was principally due to lower operating earnings, including as a result of divestitures in 2023 and 2024, higher transaction costs associated with the divestitures, and the timing of cash payments and collections.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Net cash from investing activities was $221.5 million for the six months ended June 30, 2024, as compared to net cash used in investing activities of $836.3 million for the six months ended June 30, 2023, an increase of $1.06 billion.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2024, significant items in investing activities included the following:</w:t>
      </w:r>
    </w:p>
    <w:p>
      <w:pPr>
        <w:spacing w:after="0" w:line="121" w:lineRule="exact"/>
        <w:rPr>
          <w:sz w:val="20"/>
          <w:szCs w:val="20"/>
          <w:color w:val="auto"/>
        </w:rPr>
      </w:pPr>
    </w:p>
    <w:p>
      <w:pPr>
        <w:ind w:left="980" w:right="300" w:hanging="324"/>
        <w:spacing w:after="0" w:line="213" w:lineRule="auto"/>
        <w:tabs>
          <w:tab w:leader="none" w:pos="971" w:val="left"/>
        </w:tabs>
        <w:numPr>
          <w:ilvl w:val="0"/>
          <w:numId w:val="37"/>
        </w:numPr>
        <w:rPr>
          <w:rFonts w:ascii="Times New Roman" w:cs="Times New Roman" w:eastAsia="Times New Roman" w:hAnsi="Times New Roman"/>
          <w:sz w:val="26"/>
          <w:szCs w:val="26"/>
          <w:b w:val="1"/>
          <w:bCs w:val="1"/>
          <w:i w:val="1"/>
          <w:iCs w:val="1"/>
          <w:color w:val="auto"/>
          <w:vertAlign w:val="superscript"/>
        </w:rPr>
      </w:pPr>
      <w:r>
        <w:rPr>
          <w:rFonts w:ascii="Times New Roman" w:cs="Times New Roman" w:eastAsia="Times New Roman" w:hAnsi="Times New Roman"/>
          <w:sz w:val="18"/>
          <w:szCs w:val="18"/>
          <w:color w:val="auto"/>
        </w:rPr>
        <w:t>proceeds from the sale of assets and businesses of $677.7 million related to the divestitures of the API business in India and the women’s healthcare business;</w:t>
      </w:r>
    </w:p>
    <w:p>
      <w:pPr>
        <w:spacing w:after="0" w:line="90" w:lineRule="exact"/>
        <w:rPr>
          <w:rFonts w:ascii="Times New Roman" w:cs="Times New Roman" w:eastAsia="Times New Roman" w:hAnsi="Times New Roman"/>
          <w:sz w:val="26"/>
          <w:szCs w:val="26"/>
          <w:b w:val="1"/>
          <w:bCs w:val="1"/>
          <w:i w:val="1"/>
          <w:iCs w:val="1"/>
          <w:color w:val="auto"/>
          <w:vertAlign w:val="superscript"/>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acquisitions, net of cash acquired, of $350.0 million; and</w:t>
      </w:r>
    </w:p>
    <w:p>
      <w:pPr>
        <w:spacing w:after="0" w:line="11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equipment and facilities, totaling approximately $108.6 million. While there can be no assurance that current expectations will be realized, capital expenditures for the 2024 calendar year are expected to be approximately $350 million to $450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2023, significant items in investing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acquisitions, net of cash acquired, of $667.7 million;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equipment and facilities, totaling approximately $115.6 million.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$1.27 billion for the six months ended June 30, 2024, as compared to $1.28 billion for the six months ended June 30, 2023, a decrease of $4.7 million.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2024,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the 1.023% Euro Senior Notes at maturity of approximately $801.7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of $250.0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of $288.3 million; and</w:t>
      </w:r>
    </w:p>
    <w:p>
      <w:pPr>
        <w:spacing w:after="0" w:line="117"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$100.0 million in deferred consideration from the Biocon Biologics Transaction, and net cash of $28.8 million collected on behalf of various partners, including Biocon Biologics, which are included in Other items, net.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2023,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the 3.125% Senior Notes at maturity of approximately $750.0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of $250.0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short-term borrowings of $23.1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of $287.7 million;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of $33.2 million collected on behalf of various partners, including Biocon Biologics, which is included in Other items,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cash and cash equivalents totaled $917.2 million at June 30, 2024. The majority of our cash is invested in U.S. government money market funds. In order to support our global operations, we maintain significant cash and cash equivalents within the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Revolving Facility, Commercial Paper Program, Receivables Facility and Note Securitization Facility combined with cash to be generated from operations, to fund foreseeable cash needs without requiring the repatriation of non-U.S. cash.</w:t>
      </w:r>
    </w:p>
    <w:p>
      <w:pPr>
        <w:spacing w:after="0" w:line="216"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has access to $4.0 billion under the Revolving Facility which matures in July 2026. Up to $1.65 billion of the Revolving Facility may be used to support borrowings under our Commercial Paper Program. As of June 30, 2024, the Company did not have any borrowings outstanding under the Commercial Paper Program or the Revolving Facility.</w:t>
      </w:r>
    </w:p>
    <w:p>
      <w:pPr>
        <w:spacing w:after="0" w:line="176" w:lineRule="exact"/>
        <w:rPr>
          <w:sz w:val="20"/>
          <w:szCs w:val="20"/>
          <w:color w:val="auto"/>
        </w:rPr>
      </w:pPr>
    </w:p>
    <w:p>
      <w:pPr>
        <w:jc w:val="both"/>
        <w:ind w:right="60" w:firstLine="648"/>
        <w:spacing w:after="0" w:line="312" w:lineRule="auto"/>
        <w:rPr>
          <w:sz w:val="20"/>
          <w:szCs w:val="20"/>
          <w:color w:val="auto"/>
        </w:rPr>
      </w:pPr>
      <w:r>
        <w:rPr>
          <w:rFonts w:ascii="Times New Roman" w:cs="Times New Roman" w:eastAsia="Times New Roman" w:hAnsi="Times New Roman"/>
          <w:sz w:val="17"/>
          <w:szCs w:val="17"/>
          <w:color w:val="auto"/>
        </w:rPr>
        <w:t>The Company has a $400 million Receivables Facility which expires in April 2025, and a $200 million Note Securitization Facility which expires in August 2024. As of June 30, 2024, the Company did not have any borrowings outstanding under the Receivables Facility or Note Securitization Facility.</w:t>
      </w:r>
    </w:p>
    <w:p>
      <w:pPr>
        <w:spacing w:after="0" w:line="14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 plus 0.775%, and under the Note Securitization Facility at the relevant base rate plus 1.00% and are included as a component of short-term borrowings, while the accounts receivable securing these obligations remain as a component of accounts receivable, net, in our condensed consolidated balance sheets. In addition, the agreements governing the Receivables Facility and Note Securitization Facility contain various customary affirmative and negative covenants, and customary default and termination provisions.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$59.8 million and $30.8 million of accounts receivable as of June 30, 2024 and December 31, 2023 under these factoring arrangements, respectively. Additionally, in 2023, we entered into a similar arrangement for certain European countries. As of June 30, 2024 and December 31, 2023, we have assigned and derecognized approximately $375.2 million and $415.7 million, respectively, of </w:t>
      </w:r>
      <w:r>
        <w:rPr>
          <w:rFonts w:ascii="Times New Roman" w:cs="Times New Roman" w:eastAsia="Times New Roman" w:hAnsi="Times New Roman"/>
          <w:sz w:val="18"/>
          <w:szCs w:val="18"/>
          <w:i w:val="1"/>
          <w:iCs w:val="1"/>
          <w:color w:val="auto"/>
        </w:rPr>
        <w:t>Trade Receivables, Net</w:t>
      </w:r>
      <w:r>
        <w:rPr>
          <w:rFonts w:ascii="Times New Roman" w:cs="Times New Roman" w:eastAsia="Times New Roman" w:hAnsi="Times New Roman"/>
          <w:sz w:val="18"/>
          <w:szCs w:val="18"/>
          <w:color w:val="auto"/>
        </w:rPr>
        <w:t xml:space="preserve">, which are now included in </w:t>
      </w:r>
      <w:r>
        <w:rPr>
          <w:rFonts w:ascii="Times New Roman" w:cs="Times New Roman" w:eastAsia="Times New Roman" w:hAnsi="Times New Roman"/>
          <w:sz w:val="18"/>
          <w:szCs w:val="18"/>
          <w:i w:val="1"/>
          <w:iCs w:val="1"/>
          <w:color w:val="auto"/>
        </w:rPr>
        <w:t>Other Receivables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our dividends paid and declared and share repurchase program, refer to Note 9 </w:t>
      </w:r>
      <w:r>
        <w:rPr>
          <w:rFonts w:ascii="Times New Roman" w:cs="Times New Roman" w:eastAsia="Times New Roman" w:hAnsi="Times New Roman"/>
          <w:sz w:val="18"/>
          <w:szCs w:val="18"/>
          <w:i w:val="1"/>
          <w:iCs w:val="1"/>
          <w:color w:val="auto"/>
        </w:rPr>
        <w:t>(Loss) earnings per Share</w:t>
      </w:r>
      <w:r>
        <w:rPr>
          <w:rFonts w:ascii="Times New Roman" w:cs="Times New Roman" w:eastAsia="Times New Roman" w:hAnsi="Times New Roman"/>
          <w:sz w:val="18"/>
          <w:szCs w:val="18"/>
          <w:color w:val="auto"/>
        </w:rPr>
        <w:t xml:space="preserve"> in Part I, Item 1 of this Form 10-Q.</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spacing w:after="0" w:line="18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 previously discussed, on October 1, 2023, the Company announced certain divestiture-related transactions. Refer to Note 5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in Part I, Item 1 of this Form 10-Q for more information.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Long-term Debt Maturity</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regarding our debt agreements and mandatory minimum repayments remaining on the outstanding notional amount of long-term debt at June 30, 2024,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YEN Term Loan Facility and the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for the quarter ended March 31, 2023 and each quarter ending thereafter,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in compliance with its covenants at June 30, 2024 and expects to remain in compliance for the next twelve months.</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and our subsidiaries and affiliates may from time to time, in our sole discretion, purchase, repay, redeem or retire any of our outstanding debt securities (including any publicly-issued debt securities) in privately negotiated or open market transactions, by tender offer or otherwise, or extend or refinance any of our outstanding indebtedness.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Viatris Inc. is the issuer of the Registered Upjohn Notes, which are fully and unconditionally guaranteed on a senior unsecured basis by Mylan Inc., Mylan II B.V. and Utah Acquisition Sub Inc.</w:t>
      </w:r>
    </w:p>
    <w:p>
      <w:pPr>
        <w:spacing w:after="0" w:line="10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Following the Combination, Utah Acquisition Sub Inc. is the issuer of the Utah U.S. Dollar Notes, which are fully and unconditionally guaranteed on a senior unsecured basis by Mylan Inc., Viatris Inc. and Mylan II B.V.</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Mylan Inc. is the issuer of the Mylan Inc. U.S. Dollar Notes, which are fully and unconditionally guaranteed on a senior unsecured basis by Mylan II B.V., Viatris Inc. and Utah Acquisition Sub Inc.</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outstanding notes of such series in accordance with the indenture governing the Registered Upjohn Notes.</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210"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The following table presents unaudited summarized financial information of Viatris Inc., Mylan Inc., Utah Acquisition Sub Inc., and Mylan II B.V. on a combined basis as of and for the six months ended June 30, 2024 and as of and for the year ended December 31, 2023. All intercompany balances have been eliminated in consolidation. This unaudited combined summarized financial information is presented utilizing the equity method of accounting.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6"/>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Combined Summarized Balance Sheet Information of</w:t>
            </w:r>
          </w:p>
        </w:tc>
        <w:tc>
          <w:tcPr>
            <w:tcW w:w="0" w:type="dxa"/>
            <w:vAlign w:val="bottom"/>
          </w:tcPr>
          <w:p>
            <w:pPr>
              <w:spacing w:after="0"/>
              <w:rPr>
                <w:sz w:val="1"/>
                <w:szCs w:val="1"/>
                <w:color w:val="auto"/>
              </w:rPr>
            </w:pPr>
          </w:p>
        </w:tc>
      </w:tr>
      <w:tr>
        <w:trPr>
          <w:trHeight w:val="176"/>
        </w:trPr>
        <w:tc>
          <w:tcPr>
            <w:tcW w:w="7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Viatris Inc., Mylan Inc., Utah Acquisition Sub Inc. and</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Mylan II B.V.</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63,212.6</w:t>
            </w:r>
          </w:p>
        </w:tc>
        <w:tc>
          <w:tcPr>
            <w:tcW w:w="0" w:type="dxa"/>
            <w:vAlign w:val="bottom"/>
          </w:tcPr>
          <w:p>
            <w:pPr>
              <w:spacing w:after="0"/>
              <w:rPr>
                <w:sz w:val="1"/>
                <w:szCs w:val="1"/>
                <w:color w:val="auto"/>
              </w:rPr>
            </w:pPr>
          </w:p>
        </w:tc>
      </w:tr>
      <w:tr>
        <w:trPr>
          <w:trHeight w:val="270"/>
        </w:trPr>
        <w:tc>
          <w:tcPr>
            <w:tcW w:w="7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29,824.8</w:t>
            </w:r>
          </w:p>
        </w:tc>
        <w:tc>
          <w:tcPr>
            <w:tcW w:w="0" w:type="dxa"/>
            <w:vAlign w:val="bottom"/>
          </w:tcPr>
          <w:p>
            <w:pPr>
              <w:spacing w:after="0"/>
              <w:rPr>
                <w:sz w:val="1"/>
                <w:szCs w:val="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13,933.6</w:t>
            </w:r>
          </w:p>
        </w:tc>
        <w:tc>
          <w:tcPr>
            <w:tcW w:w="0" w:type="dxa"/>
            <w:vAlign w:val="bottom"/>
          </w:tcPr>
          <w:p>
            <w:pPr>
              <w:spacing w:after="0"/>
              <w:rPr>
                <w:sz w:val="1"/>
                <w:szCs w:val="1"/>
                <w:color w:val="auto"/>
              </w:rPr>
            </w:pPr>
          </w:p>
        </w:tc>
      </w:tr>
      <w:tr>
        <w:trPr>
          <w:trHeight w:val="281"/>
        </w:trPr>
        <w:tc>
          <w:tcPr>
            <w:tcW w:w="7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Summarized Income Statement Information</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6"/>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of Viatris Inc., Mylan Inc., Utah Acquisition Sub Inc.</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and Mylan II B.V.</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1860" w:type="dxa"/>
            <w:vAlign w:val="bottom"/>
            <w:tcBorders>
              <w:bottom w:val="single" w:sz="8" w:color="auto"/>
            </w:tcBorders>
            <w:gridSpan w:val="6"/>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60" w:type="dxa"/>
            <w:vAlign w:val="bottom"/>
            <w:gridSpan w:val="6"/>
          </w:tcPr>
          <w:p>
            <w:pPr>
              <w:jc w:val="right"/>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7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$382.0 million accrued for legal contingencies at June 30, 2024.</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Announced Divestitures, Viatris and the respective buyers have entered into transition services and manufacturing and supply agreements pursuant to which the Company is providing services to the respective purchasers, substantially the same as we previously provided to the related businesses, generally for a period of up to 12 months, subject to potential extensions in certain circumstances. In addition, in connection with the OTC Transaction and the divestiture of our women’s healthcare business, we have entered into distribution agreements for certain markets for a limited period of time. In connection with the closing of the API business divestiture, we have entered into a manufacturing and supply agreement pursuant to which we will purchase a significant amount of API from the purchaser in that transaction.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Application of Critical Accounting Policies</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annually on April 1st or more frequently if events or changes in circumstances indicate that the carrying value of goodwill may not be recoverable. The Company performed the annual goodwill impairment test as of April 1, 2024.</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performed its annual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When compared to the prior year’s annual goodwill impairment test completed on April 1, 2023, due to certain macroeconomic conditions, the Company has experienced fluctuations in foreign exchange rates in certain international markets, combined with an increase in market interest rates. These conditions impacted all reporting units, with the most significant impact in JANZ and Emerging Markets. The impact in the other reporting units was offset by changes in other discount rate assumptions.</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April 1, 2024, the allocation of the Company’s total goodwill was as follows: North America $3.12 billion, Europe $3.86 billion, Emerging Markets $1.17 billion, JANZ $0.62 billion and Greater China $0.93 billion.</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conjunction with its annual goodwill impairment test, the Company recorded a goodwill impairment charge of $321.0 million during the second quarter of 2024 related to its JANZ reporting unit, which was recorded within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in the condensed consolidated statement of operations. The impairment charge was primarily the result of a 1.0% increase in the discount rate and a 0.5% reduction in the terminal growth rate assumption for the reporting unit.</w:t>
      </w:r>
    </w:p>
    <w:p>
      <w:pPr>
        <w:spacing w:after="0" w:line="18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For the JANZ reporting unit at April 1, 2024, the Company forecasted cash flows for the next 10 years. During the forecast period, the revenue compound annual growth rate was approximately negative 0.3%. A terminal year value was calculated with a 1.0% revenue growth rate applied. The discount rate utilized was 8.0% and the estimated tax rate was 30.3%.</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Following the goodwill impairment charge recorded in the JANZ reporting unit, the carrying value of the reporting unit was equal to its estimated fair value as of April 1, 2024. If market conditions or the projected results were to change materially, it may be necessary to record further impairment charges to the JANZ reporting unit in future periods.</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April 1, 2024, the Company determined that the fair values of the North America, Greater China, and Emerging Markets reporting units were substantially in excess of the respective unit’s carrying value.</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the Europe reporting unit, the estimated fair value exceeded its carrying value by approximately $882 million or 7.9% for the annual goodwill impairment test. As it relates to the discounted cash flow approach for the Europe reporting unit at April 1, 2024, the Company forecasted cash flows for the next 10 years. During the forecast period, the revenue compound annual growth rate was approximately 2.5%. A terminal year value was calculated with a 2.0% revenue growth rate applied. The discount rate utilized was 10.0% and the estimated tax rate was 15.7%. If all other assumptions are held constant, a reduction in the terminal value growth rate by 1.5% or an increase in discount rate by 1.0% would result in an impairment charge for the Europe reporting unit.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200" w:lineRule="exact"/>
        <w:rPr>
          <w:sz w:val="20"/>
          <w:szCs w:val="20"/>
          <w:color w:val="auto"/>
        </w:rPr>
      </w:pP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the Company’s market risk, see “Item 7A. Quantitative and Qualitative Disclosures about Market Risk” in Viatris’ 2023 Form 10-K.</w:t>
      </w:r>
    </w:p>
    <w:p>
      <w:pPr>
        <w:spacing w:after="0" w:line="200" w:lineRule="exact"/>
        <w:rPr>
          <w:sz w:val="20"/>
          <w:szCs w:val="20"/>
          <w:color w:val="auto"/>
        </w:rPr>
      </w:pP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June 30, 2024. Based upon that evaluation, the Principal Executive Officer and the Principal Financial Officer concluded that the Company’s disclosure controls and procedures were effective.</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Management has not identified any changes in the Company’s internal control over financial reporting (“ICFR”) that occurred during the second quarter of 2024 that have materially affected, or are reasonably likely to materially affect, the Company’s ICFR.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4" w:right="5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information regarding legal proceedings, refer to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in the accompanying Notes to interim financial statements in this Form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00" w:lineRule="exact"/>
        <w:rPr>
          <w:sz w:val="20"/>
          <w:szCs w:val="20"/>
          <w:color w:val="auto"/>
        </w:rPr>
      </w:pPr>
    </w:p>
    <w:p>
      <w:pPr>
        <w:spacing w:after="0" w:line="24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in the Company’s risk factors from those disclosed in Viatris’ 2023 Form 10-K.</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7" w:lineRule="exact"/>
        <w:rPr>
          <w:sz w:val="20"/>
          <w:szCs w:val="20"/>
          <w:color w:val="auto"/>
        </w:rPr>
      </w:pPr>
    </w:p>
    <w:p>
      <w:pPr>
        <w:jc w:val="both"/>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There were no repurchases of the Company’s common stock during the three months ended June 30, 2024. Refer to Part I, Item 2.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Recent Developments </w:t>
      </w:r>
      <w:r>
        <w:rPr>
          <w:rFonts w:ascii="Times New Roman" w:cs="Times New Roman" w:eastAsia="Times New Roman" w:hAnsi="Times New Roman"/>
          <w:sz w:val="18"/>
          <w:szCs w:val="18"/>
          <w:color w:val="auto"/>
        </w:rPr>
        <w:t>of this Form 10-Q for additional information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authorized share repurchase program.</w:t>
      </w:r>
    </w:p>
    <w:p>
      <w:pPr>
        <w:spacing w:after="0" w:line="19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of the Company adopted or terminated a “Rule 10b5-1 trading arrangement” or “non-Rule 10b5-1 trading arrangement,” as each term is defined in Item 408 of Regulation S-K.</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43" w:lineRule="exact"/>
        <w:rPr>
          <w:sz w:val="20"/>
          <w:szCs w:val="20"/>
          <w:color w:val="auto"/>
        </w:rPr>
      </w:pPr>
    </w:p>
    <w:p>
      <w:pPr>
        <w:ind w:left="1120" w:right="380" w:hanging="1094"/>
        <w:spacing w:after="0" w:line="237" w:lineRule="auto"/>
        <w:tabs>
          <w:tab w:leader="none" w:pos="112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List of subsidiary guarantors and issuers of guaranteed securities, filed by Viatris Inc. as Exhibit 22 to the Form 10-K for the fiscal year ended December 31, 2023, and incorporated herein by reference.</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2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Section 302 of the Sarbanes-Oxley Act of 2002.</w:t>
            </w:r>
          </w:p>
        </w:tc>
      </w:tr>
      <w:tr>
        <w:trPr>
          <w:trHeight w:val="425"/>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8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bl>
    <w:p>
      <w:pPr>
        <w:spacing w:after="0" w:line="238" w:lineRule="exact"/>
        <w:rPr>
          <w:sz w:val="20"/>
          <w:szCs w:val="20"/>
          <w:color w:val="auto"/>
        </w:rPr>
      </w:pPr>
    </w:p>
    <w:p>
      <w:pPr>
        <w:ind w:left="1120" w:hanging="1094"/>
        <w:spacing w:after="0"/>
        <w:tabs>
          <w:tab w:leader="none" w:pos="1120" w:val="left"/>
        </w:tabs>
        <w:numPr>
          <w:ilvl w:val="0"/>
          <w:numId w:val="4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Principal Executive Officer and Principal Financial Officer pursuant to Section 906 of the Sarbanes-Oxley Act of 2002.</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Definition Linkbase</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bl>
    <w:p>
      <w:pPr>
        <w:spacing w:after="0" w:line="265" w:lineRule="exact"/>
        <w:rPr>
          <w:sz w:val="20"/>
          <w:szCs w:val="20"/>
          <w:color w:val="auto"/>
        </w:rPr>
      </w:pPr>
    </w:p>
    <w:p>
      <w:pPr>
        <w:ind w:left="1120" w:right="20" w:hanging="1094"/>
        <w:spacing w:after="0" w:line="237" w:lineRule="auto"/>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(included in Exhibit 101).</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Viatris Inc.</w:t>
      </w:r>
    </w:p>
    <w:p>
      <w:pPr>
        <w:spacing w:after="0" w:line="29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658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Scott A. Smith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2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658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720"/>
          </w:cols>
          <w:pgMar w:left="320" w:top="114" w:right="8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Smith, certify that:</w:t>
      </w:r>
    </w:p>
    <w:p>
      <w:pPr>
        <w:spacing w:after="0" w:line="131" w:lineRule="exact"/>
        <w:rPr>
          <w:sz w:val="20"/>
          <w:szCs w:val="20"/>
          <w:color w:val="auto"/>
        </w:rPr>
      </w:pPr>
    </w:p>
    <w:p>
      <w:pPr>
        <w:ind w:left="640" w:hanging="187"/>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Viatris Inc.;</w:t>
      </w:r>
    </w:p>
    <w:p>
      <w:pPr>
        <w:spacing w:after="0" w:line="130" w:lineRule="exact"/>
        <w:rPr>
          <w:rFonts w:ascii="Times New Roman" w:cs="Times New Roman" w:eastAsia="Times New Roman" w:hAnsi="Times New Roman"/>
          <w:sz w:val="18"/>
          <w:szCs w:val="18"/>
          <w:color w:val="auto"/>
        </w:rPr>
      </w:pPr>
    </w:p>
    <w:p>
      <w:pPr>
        <w:ind w:right="140" w:firstLine="453"/>
        <w:spacing w:after="0" w:line="329" w:lineRule="auto"/>
        <w:tabs>
          <w:tab w:leader="none" w:pos="6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100" w:firstLine="453"/>
        <w:spacing w:after="0" w:line="313" w:lineRule="auto"/>
        <w:tabs>
          <w:tab w:leader="none" w:pos="6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40" w:hanging="187"/>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500" w:right="440" w:firstLine="480"/>
        <w:spacing w:after="0" w:line="305" w:lineRule="auto"/>
        <w:tabs>
          <w:tab w:leader="none" w:pos="12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jc w:val="both"/>
        <w:ind w:left="500" w:right="200" w:firstLine="480"/>
        <w:spacing w:after="0" w:line="305" w:lineRule="auto"/>
        <w:tabs>
          <w:tab w:leader="none" w:pos="124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Times New Roman" w:cs="Times New Roman" w:eastAsia="Times New Roman" w:hAnsi="Times New Roman"/>
          <w:sz w:val="18"/>
          <w:szCs w:val="18"/>
          <w:color w:val="auto"/>
        </w:rPr>
      </w:pPr>
    </w:p>
    <w:p>
      <w:pPr>
        <w:ind w:left="500" w:right="320" w:firstLine="480"/>
        <w:spacing w:after="0" w:line="329" w:lineRule="auto"/>
        <w:tabs>
          <w:tab w:leader="none" w:pos="12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80" w:firstLine="480"/>
        <w:spacing w:after="0" w:line="305" w:lineRule="auto"/>
        <w:tabs>
          <w:tab w:leader="none" w:pos="124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right="100" w:firstLine="453"/>
        <w:spacing w:after="0" w:line="329" w:lineRule="auto"/>
        <w:tabs>
          <w:tab w:leader="none" w:pos="62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500" w:right="540" w:firstLine="480"/>
        <w:spacing w:after="0" w:line="313" w:lineRule="auto"/>
        <w:tabs>
          <w:tab w:leader="none" w:pos="122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00" w:right="220" w:firstLine="480"/>
        <w:spacing w:after="0" w:line="313" w:lineRule="auto"/>
        <w:tabs>
          <w:tab w:leader="none" w:pos="12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34290</wp:posOffset>
            </wp:positionV>
            <wp:extent cx="25031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Scott A. Smith</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ectPr>
          <w:pgSz w:w="11900" w:h="16838" w:orient="portrait"/>
          <w:cols w:equalWidth="0" w:num="1">
            <w:col w:w="11240"/>
          </w:cols>
          <w:pgMar w:left="320" w:top="90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Theodora Mistras, certify that:</w:t>
      </w:r>
    </w:p>
    <w:p>
      <w:pPr>
        <w:spacing w:after="0" w:line="131" w:lineRule="exact"/>
        <w:rPr>
          <w:sz w:val="20"/>
          <w:szCs w:val="20"/>
          <w:color w:val="auto"/>
        </w:rPr>
      </w:pPr>
    </w:p>
    <w:p>
      <w:pPr>
        <w:ind w:left="640" w:hanging="187"/>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Viatris Inc.;</w:t>
      </w:r>
    </w:p>
    <w:p>
      <w:pPr>
        <w:spacing w:after="0" w:line="130" w:lineRule="exact"/>
        <w:rPr>
          <w:rFonts w:ascii="Times New Roman" w:cs="Times New Roman" w:eastAsia="Times New Roman" w:hAnsi="Times New Roman"/>
          <w:sz w:val="18"/>
          <w:szCs w:val="18"/>
          <w:color w:val="auto"/>
        </w:rPr>
      </w:pPr>
    </w:p>
    <w:p>
      <w:pPr>
        <w:ind w:right="140" w:firstLine="453"/>
        <w:spacing w:after="0" w:line="329" w:lineRule="auto"/>
        <w:tabs>
          <w:tab w:leader="none" w:pos="6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100" w:firstLine="453"/>
        <w:spacing w:after="0" w:line="313" w:lineRule="auto"/>
        <w:tabs>
          <w:tab w:leader="none" w:pos="6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40" w:hanging="187"/>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500" w:right="440" w:firstLine="480"/>
        <w:spacing w:after="0" w:line="305" w:lineRule="auto"/>
        <w:tabs>
          <w:tab w:leader="none" w:pos="12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jc w:val="both"/>
        <w:ind w:left="500" w:right="200" w:firstLine="480"/>
        <w:spacing w:after="0" w:line="305" w:lineRule="auto"/>
        <w:tabs>
          <w:tab w:leader="none" w:pos="124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Times New Roman" w:cs="Times New Roman" w:eastAsia="Times New Roman" w:hAnsi="Times New Roman"/>
          <w:sz w:val="18"/>
          <w:szCs w:val="18"/>
          <w:color w:val="auto"/>
        </w:rPr>
      </w:pPr>
    </w:p>
    <w:p>
      <w:pPr>
        <w:ind w:left="500" w:right="320" w:firstLine="480"/>
        <w:spacing w:after="0" w:line="329" w:lineRule="auto"/>
        <w:tabs>
          <w:tab w:leader="none" w:pos="12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80" w:firstLine="480"/>
        <w:spacing w:after="0" w:line="305" w:lineRule="auto"/>
        <w:tabs>
          <w:tab w:leader="none" w:pos="124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right="100" w:firstLine="453"/>
        <w:spacing w:after="0" w:line="329" w:lineRule="auto"/>
        <w:tabs>
          <w:tab w:leader="none" w:pos="6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500" w:right="540" w:firstLine="480"/>
        <w:spacing w:after="0" w:line="313" w:lineRule="auto"/>
        <w:tabs>
          <w:tab w:leader="none" w:pos="122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00" w:right="220" w:firstLine="480"/>
        <w:spacing w:after="0" w:line="313" w:lineRule="auto"/>
        <w:tabs>
          <w:tab w:leader="none" w:pos="12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ectPr>
          <w:pgSz w:w="11900" w:h="16838" w:orient="portrait"/>
          <w:cols w:equalWidth="0" w:num="1">
            <w:col w:w="11240"/>
          </w:cols>
          <w:pgMar w:left="320" w:top="90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6" w:lineRule="exact"/>
        <w:rPr>
          <w:sz w:val="20"/>
          <w:szCs w:val="20"/>
          <w:color w:val="auto"/>
        </w:rPr>
      </w:pPr>
    </w:p>
    <w:p>
      <w:pPr>
        <w:ind w:right="140" w:firstLine="445"/>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on Form 10-Q of Viatris Inc. (the “Company”) for the period ended June 30, 2024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48" w:lineRule="exact"/>
        <w:rPr>
          <w:sz w:val="20"/>
          <w:szCs w:val="20"/>
          <w:color w:val="auto"/>
        </w:rPr>
      </w:pPr>
    </w:p>
    <w:p>
      <w:pPr>
        <w:ind w:left="1080" w:hanging="181"/>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1080" w:hanging="181"/>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9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Scott A. Smith</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198" w:lineRule="exact"/>
        <w:rPr>
          <w:sz w:val="20"/>
          <w:szCs w:val="20"/>
          <w:color w:val="auto"/>
        </w:rPr>
      </w:pPr>
    </w:p>
    <w:p>
      <w:pPr>
        <w:ind w:right="420" w:firstLine="445"/>
        <w:spacing w:after="0" w:line="32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94" w:lineRule="exact"/>
        <w:rPr>
          <w:sz w:val="20"/>
          <w:szCs w:val="20"/>
          <w:color w:val="auto"/>
        </w:rPr>
      </w:pPr>
    </w:p>
    <w:p>
      <w:pPr>
        <w:ind w:right="520" w:firstLine="445"/>
        <w:spacing w:after="0" w:line="329" w:lineRule="auto"/>
        <w:rPr>
          <w:sz w:val="20"/>
          <w:szCs w:val="20"/>
          <w:color w:val="auto"/>
        </w:rPr>
      </w:pPr>
      <w:r>
        <w:rPr>
          <w:rFonts w:ascii="Times New Roman" w:cs="Times New Roman" w:eastAsia="Times New Roman" w:hAnsi="Times New Roman"/>
          <w:sz w:val="18"/>
          <w:szCs w:val="18"/>
          <w:color w:val="auto"/>
        </w:rPr>
        <w:t>The foregoing certification is being furnished in accordance with Securities and Exchange Commission Release No. 34-47551 and shall not be considered filed as part of the Form 10-Q.</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3"/>
    </w:lvl>
  </w:abstractNum>
  <w:abstractNum w:abstractNumId="7">
    <w:nsid w:val="54E49EB4"/>
    <w:multiLevelType w:val="hybridMultilevel"/>
    <w:lvl w:ilvl="0">
      <w:lvlJc w:val="left"/>
      <w:lvlText w:val="%1."/>
      <w:numFmt w:val="decimal"/>
      <w:start w:val="3"/>
    </w:lvl>
  </w:abstractNum>
  <w:abstractNum w:abstractNumId="8">
    <w:nsid w:val="71F32454"/>
    <w:multiLevelType w:val="hybridMultilevel"/>
    <w:lvl w:ilvl="0">
      <w:lvlJc w:val="left"/>
      <w:lvlText w:val="%1."/>
      <w:numFmt w:val="decimal"/>
      <w:start w:val="4"/>
    </w:lvl>
  </w:abstractNum>
  <w:abstractNum w:abstractNumId="9">
    <w:nsid w:val="2CA88611"/>
    <w:multiLevelType w:val="hybridMultilevel"/>
    <w:lvl w:ilvl="0">
      <w:lvlJc w:val="left"/>
      <w:lvlText w:val="%1."/>
      <w:numFmt w:val="decimal"/>
      <w:start w:val="5"/>
    </w:lvl>
  </w:abstractNum>
  <w:abstractNum w:abstractNumId="10">
    <w:nsid w:val="836C40E"/>
    <w:multiLevelType w:val="hybridMultilevel"/>
    <w:lvl w:ilvl="0">
      <w:lvlJc w:val="left"/>
      <w:lvlText w:val="%1."/>
      <w:numFmt w:val="decimal"/>
      <w:start w:val="6"/>
    </w:lvl>
  </w:abstractNum>
  <w:abstractNum w:abstractNumId="11">
    <w:nsid w:val="2901D82"/>
    <w:multiLevelType w:val="hybridMultilevel"/>
    <w:lvl w:ilvl="0">
      <w:lvlJc w:val="left"/>
      <w:lvlText w:val="%1."/>
      <w:numFmt w:val="decimal"/>
      <w:start w:val="7"/>
    </w:lvl>
  </w:abstractNum>
  <w:abstractNum w:abstractNumId="12">
    <w:nsid w:val="3A95F874"/>
    <w:multiLevelType w:val="hybridMultilevel"/>
    <w:lvl w:ilvl="0">
      <w:lvlJc w:val="left"/>
      <w:lvlText w:val="%1"/>
      <w:numFmt w:val="decimal"/>
      <w:start w:val="1"/>
    </w:lvl>
    <w:lvl w:ilvl="1">
      <w:lvlJc w:val="left"/>
      <w:lvlText w:val="(%2)"/>
      <w:numFmt w:val="decimal"/>
      <w:start w:val="1"/>
    </w:lvl>
  </w:abstractNum>
  <w:abstractNum w:abstractNumId="13">
    <w:nsid w:val="8138641"/>
    <w:multiLevelType w:val="hybridMultilevel"/>
    <w:lvl w:ilvl="0">
      <w:lvlJc w:val="left"/>
      <w:lvlText w:val="%1."/>
      <w:numFmt w:val="decimal"/>
      <w:start w:val="9"/>
    </w:lvl>
    <w:lvl w:ilvl="1">
      <w:lvlJc w:val="left"/>
      <w:lvlText w:val="%2"/>
      <w:numFmt w:val="decimal"/>
      <w:start w:val="1"/>
    </w:lvl>
  </w:abstractNum>
  <w:abstractNum w:abstractNumId="14">
    <w:nsid w:val="1E7FF521"/>
    <w:multiLevelType w:val="hybridMultilevel"/>
    <w:lvl w:ilvl="0">
      <w:lvlJc w:val="left"/>
      <w:lvlText w:val="%1."/>
      <w:numFmt w:val="decimal"/>
      <w:start w:val="10"/>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22"/>
    </w:lvl>
  </w:abstractNum>
  <w:abstractNum w:abstractNumId="41">
    <w:nsid w:val="725A06FB"/>
    <w:multiLevelType w:val="hybridMultilevel"/>
    <w:lvl w:ilvl="0">
      <w:lvlJc w:val="left"/>
      <w:lvlText w:val="%1"/>
      <w:numFmt w:val="decimal"/>
      <w:start w:val="32"/>
    </w:lvl>
  </w:abstractNum>
  <w:abstractNum w:abstractNumId="42">
    <w:nsid w:val="2CD89A32"/>
    <w:multiLevelType w:val="hybridMultilevel"/>
    <w:lvl w:ilvl="0">
      <w:lvlJc w:val="left"/>
      <w:lvlText w:val="%1"/>
      <w:numFmt w:val="decimal"/>
      <w:start w:val="104"/>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2024-08-08T15:28:06Z</dcterms:created>
  <dcterms:modified xsi:type="dcterms:W3CDTF">2024-08-08T15:28:06Z</dcterms:modified>
</cp:coreProperties>
</file>