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1000 Mylan Boulevard, Canonsburg, Pennsylvania, 15317</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right="196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00" w:space="500"/>
            <w:col w:w="9720"/>
          </w:cols>
          <w:pgMar w:left="440" w:top="293" w:right="5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Director Appointment</w:t>
      </w:r>
    </w:p>
    <w:p>
      <w:pPr>
        <w:spacing w:after="0" w:line="119"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On June 3, 2024, the Board of Directors (the “Board”) of Viatris Inc. (the “Company”) increased the number of directors on the Board from 11 to 12 and appointed Rogério Vivaldi Coelho, M.D., M.B.A. as an independent (as defined in the applicable NASDAQ listing rules) member of the Board with a term of office expiring at the Company’s 2024 annual meeting of shareholders and appointed him to the recently reestablished Science and Technology Committee of the Board, each appointment effective June 3, 2024. Dr. Vivaldi will receive compensation for his role as an independent member of the Board consistent with the compensation of the Company’s other non-employee directors as disclosed in the Amendment to Company’s Annual Report on Form 10-K for the fiscal year ended December 31, 2023. The Company has entered into an indemnification agreement with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Vivaldi, the form of which appears as Exhibit 10.25 to the Company’s Annual Report on Form 10-K for the fiscal year ended December 31, 2020.</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Dr. Vivaldi and any other persons pursuant to which he was selected as a director and Dr. Vivaldi has no direct or indirect material interest in any transaction requiring disclosure under Item 404(a) of Regulation S-K.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On June 3, 2024, the Company issued a press release announcing the appointment of Dr. Vivaldi. A copy of the press release is attached hereto as Exhibit 99.1 and is incorporated herein by reference.</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0920"/>
          </w:cols>
          <w:pgMar w:left="440" w:top="293" w:right="539" w:bottom="1440" w:gutter="0" w:footer="0" w:header="0"/>
          <w:type w:val="continuous"/>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Director Appointment Press Release, dated June 3, 2024.</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 the cover page XBRL tags are embedded within the Inline XBRL document.</w:t>
      </w:r>
    </w:p>
    <w:p>
      <w:pPr>
        <w:sectPr>
          <w:pgSz w:w="11900" w:h="16838" w:orient="portrait"/>
          <w:cols w:equalWidth="0" w:num="1">
            <w:col w:w="10023"/>
          </w:cols>
          <w:pgMar w:left="436" w:top="29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7447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Appoints Rogerio Vivaldi Coelho, M.D., to Board of Directors</w:t>
      </w:r>
    </w:p>
    <w:p>
      <w:pPr>
        <w:spacing w:after="0" w:line="22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Pittsburgh – June 3, 2024 </w:t>
      </w:r>
      <w:r>
        <w:rPr>
          <w:rFonts w:ascii="Times New Roman" w:cs="Times New Roman" w:eastAsia="Times New Roman" w:hAnsi="Times New Roman"/>
          <w:sz w:val="18"/>
          <w:szCs w:val="18"/>
          <w:color w:val="auto"/>
        </w:rPr>
        <w:t>– Viatris Inc. (NASDAQ: VTRS), a global healthcare company, today announced that as part of its ongoing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refreshment efforts, Rogerio Vivaldi Coelho, M.D., has been appointed as the newest member of its Board of Directors. Dr. Vivaldi will serve as a member of the recently reestablished Science and Technology Committee of the Board of Directors.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pleased to welcome Dr. Vivaldi to our Board of Directors,” said Melina Higgins, Chair of the Board, Viatris. “We believe his proven expertise and long track record of success will enhance the efforts of the Board across a range of areas, in particular with regards to our Science and Technology Committee. We expect his insights to be greatly beneficial to the Company’s growth strategy as we further invest in our pipeline by adding highly innovative products with meaningful patient impact.”</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Dr. Vivaldi is the former President and Chief Executive Officer of Sigilon Therapeutics, Inc., a diabetes cell therapy company, where he also served as a member of the company’s board of directors from 2018 until its acquisition by Eli Lilly and Company in 2023. Prior to joining Sigilon, Dr. Vivaldi served as Executive Vice President and Chief Global Therapeutics Officer at Bioverativ Inc., Chief Commercial Officer at Spark Therapeutics, and as Chief Executive Officer of Minerva Neurosciences, Inc. Earlier in his career, Dr. Vivaldi led Genzyme Corporation’s rare disease business as President of both the rare disease business and the renal &amp; endocrine group and served as Senior Vice President and General Manager of Genzyme’s Latin America Group. During his tenure at Genzyme, he led the successful approval of more than 15 orphan products in more than 20 countries.</w:t>
      </w:r>
    </w:p>
    <w:p>
      <w:pPr>
        <w:spacing w:after="0" w:line="18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Dr. Vivaldi received a medical degree from the Universidade do Rio de Janeiro after which he completed a residency in endocrinology at the Universidade do Estado do Rio de Janeiro and a fellowship at Mount Sinai Hospital Center in New York in the department of genetics, focusing on Gaucher disease. In addition, Dr. Vivaldi holds an M.B.A. from COPPEAD, Universidade Federal do Rio de Janeiro.</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thrilled to have Dr. Vivaldi as a member of our Board,” said Scott A. Smith, Chief Executive Officer, Viatris. “He is an industry leader with an excellent track record of leading the successful approval and launch of numerous innovative medicines for rare and orphan diseases and positioning global franchises for growth. I look forward to his contributions as we continue to lead the company into what we believe is an exciting future ahead.”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Dr. Vivaldi commented, “I am excited to join Viatris, a company with the scale and scope to reach more than 1 billion patients each year and a clear strategy to increase the level of innovation across its pipeline as it seeks to further expand the patient impact and value the Company can deliver. Viatris’ bold vision of providing access to high-quality medicines to patients globally, regardless of geography, deeply resonates with me as my entire career has been focused on pursuing this same goal. It is an honor to join the Viatris Board and I look forward to working alongside my fellow Directors and with the Executive Leadership Team as the company continues to build upon its very strong foundation.”</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Viatris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 (formerly Twitter).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These statements are made pursuant to the safe harbor provisions of the Private Securities Litigation Reform Act of 1995. Such forward looking statements may include statements regarding the company’s growth strategy as we further invest in our pipeline by adding highly innovative products with meaningful patient impact, and leading the company into what we believe is an exciting future ahead. Because forward-looking statements inherently involve risks and uncertainties, actual future results may differ materially from those expressed or implied by such forward-looking statements. Factors that could cause or contribute to such differences include, but are not limited to: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scope, timing and outcome of any ongoing legal proceedings, and the impact of any such proceedings; the possibility that Viatris may be unable to realize the intended benefits of, or achieve the intended goals or outlooks with respect to, its strategic initiatives; the possibility that Viatris may be unable to achieve intended or expected benefits, goals, outlooks, synergies, growth opportunities and operating efficiencies in connection with divestitures, acquisitions, other transactions or restructuring programs, within the expected timeframes or at all; goodwill or impairment charges or other losses related to the divestiture or sale of businesses or assets; Viatris’ failure to achieve expected or targeted future financial and operating performance and results; the potential impact of public health outbreaks, epidemics and pandemics;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w:t>
      </w:r>
    </w:p>
    <w:p>
      <w:pPr>
        <w:sectPr>
          <w:pgSz w:w="11900" w:h="16838" w:orient="portrait"/>
          <w:cols w:equalWidth="0" w:num="1">
            <w:col w:w="11020"/>
          </w:cols>
          <w:pgMar w:left="440" w:top="266" w:right="43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of management, including general economic conditions, inflation and exchange rates; failure to execute stock repurchases consistent with current expectations; stock price volatility;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press release other than as required by law.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1"/>
        </w:trPr>
        <w:tc>
          <w:tcPr>
            <w:tcW w:w="3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420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+1.724.514.1968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+1.412.707.2866</w:t>
            </w:r>
          </w:p>
        </w:tc>
        <w:tc>
          <w:tcPr>
            <w:tcW w:w="180" w:type="dxa"/>
            <w:vAlign w:val="bottom"/>
          </w:tcPr>
          <w:p>
            <w:pPr>
              <w:spacing w:after="0"/>
              <w:rPr>
                <w:sz w:val="18"/>
                <w:szCs w:val="18"/>
                <w:color w:val="auto"/>
              </w:rPr>
            </w:pPr>
          </w:p>
        </w:tc>
      </w:tr>
      <w:tr>
        <w:trPr>
          <w:trHeight w:val="194"/>
        </w:trPr>
        <w:tc>
          <w:tcPr>
            <w:tcW w:w="22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Communications@viatris.com</w:t>
            </w:r>
          </w:p>
        </w:tc>
        <w:tc>
          <w:tcPr>
            <w:tcW w:w="1760" w:type="dxa"/>
            <w:vAlign w:val="bottom"/>
          </w:tcPr>
          <w:p>
            <w:pPr>
              <w:spacing w:after="0"/>
              <w:rPr>
                <w:sz w:val="16"/>
                <w:szCs w:val="16"/>
                <w:color w:val="auto"/>
              </w:rPr>
            </w:pPr>
          </w:p>
        </w:tc>
        <w:tc>
          <w:tcPr>
            <w:tcW w:w="4200" w:type="dxa"/>
            <w:vAlign w:val="bottom"/>
            <w:gridSpan w:val="3"/>
          </w:tcPr>
          <w:p>
            <w:pPr>
              <w:ind w:left="1780"/>
              <w:spacing w:after="0" w:line="194" w:lineRule="exact"/>
              <w:rPr>
                <w:sz w:val="20"/>
                <w:szCs w:val="20"/>
                <w:color w:val="auto"/>
              </w:rPr>
            </w:pPr>
            <w:r>
              <w:rPr>
                <w:rFonts w:ascii="Times New Roman" w:cs="Times New Roman" w:eastAsia="Times New Roman" w:hAnsi="Times New Roman"/>
                <w:sz w:val="18"/>
                <w:szCs w:val="18"/>
                <w:color w:val="auto"/>
              </w:rPr>
              <w:t>InvestorRelations@viatris.com</w:t>
            </w:r>
          </w:p>
        </w:tc>
      </w:tr>
      <w:tr>
        <w:trPr>
          <w:trHeight w:val="20"/>
        </w:trPr>
        <w:tc>
          <w:tcPr>
            <w:tcW w:w="2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Mauer</w:t>
            </w:r>
          </w:p>
        </w:tc>
        <w:tc>
          <w:tcPr>
            <w:tcW w:w="1760" w:type="dxa"/>
            <w:vAlign w:val="bottom"/>
          </w:tcPr>
          <w:p>
            <w:pPr>
              <w:spacing w:after="0"/>
              <w:rPr>
                <w:sz w:val="24"/>
                <w:szCs w:val="24"/>
                <w:color w:val="auto"/>
              </w:rPr>
            </w:pPr>
          </w:p>
        </w:tc>
        <w:tc>
          <w:tcPr>
            <w:tcW w:w="420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Bill Szablewski</w:t>
            </w:r>
          </w:p>
        </w:tc>
      </w:tr>
      <w:tr>
        <w:trPr>
          <w:trHeight w:val="194"/>
        </w:trPr>
        <w:tc>
          <w:tcPr>
            <w:tcW w:w="2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8"/>
              </w:rPr>
              <w:t>Jennifer.Mauer@viatris.com</w:t>
            </w:r>
          </w:p>
        </w:tc>
        <w:tc>
          <w:tcPr>
            <w:tcW w:w="1900" w:type="dxa"/>
            <w:vAlign w:val="bottom"/>
            <w:gridSpan w:val="2"/>
          </w:tcPr>
          <w:p>
            <w:pPr>
              <w:spacing w:after="0"/>
              <w:rPr>
                <w:sz w:val="16"/>
                <w:szCs w:val="16"/>
                <w:color w:val="auto"/>
              </w:rPr>
            </w:pPr>
          </w:p>
        </w:tc>
        <w:tc>
          <w:tcPr>
            <w:tcW w:w="4200" w:type="dxa"/>
            <w:vAlign w:val="bottom"/>
            <w:gridSpan w:val="3"/>
          </w:tcPr>
          <w:p>
            <w:pPr>
              <w:ind w:left="1780"/>
              <w:spacing w:after="0" w:line="194" w:lineRule="exact"/>
              <w:rPr>
                <w:sz w:val="20"/>
                <w:szCs w:val="20"/>
                <w:color w:val="auto"/>
              </w:rPr>
            </w:pPr>
            <w:r>
              <w:rPr>
                <w:rFonts w:ascii="Times New Roman" w:cs="Times New Roman" w:eastAsia="Times New Roman" w:hAnsi="Times New Roman"/>
                <w:sz w:val="18"/>
                <w:szCs w:val="18"/>
                <w:color w:val="auto"/>
                <w:w w:val="98"/>
              </w:rPr>
              <w:t>William.Szablewski@viatris.com</w:t>
            </w:r>
          </w:p>
        </w:tc>
      </w:tr>
      <w:tr>
        <w:trPr>
          <w:trHeight w:val="326"/>
        </w:trPr>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Matt Klein</w:t>
            </w:r>
          </w:p>
        </w:tc>
        <w:tc>
          <w:tcPr>
            <w:tcW w:w="190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194"/>
        </w:trPr>
        <w:tc>
          <w:tcPr>
            <w:tcW w:w="20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Matthew.Klein@viatris.com</w:t>
            </w:r>
          </w:p>
        </w:tc>
        <w:tc>
          <w:tcPr>
            <w:tcW w:w="1920" w:type="dxa"/>
            <w:vAlign w:val="bottom"/>
            <w:gridSpan w:val="3"/>
          </w:tcPr>
          <w:p>
            <w:pPr>
              <w:spacing w:after="0"/>
              <w:rPr>
                <w:sz w:val="16"/>
                <w:szCs w:val="16"/>
                <w:color w:val="auto"/>
              </w:rPr>
            </w:pPr>
          </w:p>
        </w:tc>
        <w:tc>
          <w:tcPr>
            <w:tcW w:w="1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2024-06-03T06:20:13Z</dcterms:created>
  <dcterms:modified xsi:type="dcterms:W3CDTF">2024-06-03T06:20:13Z</dcterms:modified>
</cp:coreProperties>
</file>