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268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right"/>
              <w:ind w:right="1790"/>
              <w:spacing w:after="0"/>
              <w:rPr>
                <w:sz w:val="20"/>
                <w:szCs w:val="20"/>
                <w:color w:val="auto"/>
              </w:rPr>
            </w:pPr>
            <w:r>
              <w:rPr>
                <w:rFonts w:ascii="Times New Roman" w:cs="Times New Roman" w:eastAsia="Times New Roman" w:hAnsi="Times New Roman"/>
                <w:sz w:val="18"/>
                <w:szCs w:val="18"/>
                <w:b w:val="1"/>
                <w:bCs w:val="1"/>
                <w:color w:val="auto"/>
              </w:rPr>
              <w:t>001-39695</w:t>
            </w:r>
          </w:p>
        </w:tc>
        <w:tc>
          <w:tcPr>
            <w:tcW w:w="28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83-4364296</w:t>
            </w:r>
          </w:p>
        </w:tc>
        <w:tc>
          <w:tcPr>
            <w:tcW w:w="0" w:type="dxa"/>
            <w:vAlign w:val="bottom"/>
          </w:tcPr>
          <w:p>
            <w:pPr>
              <w:spacing w:after="0"/>
              <w:rPr>
                <w:sz w:val="1"/>
                <w:szCs w:val="1"/>
                <w:color w:val="auto"/>
              </w:rPr>
            </w:pPr>
          </w:p>
        </w:tc>
      </w:t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8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130"/>
        </w:trPr>
        <w:tc>
          <w:tcPr>
            <w:tcW w:w="268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4880" w:type="dxa"/>
            <w:vAlign w:val="bottom"/>
            <w:vMerge w:val="continue"/>
          </w:tcPr>
          <w:p>
            <w:pPr>
              <w:spacing w:after="0"/>
              <w:rPr>
                <w:sz w:val="11"/>
                <w:szCs w:val="11"/>
                <w:color w:val="auto"/>
              </w:rPr>
            </w:pP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80" w:type="dxa"/>
            <w:vAlign w:val="bottom"/>
            <w:vMerge w:val="continue"/>
          </w:tcPr>
          <w:p>
            <w:pPr>
              <w:spacing w:after="0"/>
              <w:rPr>
                <w:sz w:val="9"/>
                <w:szCs w:val="9"/>
                <w:color w:val="auto"/>
              </w:rPr>
            </w:pPr>
          </w:p>
        </w:tc>
        <w:tc>
          <w:tcPr>
            <w:tcW w:w="48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0"/>
        </w:trPr>
        <w:tc>
          <w:tcPr>
            <w:tcW w:w="2680" w:type="dxa"/>
            <w:vAlign w:val="bottom"/>
          </w:tcPr>
          <w:p>
            <w:pPr>
              <w:spacing w:after="0"/>
              <w:rPr>
                <w:sz w:val="24"/>
                <w:szCs w:val="24"/>
                <w:color w:val="auto"/>
              </w:rPr>
            </w:pPr>
          </w:p>
        </w:tc>
        <w:tc>
          <w:tcPr>
            <w:tcW w:w="4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1000 Mylan Boulevard, Canonsburg, Pennsylvania, 15317</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680" w:type="dxa"/>
            <w:vAlign w:val="bottom"/>
          </w:tcPr>
          <w:p>
            <w:pPr>
              <w:spacing w:after="0"/>
              <w:rPr>
                <w:sz w:val="20"/>
                <w:szCs w:val="20"/>
                <w:color w:val="auto"/>
              </w:rPr>
            </w:pPr>
          </w:p>
        </w:tc>
        <w:tc>
          <w:tcPr>
            <w:tcW w:w="48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156845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300" w:firstLine="39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25" w:lineRule="exact"/>
        <w:rPr>
          <w:rFonts w:ascii="MS PGothic" w:cs="MS PGothic" w:eastAsia="MS PGothic" w:hAnsi="MS PGothic"/>
          <w:sz w:val="18"/>
          <w:szCs w:val="18"/>
          <w:color w:val="auto"/>
        </w:rPr>
      </w:pPr>
    </w:p>
    <w:p>
      <w:pPr>
        <w:ind w:right="2500" w:firstLine="332"/>
        <w:spacing w:after="0" w:line="532"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6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0" w:type="dxa"/>
            <w:vAlign w:val="bottom"/>
          </w:tcPr>
          <w:p>
            <w:pPr>
              <w:spacing w:after="0"/>
              <w:rPr>
                <w:sz w:val="20"/>
                <w:szCs w:val="20"/>
                <w:color w:val="auto"/>
              </w:rPr>
            </w:pPr>
          </w:p>
        </w:tc>
        <w:tc>
          <w:tcPr>
            <w:tcW w:w="3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VTRS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395" w:lineRule="exact"/>
        <w:rPr>
          <w:sz w:val="24"/>
          <w:szCs w:val="24"/>
          <w:color w:val="auto"/>
        </w:rPr>
      </w:pPr>
    </w:p>
    <w:p>
      <w:pPr>
        <w:ind w:right="420" w:firstLine="39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October 24, 2025, the Board of Directors (the “Board”) of Viatris Inc. (“Viatris” or the “Company”) approved the Amended and Restated Bylaws of Viatris Inc. (the “Amended and Restated Bylaws”), which became effective the same date. The Amended and Restated Bylaws amended Section 2.16(b) to specify timely notice of the Notice of Proxy Access Nomination in the event the date of the annual meeting is more than 30 days before or more than 60 days after the first anniversary of the preceding year’s annual meeting. The foregoing description of the Amended and Restated Bylaws does not purport to be complete and is subject to, and qualified in its entirety by reference to, the full text of the Amended and Restated Bylaws, which are attached as Exhibit 3.1 hereto and incorporated herein by reference.</w:t>
      </w:r>
    </w:p>
    <w:p>
      <w:pPr>
        <w:spacing w:after="0" w:line="39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5.08</w:t>
      </w:r>
      <w:r>
        <w:rPr>
          <w:sz w:val="20"/>
          <w:szCs w:val="20"/>
          <w:color w:val="auto"/>
        </w:rPr>
        <w:tab/>
      </w:r>
      <w:r>
        <w:rPr>
          <w:rFonts w:ascii="Times New Roman" w:cs="Times New Roman" w:eastAsia="Times New Roman" w:hAnsi="Times New Roman"/>
          <w:sz w:val="17"/>
          <w:szCs w:val="17"/>
          <w:b w:val="1"/>
          <w:bCs w:val="1"/>
          <w:color w:val="auto"/>
        </w:rPr>
        <w:t>Shareholder Director Nominations.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8.01 of this Current Report on Form 8-K is hereby incorporated by reference into this Item 5.08 to the extent applicable.</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After discussions with investors and in order to move to a more standard annual meeting cadence and drive further efficiency going forward, Viatris will hold its 2026 annual meeting of shareholders (the “2026 Annual Meeting”) on May 15, 2026. Further details about the 2026 Annual Meeting, including the time and location, will be set forth in the Company’s 2026 proxy statement.</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Amended and Restated Bylaws contain advance notice procedures for shareholders to make nominations of candidates for election as directors or to bring other business before the annual meeting of shareholders that is not to be included in the Company’s proxy statement. For the 2026 Annual Meeting, any shareholders notice for this purpose must be delivered to the attention of the Corporate Secretary at the principal executive offices of the Company (1000 Mylan Boulevard, Canonsburg, PA 15317) not earlier than the close of business on January 15, 2026 and not later than the close of business on February 14, 2026 and must otherwise comply with the applicable requirements in the Amended and Restated Bylaws.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proxy access bylaw, as amended,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 proxy access nomination and has otherwise complied with the requirements set forth in the Amended and Restated Bylaws wants the Company to include director nominees (up to the greater of two nominees or 20% of the Board) in the Company’s proxy statement for the 2026 Annual Meeting, the nominations must be delivered to or be mailed and received by the Secretary at the principal executive offices of the Company no earlier than December 16, 2025 and no later than January 15, 2026.</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a shareholder wishes to submit a proposal pursuant to Rule 14a-8 under the Securities Exchange Act of 1934, as amended (the “Exchange Act”), such proposal must be received by the Company at its principal executive offices to the attention of the Corporate Secretary no later than November 24, 2025 and such shareholders must otherwise comply with the requirements of Rule 14a-8 in order for the proposal to be considered for inclusion in the Company’s 2026 proxy statement and form of proxy.</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requirements under the Amended and Restated Bylaws, to comply with the universal proxy rules, shareholders who intend to solicit proxies in support of director nominees other than the Company’s nominees must also provide notice that sets forth the information required by Rule 14a-19 under the Exchange Act no later than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Item 9.01</w:t>
            </w:r>
          </w:p>
        </w:tc>
        <w:tc>
          <w:tcPr>
            <w:tcW w:w="10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00" w:type="dxa"/>
            <w:vAlign w:val="bottom"/>
          </w:tcPr>
          <w:p>
            <w:pPr>
              <w:spacing w:after="0"/>
              <w:rPr>
                <w:sz w:val="24"/>
                <w:szCs w:val="24"/>
                <w:color w:val="auto"/>
              </w:rPr>
            </w:pPr>
          </w:p>
        </w:tc>
      </w:tr>
      <w:tr>
        <w:trPr>
          <w:trHeight w:val="410"/>
        </w:trPr>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00" w:type="dxa"/>
            <w:vAlign w:val="bottom"/>
          </w:tcPr>
          <w:p>
            <w:pPr>
              <w:spacing w:after="0"/>
              <w:rPr>
                <w:sz w:val="24"/>
                <w:szCs w:val="24"/>
                <w:color w:val="auto"/>
              </w:rPr>
            </w:pPr>
          </w:p>
        </w:tc>
      </w:tr>
      <w:tr>
        <w:trPr>
          <w:trHeight w:val="238"/>
        </w:trPr>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20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Amended and Restated Bylaws of Viatris Inc., effective as of October 24, 2025.</w:t>
            </w:r>
          </w:p>
        </w:tc>
      </w:t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67"/>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24, 2025</w:t>
      </w:r>
      <w:r>
        <w:rPr>
          <w:sz w:val="20"/>
          <w:szCs w:val="20"/>
          <w:color w:val="auto"/>
        </w:rPr>
        <w:tab/>
      </w: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AMENDED AND RESTATED BYLAWS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Effective as of October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656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4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STOCKHOLDERS’ MEETINGS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Place of Meetings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Meetings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1.5</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Quorum; Adjournments; Postponement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1.6</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Proxies; Voting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1.7</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Inspectors of Election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1.8</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1.9</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Organization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1.10</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Conduct of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1.11</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1.12</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Action by Written Consent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1.13</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 of Business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1.14</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 Notice of Stockholder Proposal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 DIRECTORS</w:t>
            </w:r>
          </w:p>
        </w:tc>
        <w:tc>
          <w:tcPr>
            <w:tcW w:w="656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Duties and Powers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Election; Term</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Vacancies and Newly Created Directorships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2.4</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Removal</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2.5</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of Meetings; Records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2.6</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Organizational Meeting</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2.7</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Regular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2.8</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 Meetings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2.9</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2.10</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2.11</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2.12</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Presence at Meeting</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2.13</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Action Without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2.14</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2.15</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Interested Directors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2.16</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Proxy Access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2.17</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Procedures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2.18</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Submission of Questionnaire; Representation and Agreement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III OFFICERS</w:t>
            </w:r>
          </w:p>
        </w:tc>
        <w:tc>
          <w:tcPr>
            <w:tcW w:w="656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Election; Term of Office; Appointments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 and Resignation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Vacancies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3.4</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3.5</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and/or Chief Executive Officer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3.6</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Vice Presidents, Senior Vice Presidents and Vice Presidents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3.7</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Secretary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3.8</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Treasurer</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IV STOCK</w:t>
            </w:r>
          </w:p>
        </w:tc>
        <w:tc>
          <w:tcPr>
            <w:tcW w:w="7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Lost, Stolen or Destroyed Certificates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4.3</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Transfers of Stock</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4.4</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Holder of Record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4.5</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Transfer and Registry Agents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4.6</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INDEMNIFICATION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to Indemnification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of Expenses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Claims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5.5</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5.6</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Certain Definitions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5.7</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Survival of Indemnification and Advancement of Expenses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5.8</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Indemnification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5.9</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or Repeal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5.10</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Indemnification of Employees and Agents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 MISCELLANEOUS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Delaware Office</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Offices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Seal</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6.4</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6.5</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Amendments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6.6</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Checks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6.7</w:t>
            </w:r>
          </w:p>
        </w:tc>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Fiscal Year</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xml:space="preserve"> The Board of Directors or the Chair of the Board of Directors may designate the place of meeting for any annual or special meeting of the stockholders and the Board of Directors may also designate that the meeting be held by means of remote communication. If no designation is so made, the place of meeting shall be the principal office of the Corporation.</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xml:space="preserve"> The annual meeting of the stockholders shall be held on such date and at such time and place as the Board of Directors may designate. At such annual meeting, the stockholders shall elect directors in accordance with the requirements of the Certificate of Incorporation of the Corporation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transact such other business as may properly be brought before the meeting.</w:t>
      </w:r>
    </w:p>
    <w:p>
      <w:pPr>
        <w:spacing w:after="0" w:line="17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Subject to the rights of the holders of any preferred stock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with respect to such series of Preferred Stock, special meetings of the stockholders may only be called by or at the direction of (i) the Chair of the Board of Directors, (ii) the Board of Directors pursuant to a resolution adopted by a majority of the total number of directors that the Corporation would have if all vacancies or unfilled directorships were filled (the “</w:t>
      </w:r>
      <w:r>
        <w:rPr>
          <w:rFonts w:ascii="Times New Roman" w:cs="Times New Roman" w:eastAsia="Times New Roman" w:hAnsi="Times New Roman"/>
          <w:sz w:val="18"/>
          <w:szCs w:val="18"/>
          <w:u w:val="single" w:color="auto"/>
          <w:color w:val="auto"/>
        </w:rPr>
        <w:t>Whole Board</w:t>
      </w:r>
      <w:r>
        <w:rPr>
          <w:rFonts w:ascii="Times New Roman" w:cs="Times New Roman" w:eastAsia="Times New Roman" w:hAnsi="Times New Roman"/>
          <w:sz w:val="18"/>
          <w:szCs w:val="18"/>
          <w:color w:val="auto"/>
        </w:rPr>
        <w:t>”) or (iii) the Chair of the Board of Directors or the Secretary of the Corporation upon a written request by or on behalf of stockholders of the Corporation holding at least twenty-five percent (25%) of the voting power of all shares of capital stock of the Corporation then entitled to vote on the matter or matters brought before such meeting. Any such request by stockholders shall (A) be delivered to, or mailed to and received by, the Secretary at the principal office of the Corporation, (B) be signed and dated by each stockholder, or a duly authorized agent of each such stockholder, requesting such meeting, (C) set forth the purpose or purposes of the meeting and (D) include the information required by Section 1.14(c), as applicable, and a representation by such stockholder(s) that (1) not later than ten (10) days after the record date for any such special meeting, it will provide such information as of the record date for such special meeting to the extent not previously provided, and (2) not later than five (5) days prior to the date for such special meeting or any adjournment or postponement thereof, it shall further update and supplement the information so that such information shall be true and correct as of the date that is ten (10) days prior to such special meeting or any adjournment or postponement thereof. Notwithstanding the foregoing, a special meeting requested by stockholders shall not be held if: (i) the stated business to be brought before the special meeting is not a proper subject for stockholder action under applicable law, the Certificate of Incorporation or these Bylaws of the Corporation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(ii) the Board of Directors has called or calls for an annual meeting of stockholders to be held within ninety (90) days after the request for the special meeting is delivered to or received by the Secretary of the Corporation and the Board of Directors determines in good faith that the business of such annual meeting includes (among any other matters properly brought before the annual meeting) an item of business (other than the election of directors) that is identical or substantially similar (a “</w:t>
      </w:r>
      <w:r>
        <w:rPr>
          <w:rFonts w:ascii="Times New Roman" w:cs="Times New Roman" w:eastAsia="Times New Roman" w:hAnsi="Times New Roman"/>
          <w:sz w:val="18"/>
          <w:szCs w:val="18"/>
          <w:u w:val="single" w:color="auto"/>
          <w:color w:val="auto"/>
        </w:rPr>
        <w:t>Similar Item</w:t>
      </w:r>
      <w:r>
        <w:rPr>
          <w:rFonts w:ascii="Times New Roman" w:cs="Times New Roman" w:eastAsia="Times New Roman" w:hAnsi="Times New Roman"/>
          <w:sz w:val="18"/>
          <w:szCs w:val="18"/>
          <w:color w:val="auto"/>
        </w:rPr>
        <w:t>”) to an item of business included in such request, (iii) the business conducted at the most recent annual meeting, or at any special meeting held within one (1) year prior to receipt of such request, included (among any other matters properly brought before such meeting) a Similar Item or (iv) such request is delivered between the sixty-first (61st) day and the three-hundred-sixty-fifth (365th) day after the earliest date of signature on an effective request for a special meeting that has been delivered to the Chair of the Board of Directors or the Secretary of the Corporation relating to a Similar Item. A stockholder may revoke a request for a special meeting at any time by written revocation delivered to, or mailed to and received by, the Secretary of the Corporation. If, at any time after receipt by the Secretary of the Corporation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 of the Board of Directors or the Secretary of the Corporation not to call such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8"/>
          <w:szCs w:val="18"/>
          <w:u w:val="single" w:color="auto"/>
          <w:color w:val="auto"/>
        </w:rPr>
        <w:t xml:space="preserve">Notice. </w:t>
      </w:r>
      <w:r>
        <w:rPr>
          <w:rFonts w:ascii="Times New Roman" w:cs="Times New Roman" w:eastAsia="Times New Roman" w:hAnsi="Times New Roman"/>
          <w:sz w:val="18"/>
          <w:szCs w:val="18"/>
          <w:color w:val="auto"/>
        </w:rPr>
        <w:t>Notice of an annual or special meeting shall be given to each stockholder entitled to vote thereat not less than ten</w:t>
      </w:r>
    </w:p>
    <w:p>
      <w:pPr>
        <w:spacing w:after="0" w:line="27" w:lineRule="exact"/>
        <w:rPr>
          <w:sz w:val="20"/>
          <w:szCs w:val="20"/>
          <w:color w:val="auto"/>
        </w:rPr>
      </w:pPr>
    </w:p>
    <w:p>
      <w:pPr>
        <w:ind w:right="60" w:firstLine="8"/>
        <w:spacing w:after="0" w:line="252" w:lineRule="auto"/>
        <w:tabs>
          <w:tab w:leader="none" w:pos="3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nor more than sixty (60) days prior to the meeting unless otherwise required by law. The date, place, if any, and time of the meeting, and the means of remote communication, if any, by which stockholders and proxy holders may be deemed to be present in person and vote at such meeting, shall be stated in the notice of such meeting delivered or mailed to stockholders. If mailed, such notice shall be deemed to be given when deposited in the mail, postage prepaid, directed to the stockholder at such stockholder’s address as it appears on the records of the Corporation. If notice is given by electronic transmission, such notice shall be deemed to be given in accordance with and at the times provided in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Such further notice shall be given as may be required by applicable law. Meetings may be held without notice if all stockholders entitled to vote thereat are present, or if notice is waived by those not present in accordance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Quorum; Adjournments; Postponement.</w:t>
      </w:r>
      <w:r>
        <w:rPr>
          <w:rFonts w:ascii="Times New Roman" w:cs="Times New Roman" w:eastAsia="Times New Roman" w:hAnsi="Times New Roman"/>
          <w:sz w:val="18"/>
          <w:szCs w:val="18"/>
          <w:color w:val="auto"/>
        </w:rPr>
        <w:t xml:space="preserve"> The holders of stock representing a majority of the voting power of all shares of stock issued and outstanding and entitled to vote at a meeting of stockholders, present in person or represented by proxy, shall be requisite for and shall constitute a quorum of all meetings of the stockholders, except as otherwise provided by law, by the Certificate of Incorporation or by these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a separate vote by a class or series is required, a majority of the voting power of the outstanding shares of such class or series, present in person or represented by proxy, shall constitute a quorum entitled to take action with respect to that vote on that matter, except as otherwise provided by law, the Certificate of Incorporation or these Bylaws. In the absence of a quorum, holders of stock representing a majority of the voting power of all shares present in person or represented by proxy at the meeting, or the chair of the meeting, may adjourn any annual or special meeting of stockholders, from time to time, until a quorum shall be present or represented, to reconvene at the same or some other place. Furthermore, the chair of the meeting may adjourn any annual or special meeting of stockholders, from time to time, to reconvene at the same or some other place, whether or not a quorum is present or represented. Except as required by applicable law, no notice of the adjourned meeting need be given if the time and place thereof, if any, and the means of remote communication, if any, by which stockholders and proxy holders may be deemed to be present in person and vote at such adjourned meeting, are announced at the meeting at which the adjournment is taken or are provided in any other matter permitted by the DGCL. At the adjourned meeting the Corporation may transact any business that might have been transacted at the original meeting. Any previously scheduled meeting of stockholders may be postponed or canceled by the Board of Directors at any time, before or after the notice for such meeting has been sent to the stockholders, and the Corporation shall publicly announce such postponement or cancellation.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64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7"/>
          <w:szCs w:val="17"/>
          <w:u w:val="single" w:color="auto"/>
          <w:color w:val="auto"/>
        </w:rPr>
        <w:t>Proxies; Voting.</w:t>
      </w:r>
    </w:p>
    <w:p>
      <w:pPr>
        <w:spacing w:after="0" w:line="225" w:lineRule="exact"/>
        <w:rPr>
          <w:sz w:val="20"/>
          <w:szCs w:val="20"/>
          <w:color w:val="auto"/>
        </w:rPr>
      </w:pPr>
    </w:p>
    <w:p>
      <w:pPr>
        <w:ind w:left="-20" w:right="60" w:firstLine="1304"/>
        <w:spacing w:after="0" w:line="253" w:lineRule="auto"/>
        <w:tabs>
          <w:tab w:leader="none" w:pos="19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each meeting of the stockholders of the Corporation, every stockholder having the right to vote may authorize another person to act for him or her by proxy. Such authorization must be in accordance with Section 212 of the DGCL. No proxy authorized hereby shall be voted or acted upon more than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no later than the time designated in the order of business for so delivering such proxies. No ballot, proxies or votes nor any revocations thereof or changes thereto shall be accepted after the time set for the closing of the polls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unless the Court of Chancery upon application of a stockholder shall determine otherwise. Each proxy shall be delivered to the inspectors of election prior to or at the meeting. In the event the Corporation receives proxies for disqualified or withdrawn nominees for the Board of Directors or other disregarded proposal, such votes for such disqualified or withdrawn nominees or other disregarded proposal in the proxies will be treated as abstentions.</w:t>
      </w:r>
    </w:p>
    <w:p>
      <w:pPr>
        <w:spacing w:after="0" w:line="194" w:lineRule="exact"/>
        <w:rPr>
          <w:rFonts w:ascii="Times New Roman" w:cs="Times New Roman" w:eastAsia="Times New Roman" w:hAnsi="Times New Roman"/>
          <w:sz w:val="18"/>
          <w:szCs w:val="18"/>
          <w:color w:val="auto"/>
        </w:rPr>
      </w:pPr>
    </w:p>
    <w:p>
      <w:pPr>
        <w:ind w:left="-20" w:firstLine="1304"/>
        <w:spacing w:after="0" w:line="255" w:lineRule="auto"/>
        <w:tabs>
          <w:tab w:leader="none" w:pos="1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by law, the Certificate of Incorporation, these Bylaws or the applicable rules of any securities exchange, if a quorum exists at any meeting of stockholders, stockholders shall have approved any matter (other than the election of directors, which is addressed in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if a majority of votes cast on such matter by stockholders present in person or represented by proxy at the meeting and entitled to vote on such matter are in favor of such matter. For purposes of this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a majority of votes cast shall mean that the number of shares voted “for” a matter exceeds 50% of the number of votes cast with respect to that matter. Votes cast shall include votes against the matter and exclude abstentions and broker non-votes with respect to that matter, but broker non-votes and abstentions will be considered for purposes of establishing a quorum at the meeting.</w:t>
      </w:r>
    </w:p>
    <w:p>
      <w:pPr>
        <w:spacing w:after="0" w:line="188" w:lineRule="exact"/>
        <w:rPr>
          <w:rFonts w:ascii="Times New Roman" w:cs="Times New Roman" w:eastAsia="Times New Roman" w:hAnsi="Times New Roman"/>
          <w:sz w:val="18"/>
          <w:szCs w:val="18"/>
          <w:color w:val="auto"/>
        </w:rPr>
      </w:pPr>
    </w:p>
    <w:p>
      <w:pPr>
        <w:ind w:left="-20" w:right="120" w:firstLine="1304"/>
        <w:spacing w:after="0" w:line="252" w:lineRule="auto"/>
        <w:tabs>
          <w:tab w:leader="none" w:pos="19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below, and subject to the rights of the holders of any series of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For purposes of this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a majority of votes cast shall mean that the number of shares voted “for” a director’s election exceeds fifty percent (50%) of the number of votes cast with respect to that director’s election. Votes cast shall include any votes against that director’s election and any direction to withhold authority in each case and shall exclude abstentions and broker non-votes with respect to that director’s election, but broker non-votes and abstentions will be considered for purposes of establishing a quorum at the meeting. Notwithstanding the foregoing, in the event of a “contested election” of directors, directors shall be elected by the vote of a plurality of the votes cast at any meeting for the election of directors at which a quorum is present and broker non-votes and abstentions will be considered for purposes of establishing a quorum at the meeting but will not have an effect on the result of the vote. For purposes of this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a “contested election” shall mean any election of directors in which the number of candidates for election as directors exceeds the number of directors to be elected, with the determination thereof being made by the Secretary. If, prior to the time when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0" w:name="page11"/>
    <w:bookmarkEnd w:id="10"/>
    <w:p>
      <w:pPr>
        <w:ind w:right="20" w:firstLine="1304"/>
        <w:spacing w:after="0" w:line="253" w:lineRule="auto"/>
        <w:tabs>
          <w:tab w:leader="none" w:pos="2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nominee for director who is an incumbent director is not elected and no successor has been elected at such meeting, the director shall promptly tender his or her irrevocable resignation to the Board of Directors in accordance with the agreement contemplated by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such resignation to be effective upon acceptance by the Board of Directors as set forth in this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 xml:space="preserve">. The Governance and Nominating Committee shall make a recommendation to the Board of Directors as to whether to accept or reject the tendered resignation, or whether other action should be taken. The Board of Directors shall act on the tendered resignation, taking into account the Governance and Nominating Committee’s recommendation. The Governance and Nominating Committee in making its recommendation, and the Board of Directors in making its decision, may each consider any factors or other information that it considers appropriate and relevant. The director who tenders his or her irrevocable resignation shall not participate in the recommendation of the Governance and Nominating Committee or the decision of the Board of Directors with respect to his or her irrevocable resignation. If such incumbent director’s irrevocable resignation is not accepted by the Board of Directors, such director shall continue to serve until the next annual meeting and until his or her successor is duly elected, or his or her earlier resignation or removal. If a director’s irrevocable resignation is accepted by the Board of Directors pursuant to these Bylaws, or if a nominee for director is not elected and the nominee is not an incumbent director, then the Board of Directors, in its sole discretion, may fill any resulting vacancy pursuant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may decrease the size of the Board of Directors pursuant to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40" w:firstLine="1304"/>
        <w:spacing w:after="0" w:line="282" w:lineRule="auto"/>
        <w:tabs>
          <w:tab w:leader="none" w:pos="19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 of Directors.</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xml:space="preserve"> The Corporation shall, in advance of any meeting of stockholders, appoint one or more inspectors of election, which inspector or inspectors may, but does not need to, include individuals who serve the Corporation in other capacities, to act at the meeting and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w:t>
      </w:r>
    </w:p>
    <w:p>
      <w:pPr>
        <w:spacing w:after="0" w:line="5" w:lineRule="exact"/>
        <w:rPr>
          <w:sz w:val="20"/>
          <w:szCs w:val="20"/>
          <w:color w:val="auto"/>
        </w:rPr>
      </w:pPr>
    </w:p>
    <w:p>
      <w:pPr>
        <w:ind w:firstLine="8"/>
        <w:spacing w:after="0" w:line="252"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of capital stock of the Corporation outstanding and the voting power of each such share, (ii) determine the shares of capital stock of the Corporation present or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present or represented at the meeting and such inspectors’ count of all votes and ballots. Such certification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xml:space="preserve"> No later than the tenth (10th) day before every meeting of the stockholders a complete list of the stockholders entitled to vote at such meeting, arranged in alphabetical order, with the post office address of each such stockholder, and the number of shares held by each, shall be prepared by the Corporation. Such list shall be open to the examination of any stockholder for any purpose germane to the meeting for a period of at least ten (10) days ending on the day before the meeting date (i) during ordinary business hours at the Corporation’s headquarters or (ii)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Meetings of stockholders shall be presided over by the Chair of the Board of Directors, or in his or her absence by a chair designated by the Board of Directors, or in the absence of such designation by a chair chosen at the meeting. The Secretary shall act as secretary of the meeting, but in his or her absence the chair of the meeting may appoint any person to act as secretary of the meeting.</w:t>
      </w:r>
    </w:p>
    <w:p>
      <w:pPr>
        <w:spacing w:after="0" w:line="17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xml:space="preserve"> The date and time of the opening and the closing of the polls for each matter upon which the stockholders will vote at a meeting shall be announced at or prior to such meeting by the chair of the meeting. The Board of Directors of the Corporation may adopt by resolution such rules or regulations for the conduct of meetings of stockholders as it shall deem appropriate. Except to the extent inconsistent with such rules and regulations as adopted by the Board of Directors, the chair of any meeting of stockholders shall have the right and authority to prescribe such rules, regulations and procedures and to do all such acts as, in the judgment of such chair, are appropriate for the proper conduct of the meeting, including to convene and (for any or no reason) to recess and/or adjourn the meeting. 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 of the meeting shall permit; (d) restrictions on entry to the meeting after the time fixed for the commencement thereof; and (e) limitations on the time allotted to questions or comments by participants. The chair of any meeting shall determine all matters relating to the conduct of the meeting, including, but not limited to, determining whether any nomination or other item of business has been properly brought before the meeting in accordance with these Bylaws, and if the chair of the meeting should so determine and declare that any nomination or other item of business has not been properly brought before the meeting, then such business shall not be transacted at such meeting. Business conducted at a special meeting requested by stockholders shall be limited to the matters described in the request for such a meeting delivered pursuant to Section 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the Board of Directors from submitting any matter to the stockholders at any such special meeting. If none of the stockholders who submitted the request for a special meeting appears or otherwise sends a Qualified Representative to present the business proposed to be conducted at such meeting, the chair of such meeting need not present such business for a vote of stockholders at such meeting. For purposes of these Bylaws,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 of the meeting, meetings of stockholders shall not be required to be held in accordance with rules of parliamentary procedure.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 xml:space="preserve">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stockholders entitled to vote at any meeting of stockholders or adjournment thereof, shall, unless otherwise required by law, not be more than sixty (60) nor less than ten (10) days before the date of such meeting; and (2) in the case of any other action, shall not be more than sixty (60) days prior to such other action.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date next preceding the day on which the meeting is held; and (b)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adjourned meeting.</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Stockholders Action by Written Consent.</w:t>
      </w:r>
      <w:r>
        <w:rPr>
          <w:rFonts w:ascii="Times New Roman" w:cs="Times New Roman" w:eastAsia="Times New Roman" w:hAnsi="Times New Roman"/>
          <w:sz w:val="18"/>
          <w:szCs w:val="18"/>
          <w:color w:val="auto"/>
        </w:rPr>
        <w:t xml:space="preserve"> Subject to the rights of the holders of any series of Preferred Stock with respect to such series of Preferred Stock, any action required or permitted to be taken by the stockholders of the Corporation may be effected by the written consent of the stockholders of the Corporation in lieu of a duly called annual or special meeting of stockholders of the Corporation as provided in the Certificate of Incorporation.</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 w:name="page14"/>
    <w:bookmarkEnd w:id="13"/>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u w:val="single" w:color="auto"/>
          <w:color w:val="auto"/>
        </w:rPr>
        <w:t>Order of Business.</w:t>
      </w:r>
    </w:p>
    <w:p>
      <w:pPr>
        <w:spacing w:after="0" w:line="223" w:lineRule="exact"/>
        <w:rPr>
          <w:sz w:val="20"/>
          <w:szCs w:val="20"/>
          <w:color w:val="auto"/>
        </w:rPr>
      </w:pPr>
    </w:p>
    <w:p>
      <w:pPr>
        <w:ind w:firstLine="1304"/>
        <w:spacing w:after="0" w:line="218" w:lineRule="exact"/>
        <w:tabs>
          <w:tab w:leader="none" w:pos="19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Meeting of Stockholders. </w:t>
      </w:r>
      <w:r>
        <w:rPr>
          <w:rFonts w:ascii="Times New Roman" w:cs="Times New Roman" w:eastAsia="Times New Roman" w:hAnsi="Times New Roman"/>
          <w:sz w:val="18"/>
          <w:szCs w:val="18"/>
          <w:color w:val="auto"/>
        </w:rPr>
        <w:t>At any annual meeting of the stockholders, only such nominations of individuals for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Subject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immediately preceding sentence shall be the exclusive means for a stockholder to make nominations or other business proposals (other than matters properly brought under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under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Corporation’s notice of meeting) before an annual meeting of stockholders.</w:t>
      </w:r>
    </w:p>
    <w:p>
      <w:pPr>
        <w:spacing w:after="0" w:line="199" w:lineRule="exact"/>
        <w:rPr>
          <w:rFonts w:ascii="Times New Roman" w:cs="Times New Roman" w:eastAsia="Times New Roman" w:hAnsi="Times New Roman"/>
          <w:sz w:val="18"/>
          <w:szCs w:val="18"/>
          <w:color w:val="auto"/>
        </w:rPr>
      </w:pPr>
    </w:p>
    <w:p>
      <w:pPr>
        <w:jc w:val="both"/>
        <w:ind w:right="580" w:firstLine="1304"/>
        <w:spacing w:after="0" w:line="262" w:lineRule="auto"/>
        <w:tabs>
          <w:tab w:leader="none" w:pos="2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At any special meeting of the stockholders, only such business shall be conducted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as shall have been properly brought before the meeting. To be properly brought before a special meeting, proposals of business must be</w:t>
      </w:r>
    </w:p>
    <w:p>
      <w:pPr>
        <w:ind w:firstLine="8"/>
        <w:spacing w:after="0" w:line="250"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specified in the Corporation’s notice of meeting (or any supplement thereto) given by or at the direction of the Board of Directors, (ii) otherwise properly made at the special meeting, by or at the direction of the Board of Directors or (iii) otherwise properly requested to be brought before the special meeting by a stockholder of the Corporation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these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prohibit the Board of Directors from submitting additional matters to stockholders at any such special meeting. 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(x) is a stockholder of record at the time of giving of notice of such special meeting and at the time of the special meeting, (y) is entitled to vote at the meeting, and (z) complies with the procedures set forth in these Bylaws as to such nomination. Subject to</w:t>
      </w:r>
    </w:p>
    <w:p>
      <w:pPr>
        <w:spacing w:after="0" w:line="3" w:lineRule="exact"/>
        <w:rPr>
          <w:rFonts w:ascii="Times New Roman" w:cs="Times New Roman" w:eastAsia="Times New Roman" w:hAnsi="Times New Roman"/>
          <w:sz w:val="18"/>
          <w:szCs w:val="18"/>
          <w:color w:val="auto"/>
        </w:rPr>
      </w:pPr>
    </w:p>
    <w:p>
      <w:pPr>
        <w:ind w:right="80"/>
        <w:spacing w:after="0" w:line="23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1.14, this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xml:space="preserve"> shall be the exclusive means for a stockholder to make nominations or other business proposals (other than matters properly brought under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under the Exchange Act and included in the Corporation’s notice of meeting) before a special meeting of stockholders.</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ind w:right="20" w:firstLine="1304"/>
        <w:spacing w:after="0" w:line="258" w:lineRule="auto"/>
        <w:tabs>
          <w:tab w:leader="none" w:pos="20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Except as otherwise provided by law, the Certificate of Incorporation or these Bylaws, the chair of any annual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shall have the power and duty to determine whether a nomination or any other business proposed to be brought before any stockholder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 notwithstanding that proxies in respect of such vote may have been received by the Corporation.</w:t>
      </w:r>
    </w:p>
    <w:p>
      <w:pPr>
        <w:spacing w:after="0" w:line="18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7"/>
          <w:szCs w:val="17"/>
          <w:u w:val="single" w:color="auto"/>
          <w:color w:val="auto"/>
        </w:rPr>
        <w:t>Advance Notice of Stockholder Proposal.</w:t>
      </w:r>
    </w:p>
    <w:p>
      <w:pPr>
        <w:spacing w:after="0" w:line="223" w:lineRule="exact"/>
        <w:rPr>
          <w:sz w:val="20"/>
          <w:szCs w:val="20"/>
          <w:color w:val="auto"/>
        </w:rPr>
      </w:pPr>
    </w:p>
    <w:p>
      <w:pPr>
        <w:ind w:right="40" w:firstLine="1304"/>
        <w:spacing w:after="0" w:line="258" w:lineRule="auto"/>
        <w:tabs>
          <w:tab w:leader="none" w:pos="19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Meeting of Stockholders. </w:t>
      </w:r>
      <w:r>
        <w:rPr>
          <w:rFonts w:ascii="Times New Roman" w:cs="Times New Roman" w:eastAsia="Times New Roman" w:hAnsi="Times New Roman"/>
          <w:sz w:val="18"/>
          <w:szCs w:val="18"/>
          <w:color w:val="auto"/>
        </w:rPr>
        <w:t>Without qualification or limitation,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1.14(c)(iv)</w:t>
      </w:r>
      <w:r>
        <w:rPr>
          <w:rFonts w:ascii="Times New Roman" w:cs="Times New Roman" w:eastAsia="Times New Roman" w:hAnsi="Times New Roman"/>
          <w:sz w:val="18"/>
          <w:szCs w:val="18"/>
          <w:color w:val="auto"/>
        </w:rPr>
        <w:t>, for any nominations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business to be properly brought before an annual meeting by a stockholder pursuant to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 xml:space="preserve">, the stockholder must have given timely notice thereof (including, in the case of nominations, the completed and signed questionnaire, representation and agreement required by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and timely updates and supplements thereof, in each case in proper form, in writing to the Secretary, and such other business must otherwise be a proper matter for stockholder action.</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or postponement of an annual meeting, or the public announcement thereof, commence a new time period (or extend any time period) for the giving of a stockholder’s notice as described above.</w:t>
      </w:r>
    </w:p>
    <w:p>
      <w:pPr>
        <w:spacing w:after="0" w:line="18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one hundred (100) days prior to the first anniversary of the preceding year’s annual meeting, a stockholder’s notice required by this </w:t>
      </w:r>
      <w:r>
        <w:rPr>
          <w:rFonts w:ascii="Times New Roman" w:cs="Times New Roman" w:eastAsia="Times New Roman" w:hAnsi="Times New Roman"/>
          <w:sz w:val="18"/>
          <w:szCs w:val="18"/>
          <w:u w:val="single" w:color="auto"/>
          <w:color w:val="auto"/>
        </w:rPr>
        <w:t>Section 1.14(a)</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 The number of nominees a stockholder may nominate for election at an annual meeting (or in the case of a stockholder giving notice on behalf of a beneficial owner, the number of nominees a stockholder may nominate for election at the annual meeting on behalf of such beneficial owner) shall not exceed the number of directors to be elected at such annual meeting.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or postponement thereof in the case of the update and supplement required to be made as of ten (10) days prior to the meeting or any adjournment or postponement thereof. Notwithstanding the foregoing, if a stockholder providing notice and/or beneficial owner that intends to solicit proxies in support of director nominees other than the Corporation’s nominees no longer intends to solicit proxies in accordance with its representation pursuant to Section 1.14(c)(i)(M), such stockholder and/or beneficial owner shall inform the Corporation of this change by delivering a writing to the Secretary of the Corporation no later than two (2) business days after the occurrence of such change.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w:t>
      </w:r>
    </w:p>
    <w:p>
      <w:pPr>
        <w:spacing w:after="0" w:line="195" w:lineRule="exact"/>
        <w:rPr>
          <w:sz w:val="20"/>
          <w:szCs w:val="20"/>
          <w:color w:val="auto"/>
        </w:rPr>
      </w:pPr>
    </w:p>
    <w:p>
      <w:pPr>
        <w:ind w:right="20" w:firstLine="1304"/>
        <w:spacing w:after="0" w:line="261" w:lineRule="auto"/>
        <w:tabs>
          <w:tab w:leader="none" w:pos="2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 of Stockholders. </w:t>
      </w:r>
      <w:r>
        <w:rPr>
          <w:rFonts w:ascii="Times New Roman" w:cs="Times New Roman" w:eastAsia="Times New Roman" w:hAnsi="Times New Roman"/>
          <w:sz w:val="18"/>
          <w:szCs w:val="18"/>
          <w:color w:val="auto"/>
        </w:rPr>
        <w:t>Without qualification or limitation,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1.14(c)(iv)</w:t>
      </w:r>
      <w:r>
        <w:rPr>
          <w:rFonts w:ascii="Times New Roman" w:cs="Times New Roman" w:eastAsia="Times New Roman" w:hAnsi="Times New Roman"/>
          <w:sz w:val="18"/>
          <w:szCs w:val="18"/>
          <w:color w:val="auto"/>
        </w:rPr>
        <w:t>, for any business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properly requested to be brought before a special meeting of stockholders by a stockholder pursuant to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 the stockholder must have given timely notice thereof and timely updates and supplements thereof, in each case in proper form, in writing to the Secretary and such business must otherwise be a proper matter for stockholder action.</w:t>
      </w:r>
    </w:p>
    <w:p>
      <w:pPr>
        <w:spacing w:after="0" w:line="18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1.14(c)(iv)</w:t>
      </w:r>
      <w:r>
        <w:rPr>
          <w:rFonts w:ascii="Times New Roman" w:cs="Times New Roman" w:eastAsia="Times New Roman" w:hAnsi="Times New Roman"/>
          <w:sz w:val="18"/>
          <w:szCs w:val="18"/>
          <w:color w:val="auto"/>
        </w:rPr>
        <w:t xml:space="preserve">,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stockholder gives timely notice thereof (including the completed and signed questionnaire, representation and agreement required by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and timely updates and supplements thereof in each case in proper form, in writing, to the Secretary.</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To be timely, a stockholder’s notice shall be delivered to the Secretary at the principal executive offices of the Corporation not earlier than the close of business on the one hundred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if applicable, of the nominees proposed by the Board of Directors to be elected at such meeting. In no event shall any adjournment or postponement of a special meeting of stockholders, or the public announcement thereof, commence a new time period (or extend any time period) for the giving of a stockholder’s notice as described above. The number of nominees a stockholder may nominate for election at a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or postponement thereof in the case of the update and supplement required to be made as of ten (10)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w:t>
      </w:r>
    </w:p>
    <w:p>
      <w:pPr>
        <w:spacing w:after="0" w:line="190" w:lineRule="exact"/>
        <w:rPr>
          <w:sz w:val="20"/>
          <w:szCs w:val="20"/>
          <w:color w:val="auto"/>
        </w:rPr>
      </w:pPr>
    </w:p>
    <w:p>
      <w:pPr>
        <w:ind w:firstLine="1304"/>
        <w:spacing w:after="0" w:line="284" w:lineRule="auto"/>
        <w:tabs>
          <w:tab w:leader="none" w:pos="19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Requirements. </w:t>
      </w:r>
      <w:r>
        <w:rPr>
          <w:rFonts w:ascii="Times New Roman" w:cs="Times New Roman" w:eastAsia="Times New Roman" w:hAnsi="Times New Roman"/>
          <w:sz w:val="18"/>
          <w:szCs w:val="18"/>
          <w:color w:val="auto"/>
        </w:rPr>
        <w:t>To be in proper form, a stockholder’s notice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include the following, as applicable: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60" w:firstLine="644"/>
        <w:spacing w:after="0" w:line="216" w:lineRule="exact"/>
        <w:tabs>
          <w:tab w:leader="none" w:pos="8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as applicable, is being made, a stockholder’s notice must set forth: (A) the name and address of (1) each such person, (2) any holder of record of the stockholder’s shares as they appear on the Corporation’s books and (3) each of their respective affiliates or associates or others acting in concert therewith (each person referred to in the foregoing clauses (2) and (3), a “Stockholder Associated Person”), (B) (1) the class and number of all shares of capital stock of the Corporation that are owned, directly or indirectly, by (x) each such person (beneficially and of record) and (y) each Stockholder Associated Person and (2) the name of each nominee holder of shares of stock of the Corporation owned but not of record by such person or any Stockholder Associated Person, the date such person or Stockholder Associated Person acquired each such share of capital stock of the Corporation and the number of such shares of stock of the Corporation held by each such nominee holder, (C)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such person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 directly or indirectly owned beneficially by such stockholder, the beneficial owner, if any, or any Stockholder Associated Person, (D) a description of any transaction, agreement, arrangement or understanding with respect to such nomination or business, as applicable, between or among each such person, any Stockholder Associated Person, and any other person (including their names) in connection with the proposal of such nomination or business, as applicable, and any interest of such person or any Stockholder Associated Person in such nomination or business, as applicable, including the contemplated benefit therefrom to such person or Stockholder Associated Person, (E) a description of any agreement, arrangement, understanding, relationship or otherwise, including any repurchase or similar so-called “stock borrowing” agreement or arrangement, involving such person or any Stockholder Associated Person, directly or indirectly, the purpose or effect of which is to mitigate loss to, reduce the economic risk (of ownership or otherwise) of any class or series of shares of the Corporation by, manage the risk of share price changes for, or increase or decrease the voting power of, such person or Stockholder Associated Person with respect to any class or series of shares of the Corporation, or which provides, directly or indirectly, the opportunity to profit or share in any profit derived from any decrease in the price or value of any class or series of shares of the Corporation (any of the foregoing, a “</w:t>
      </w:r>
      <w:r>
        <w:rPr>
          <w:rFonts w:ascii="Times New Roman" w:cs="Times New Roman" w:eastAsia="Times New Roman" w:hAnsi="Times New Roman"/>
          <w:sz w:val="18"/>
          <w:szCs w:val="18"/>
          <w:u w:val="single" w:color="auto"/>
          <w:color w:val="auto"/>
        </w:rPr>
        <w:t>Short Interest</w:t>
      </w:r>
      <w:r>
        <w:rPr>
          <w:rFonts w:ascii="Times New Roman" w:cs="Times New Roman" w:eastAsia="Times New Roman" w:hAnsi="Times New Roman"/>
          <w:sz w:val="18"/>
          <w:szCs w:val="18"/>
          <w:color w:val="auto"/>
        </w:rPr>
        <w:t>”), (F) any rights to dividends on the shares of the Corporation owned beneficially by such person or Stockholder Associated Person that are separated or separable from the underlying shares of the Corporation, (G) any proportionate interest in shares of the Corporation or Derivative Instruments held, directly or indirectly, by a general or limited partnership in which such person or Stockholder Associated Person is a general partner or, directly or indirectly, beneficially owns an interest in a general partner of such general or limited partnership, (H) any performance-related fees (other than an asset-based fee) that such person or Stockholder Associated Person is entitled to based on any increase or decrease in the value of shares of the Corporation or Derivative Instruments, if any, including, without limitation, any such interests held by members of the immediate family sharing the same household of such person or Stockholder Associated Person, (I) any significant equity interests or any Derivative Instruments or Short Interests in any principal competitor of the Corporation held by such person or Stockholder Associated Person, (J) any direct or indirect interest of such person and Stockholder Associated Person in any contract with the Corporation, any affiliate of the Corporation or any principal competitor of the Corporation (including, in any such case, any employment agreement, collective bargaining agreement or consulting agreement), (K) all information that would be required to be set forth in a Schedule 13D filed pursuant to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 or an amendment pursuant to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2(a) if such a statement were required to be filed under the Exchange Act and the rules and regulations promulgated thereunder by such person or Stockholder Associated Person, if any, (L) a representation that the stockholder is a holder of record or beneficial owner of shares of the Corporation entitled to vote at the meeting and intends to appear in person or by proxy at the meeting to nominate the person or persons specified in the notice or propose such business, as applicable, (M) (1) in the case of a nomination to elect one or more directors to the Board of Directors, a representation that the stockholder giving notice and/or the beneficial owner, if any, on whose behalf the nomination is being made will (I) solicit proxies from holders of the Corporation’s outstanding capital stock representing at least 67% of the voting power of shares of capital stock entitled to vote on the election of directors, (II) include a statement to that effect in its proxy statement and/or the form of proxy, (III) otherwise comply with Rule 14a-19 promulgated under the Exchange Act and (IV) provide the Secretary of the Corporation not less than five (5) days prior to the meeting or any adjournment or postponement thereof, with reasonable documentary evidence (as determined by the Secretary of the Corporation in good faith) that such stockholder and/or beneficial owner complied with such representations and (2) in the case of a proposal not involving the nomination of directors, a representation as to whether the stockholder intends to deliver a proxy statement and/or form of proxy to holders of at least the percentage of the Corporation’s outstanding capital stock required to approve the proposal, and/or otherwise to solicit proxies or votes from stockholders in support of the proposal, (N) a representation that the stockholder shall provide any other information reasonably required by the Corporation to determine if such notice is in proper form and (O) any other information relating to each such person and Stockholder Associated Person, if any, that would be required to be disclosed in a proxy statement and form of proxy or other filings required to be made in connection with the solicitation of proxies for, as applicable, the proposed business and/or for the election of directors in a contested election pursuant to Section 14 of the Exchange Act and the rules and regulations promulgated thereunder.</w:t>
      </w:r>
    </w:p>
    <w:p>
      <w:pPr>
        <w:spacing w:after="0" w:line="38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 w:name="page19"/>
    <w:bookmarkEnd w:id="18"/>
    <w:p>
      <w:pPr>
        <w:ind w:left="4" w:firstLine="644"/>
        <w:spacing w:after="0" w:line="255" w:lineRule="auto"/>
        <w:tabs>
          <w:tab w:leader="none" w:pos="13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notice includes any business other than a nomination of a director or directors that the stockholder proposes to bring before the meeting, a stockholder’s notice must, in addition to the matters set forth in </w:t>
      </w:r>
      <w:r>
        <w:rPr>
          <w:rFonts w:ascii="Times New Roman" w:cs="Times New Roman" w:eastAsia="Times New Roman" w:hAnsi="Times New Roman"/>
          <w:sz w:val="18"/>
          <w:szCs w:val="18"/>
          <w:u w:val="single" w:color="auto"/>
          <w:color w:val="auto"/>
        </w:rPr>
        <w:t>Section 1.14(c)(i)</w:t>
      </w:r>
      <w:r>
        <w:rPr>
          <w:rFonts w:ascii="Times New Roman" w:cs="Times New Roman" w:eastAsia="Times New Roman" w:hAnsi="Times New Roman"/>
          <w:sz w:val="18"/>
          <w:szCs w:val="18"/>
          <w:color w:val="auto"/>
        </w:rPr>
        <w:t>, also set forth, with respect to each such business matter: (A) a brief description of the business desired to be brought before the meeting, the reasons for conducting such business at the meeting and any material interest of such stockholder, such beneficial owner and each Stockholder Associated Person, if any, in such business;</w:t>
      </w:r>
    </w:p>
    <w:p>
      <w:pPr>
        <w:spacing w:after="0" w:line="2" w:lineRule="exact"/>
        <w:rPr>
          <w:rFonts w:ascii="Times New Roman" w:cs="Times New Roman" w:eastAsia="Times New Roman" w:hAnsi="Times New Roman"/>
          <w:sz w:val="18"/>
          <w:szCs w:val="18"/>
          <w:color w:val="auto"/>
        </w:rPr>
      </w:pPr>
    </w:p>
    <w:p>
      <w:pPr>
        <w:ind w:left="4" w:right="20" w:hanging="4"/>
        <w:spacing w:after="0" w:line="253" w:lineRule="auto"/>
        <w:tabs>
          <w:tab w:leader="none" w:pos="2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in the event that such proposal or business includes a proposal to amend the Bylaws of the Corporation, the text of the proposed amendment); and (C) a description of all agreements, arrangements and understandings between such stockholder, such beneficial owner and each Stockholder Associated Person, if any, and any other person or persons (including their names) in connection with the proposal of such business by such stockholder.</w:t>
      </w:r>
    </w:p>
    <w:p>
      <w:pPr>
        <w:spacing w:after="0" w:line="346"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4"/>
          </w:cols>
          <w:pgMar w:left="976" w:top="121" w:right="519" w:bottom="1440" w:gutter="0" w:footer="0" w:header="0"/>
        </w:sectPr>
      </w:pPr>
    </w:p>
    <w:bookmarkStart w:id="19" w:name="page20"/>
    <w:bookmarkEnd w:id="19"/>
    <w:p>
      <w:pPr>
        <w:ind w:left="-460" w:right="20" w:firstLine="644"/>
        <w:spacing w:after="0" w:line="218" w:lineRule="exact"/>
        <w:tabs>
          <w:tab w:leader="none" w:pos="9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individual, if any, whom the stockholder proposes to nominate for election or reelection to the Board of Directors, a stockholder’s notice must, in addition to the matters set forth in </w:t>
      </w:r>
      <w:r>
        <w:rPr>
          <w:rFonts w:ascii="Times New Roman" w:cs="Times New Roman" w:eastAsia="Times New Roman" w:hAnsi="Times New Roman"/>
          <w:sz w:val="18"/>
          <w:szCs w:val="18"/>
          <w:u w:val="single" w:color="auto"/>
          <w:color w:val="auto"/>
        </w:rPr>
        <w:t>Section 1.14(c)(i)</w:t>
      </w:r>
      <w:r>
        <w:rPr>
          <w:rFonts w:ascii="Times New Roman" w:cs="Times New Roman" w:eastAsia="Times New Roman" w:hAnsi="Times New Roman"/>
          <w:sz w:val="18"/>
          <w:szCs w:val="18"/>
          <w:color w:val="auto"/>
        </w:rPr>
        <w:t>, also set forth, with respect to each such individual: (A)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any proxy statement and other proxy materials for the applicable meeting as a nominee and to serving as a director if elected) and (B) a description of all direct and indirect compensation and other material monetary agreements, arrangements and understandings during the past three years, and any other material relationships, between or among such stockholder and beneficial owner, if any, and any Stockholder Associated Persons, on the one hand, and each proposed nominee, and his or her respective affiliates and associates, or others acting in concert therewith, on the other hand, including, without limitation all information that would be required to be disclosed pursuant to Item 404 promulgated under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w:t>
      </w:r>
    </w:p>
    <w:p>
      <w:pPr>
        <w:spacing w:after="0" w:line="198" w:lineRule="exact"/>
        <w:rPr>
          <w:rFonts w:ascii="Times New Roman" w:cs="Times New Roman" w:eastAsia="Times New Roman" w:hAnsi="Times New Roman"/>
          <w:sz w:val="18"/>
          <w:szCs w:val="18"/>
          <w:color w:val="auto"/>
        </w:rPr>
      </w:pPr>
    </w:p>
    <w:p>
      <w:pPr>
        <w:ind w:left="-460" w:firstLine="644"/>
        <w:spacing w:after="0" w:line="253" w:lineRule="auto"/>
        <w:tabs>
          <w:tab w:leader="none" w:pos="8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individual, if any, whom the stockholder proposes to nominate for election or reelection to the Board of Directors, a stockholder’s notice must, in addition to the matters set forth in </w:t>
      </w:r>
      <w:r>
        <w:rPr>
          <w:rFonts w:ascii="Times New Roman" w:cs="Times New Roman" w:eastAsia="Times New Roman" w:hAnsi="Times New Roman"/>
          <w:sz w:val="18"/>
          <w:szCs w:val="18"/>
          <w:u w:val="single" w:color="auto"/>
          <w:color w:val="auto"/>
        </w:rPr>
        <w:t>Section 1.14(c)(i)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1.14(c)(iii)</w:t>
      </w:r>
      <w:r>
        <w:rPr>
          <w:rFonts w:ascii="Times New Roman" w:cs="Times New Roman" w:eastAsia="Times New Roman" w:hAnsi="Times New Roman"/>
          <w:sz w:val="18"/>
          <w:szCs w:val="18"/>
          <w:color w:val="auto"/>
        </w:rPr>
        <w:t xml:space="preserve">, also include a completed and signed questionnaire, representation and agreement required by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In addition to the information required pursuant to this paragraph or any other provision of these Bylaws, the Corporation may require any proposed nominee to furnish any other information (A) that may reasonably be required by the Corporation to determine whether the proposed nominee would be independent under the rules and listing standards of the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(collectively, the “</w:t>
      </w:r>
      <w:r>
        <w:rPr>
          <w:rFonts w:ascii="Times New Roman" w:cs="Times New Roman" w:eastAsia="Times New Roman" w:hAnsi="Times New Roman"/>
          <w:sz w:val="18"/>
          <w:szCs w:val="18"/>
          <w:u w:val="single" w:color="auto"/>
          <w:color w:val="auto"/>
        </w:rPr>
        <w:t>Independence Standards</w:t>
      </w:r>
      <w:r>
        <w:rPr>
          <w:rFonts w:ascii="Times New Roman" w:cs="Times New Roman" w:eastAsia="Times New Roman" w:hAnsi="Times New Roman"/>
          <w:sz w:val="18"/>
          <w:szCs w:val="18"/>
          <w:color w:val="auto"/>
        </w:rPr>
        <w:t>”), (B) that could be material to a reasonable stockholder’s understanding of the independence, or lack thereof, of such nominee, or (C) that may reasonably be required by the Corporation to determine the eligibility of such nominee to serve as a director of the Corporation. Notwithstanding anything to the contrary, only persons who are nominated in accordance with the procedures set forth in these Bylaws shall be eligible for election as directors.</w:t>
      </w:r>
    </w:p>
    <w:p>
      <w:pPr>
        <w:spacing w:after="0" w:line="190" w:lineRule="exact"/>
        <w:rPr>
          <w:sz w:val="20"/>
          <w:szCs w:val="20"/>
          <w:color w:val="auto"/>
        </w:rPr>
      </w:pPr>
    </w:p>
    <w:p>
      <w:pPr>
        <w:ind w:left="880" w:hanging="696"/>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460" w:right="20" w:firstLine="644"/>
        <w:spacing w:after="0" w:line="266" w:lineRule="auto"/>
        <w:tabs>
          <w:tab w:leader="none" w:pos="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a national news service or in a document publicly filed by the Corporation with the U.S. Securities and Exchange Commission pursuant to Section 13, 14 or 15(d) of the Exchange Act and the rules and regulations promulgated thereunder.</w:t>
      </w:r>
    </w:p>
    <w:p>
      <w:pPr>
        <w:spacing w:after="0" w:line="3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20" w:name="page21"/>
    <w:bookmarkEnd w:id="20"/>
    <w:p>
      <w:pPr>
        <w:ind w:left="660" w:right="40" w:firstLine="644"/>
        <w:spacing w:after="0" w:line="281" w:lineRule="auto"/>
        <w:tabs>
          <w:tab w:leader="none" w:pos="202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provisions of these Bylaws, a stockholder shall also comply with all applicable requirements of state law and the Exchange Act and the rules and regulations thereunder with respect to the matters set forth in these Bylaws;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references in these Bylaws to state law and the Exchange Act or the rules promulgated thereunder are not intended to and shall not limit the separate and additional requirements set forth in these Bylaws with respect to nominations or proposals as to any other business to be considered.</w:t>
      </w:r>
    </w:p>
    <w:p>
      <w:pPr>
        <w:spacing w:after="0" w:line="164" w:lineRule="exact"/>
        <w:rPr>
          <w:rFonts w:ascii="Times New Roman" w:cs="Times New Roman" w:eastAsia="Times New Roman" w:hAnsi="Times New Roman"/>
          <w:sz w:val="17"/>
          <w:szCs w:val="17"/>
          <w:color w:val="auto"/>
        </w:rPr>
      </w:pPr>
    </w:p>
    <w:p>
      <w:pPr>
        <w:ind w:left="660" w:right="80" w:firstLine="644"/>
        <w:spacing w:after="0" w:line="220" w:lineRule="exact"/>
        <w:tabs>
          <w:tab w:leader="none" w:pos="20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these Bylaws shall be deemed to affect any rights (i) of stockholders to request inclusion of proposals in the Corporation’s proxy statement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under the Exchange Act or (ii) of the holders of any series of Preferred Stock if and to the extent provided for under law, the Certificate of Incorporation or these Bylaws. Subject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8 under the Exchange Act and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Duties and Powers.</w:t>
      </w:r>
      <w:r>
        <w:rPr>
          <w:rFonts w:ascii="Times New Roman" w:cs="Times New Roman" w:eastAsia="Times New Roman" w:hAnsi="Times New Roman"/>
          <w:sz w:val="18"/>
          <w:szCs w:val="18"/>
          <w:color w:val="auto"/>
        </w:rPr>
        <w:t xml:space="preserve">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Number; Election; Term.</w:t>
      </w:r>
      <w:r>
        <w:rPr>
          <w:rFonts w:ascii="Times New Roman" w:cs="Times New Roman" w:eastAsia="Times New Roman" w:hAnsi="Times New Roman"/>
          <w:sz w:val="18"/>
          <w:szCs w:val="18"/>
          <w:color w:val="auto"/>
        </w:rPr>
        <w:t xml:space="preserve"> Subject to the rights of the holders of any series of Preferred Stock to elect directors under specified circumstances, the number of directors shall be fixed from time to time exclusively in accordance with the Certificate of Incorporation. The election and term of directors of the Corporation shall be as provided in the Certificate of Incorporation.</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xml:space="preserve"> Subject to applicable law and the rights of the holders of any one or more series of Preferred Stock then outstanding, newly created directorships and any vacancy on the Board of Directors shall be filled only to the extent and in the manner provided in the Certificate of Incorporation.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the rights of holders of any outstanding series of Preferred Stock with respect to the removal of directors, any or all director(s) of the Corporation may be removed from office only to the extent and in the manner provided in the Certificate of Incorporation.</w:t>
      </w: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Place of Meetings; Records.</w:t>
      </w:r>
      <w:r>
        <w:rPr>
          <w:rFonts w:ascii="Times New Roman" w:cs="Times New Roman" w:eastAsia="Times New Roman" w:hAnsi="Times New Roman"/>
          <w:sz w:val="18"/>
          <w:szCs w:val="18"/>
          <w:color w:val="auto"/>
        </w:rPr>
        <w:t xml:space="preserve"> The directors may hold their meetings either within or without the State of Delaware and keep the books of the Corporation outside of the State of Delaware at such places as they may from time to time determine.</w:t>
      </w:r>
    </w:p>
    <w:p>
      <w:pPr>
        <w:spacing w:after="0" w:line="162"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Organizational Meeting.</w:t>
      </w:r>
      <w:r>
        <w:rPr>
          <w:rFonts w:ascii="Times New Roman" w:cs="Times New Roman" w:eastAsia="Times New Roman" w:hAnsi="Times New Roman"/>
          <w:sz w:val="18"/>
          <w:szCs w:val="18"/>
          <w:color w:val="auto"/>
        </w:rPr>
        <w:t xml:space="preserve"> As necessary, the Board of Directors shall meet for the purpose of organization, the election of officers and the transaction of other business at its first meeting after or at its meeting immediately prior to each annual meeting of stockholders. Such meeting may be held at any other time or place that shall be specified in a notice given as hereinafter provided for special meetings of the Board of Directors or in a consent and waiver of notice thereof signed by all of the directors.</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xml:space="preserve"> Regular meetings of the Board of Directors may be held without notice at such time and place either within or without the State of Delaware as shall from time to time be determined by the Board of Directors.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Special meetings of the Board of Directors may be called by the Chair of the Board of Directors (or by any officer designated by the Chair of the Board of Directors) by the mailing of notice to each director at least forty-eight (48) hours before the meeting or by notifying each director of the meeting at least twenty-four (24) hours prior thereto either personally, by telephone or by electronic transmission; special meetings may be called on like notice by the Chair of the Board of Directors (or by any officer designated by the Chair of the Board of Directors) on such shorter notice as the person or persons calling such meeting may deem necessary or appropriate in the circumstances.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At each meeting of the Board of Directors or any committee thereof, the Chair of the Board of Directors or the chair of such committee, as the case may be, or, in his or her absence or if there be none, a director chosen by a majority of the directors present, shall act as chair. Except as provided below, the Secretary shall act as secretary at each meeting of the Board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At all meetings of the Board, the presence of a majority of the Whole Board shall be necessary and sufficient to constitute a quorum for the transaction of business, and the act of a majority of the directors present at any meeting at which there is a quorum shall be the act of the Board of Directors, except as may be otherwise specifically provided by law, by the applicable rules of any securities exchange, by the Certificate of Incorporation or by these Bylaws.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xml:space="preserve"> The Board of Directors may, by resolution passed by a majority of the Whole Board, designate one or more committees, each committee to consist of one or more of the directors of the Corporation. Each member of a committee must meet the requirements for membership, if any, imposed by applicable law. Any committee, to the extent permitted by law and provided in the resolution establishing such committee, shall have and may exercise all the powers and authority of the Board of Directors in the management of the business and affairs of the Corporation as the Board of Directors may by resolution duly delegate to it except as prohibited by law, and may authorize the seal of the Corporation to be affixed to all papers that may require it. Each committee shall keep regular minutes and report to the Board of Directors as and when required. Notwithstanding anything to the contrary contained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control. Nothing herein shall limit the authority of the Board of Directors to appoint other committees consisting in whole or in part of persons who are not directors of the Corporation to carry out such functions as the Board may designate. Unless otherwise provided for in any resolution of the Board of Directors designating a committee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 a quorum for the transaction of business of such committee shall be a majority of the authorized number of members of such committee; and (ii) the act of a majority of the members of such committee present at any meeting of such committee at which there is a quorum shall be the act of the committee (except as otherwise specifically provided by law, by the Certificate of Incorporation or by these Bylaws).</w:t>
      </w:r>
    </w:p>
    <w:p>
      <w:pPr>
        <w:spacing w:after="0" w:line="19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Presence at Meeting.</w:t>
      </w:r>
      <w:r>
        <w:rPr>
          <w:rFonts w:ascii="Times New Roman" w:cs="Times New Roman" w:eastAsia="Times New Roman" w:hAnsi="Times New Roman"/>
          <w:sz w:val="18"/>
          <w:szCs w:val="18"/>
          <w:color w:val="auto"/>
        </w:rPr>
        <w:t xml:space="preserve"> Members of the Board of Directors or any committee designated by the Board may participate in the meeting of the Board or committee by means of conference telephone or similar communications equipment by means of which all persons in the meeting can hear each other and participate. The ability to participate in a meeting in the above manner shall constitute presence at such meeting for purposes of a quorum and any action thereat.</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Action Without Meetings.</w:t>
      </w:r>
      <w:r>
        <w:rPr>
          <w:rFonts w:ascii="Times New Roman" w:cs="Times New Roman" w:eastAsia="Times New Roman" w:hAnsi="Times New Roman"/>
          <w:sz w:val="18"/>
          <w:szCs w:val="18"/>
          <w:color w:val="auto"/>
        </w:rPr>
        <w:t xml:space="preserve">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at such effective time so long as such person is then a director and did not revoke the consent prior to such time. Any such consent shall be revocable prior to its becoming effective.</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directors may be paid their expenses, if any, of attendance at each meeting of the Board of Directors and may be paid a fixed sum for attendance at each meeting of the Board of Directors or a stated salary for service as director, payable in cash and/or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constitute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19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8"/>
          <w:szCs w:val="18"/>
          <w:u w:val="single" w:color="auto"/>
          <w:color w:val="auto"/>
        </w:rPr>
        <w:t>Proxy Access.</w:t>
      </w:r>
    </w:p>
    <w:p>
      <w:pPr>
        <w:spacing w:after="0" w:line="223" w:lineRule="exact"/>
        <w:rPr>
          <w:sz w:val="20"/>
          <w:szCs w:val="20"/>
          <w:color w:val="auto"/>
        </w:rPr>
      </w:pPr>
    </w:p>
    <w:p>
      <w:pPr>
        <w:ind w:right="40" w:firstLine="1304"/>
        <w:spacing w:after="0" w:line="253" w:lineRule="auto"/>
        <w:tabs>
          <w:tab w:leader="none" w:pos="19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to Be Included in the Corporation’s Proxy Materials</w:t>
      </w:r>
      <w:r>
        <w:rPr>
          <w:rFonts w:ascii="Times New Roman" w:cs="Times New Roman" w:eastAsia="Times New Roman" w:hAnsi="Times New Roman"/>
          <w:sz w:val="18"/>
          <w:szCs w:val="18"/>
          <w:color w:val="auto"/>
        </w:rPr>
        <w:t>. Whenever the Board of Directors solicits proxies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to the election of directors at an annual meeting of stockholders, subject to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Corporation shall include in its proxy statement for such annual meeting, in addition to any persons nominated for election by or at the direction of the Board of Directors, the name, together with the Required Information (as defined below), of any person nominated for election (a “</w:t>
      </w:r>
      <w:r>
        <w:rPr>
          <w:rFonts w:ascii="Times New Roman" w:cs="Times New Roman" w:eastAsia="Times New Roman" w:hAnsi="Times New Roman"/>
          <w:sz w:val="18"/>
          <w:szCs w:val="18"/>
          <w:u w:val="single" w:color="auto"/>
          <w:color w:val="auto"/>
        </w:rPr>
        <w:t>Stockholder Nominee</w:t>
      </w:r>
      <w:r>
        <w:rPr>
          <w:rFonts w:ascii="Times New Roman" w:cs="Times New Roman" w:eastAsia="Times New Roman" w:hAnsi="Times New Roman"/>
          <w:sz w:val="18"/>
          <w:szCs w:val="18"/>
          <w:color w:val="auto"/>
        </w:rPr>
        <w:t xml:space="preserve">”) to the Board of Directors by an Eligible Stockholder (as defined in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 xml:space="preserve">) who expressly elects at the time of providing the notice required 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to have such nominee included in the Corporation’s proxy materials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Required Information</w:t>
      </w:r>
      <w:r>
        <w:rPr>
          <w:rFonts w:ascii="Times New Roman" w:cs="Times New Roman" w:eastAsia="Times New Roman" w:hAnsi="Times New Roman"/>
          <w:sz w:val="18"/>
          <w:szCs w:val="18"/>
          <w:color w:val="auto"/>
        </w:rPr>
        <w:t xml:space="preserve">” that the Corporation will include in its proxy statement is (i) the information provided to the Secretary of the Corporation concerning the Stockholder Nominee and the Eligible Stockholder that is required to be disclosed in the Corporation’s proxy statement pursuant to Section 14 of the Exchange Act, and the rules and regulations promulgated thereunder and (ii) if the Eligible Stockholder so elects, a Supporting Statement (as defined in </w:t>
      </w:r>
      <w:r>
        <w:rPr>
          <w:rFonts w:ascii="Times New Roman" w:cs="Times New Roman" w:eastAsia="Times New Roman" w:hAnsi="Times New Roman"/>
          <w:sz w:val="18"/>
          <w:szCs w:val="18"/>
          <w:u w:val="single" w:color="auto"/>
          <w:color w:val="auto"/>
        </w:rPr>
        <w:t>Section 2.16(h)</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name of any Stockholder Nominee included in the Corporation’s proxy statement for an annual meeting of stockholders shall also be set forth on the form of proxy card or ballot distributed by the Corporation in connection with such annual meeting.</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8" w:firstLine="1304"/>
        <w:spacing w:after="0" w:line="253" w:lineRule="auto"/>
        <w:tabs>
          <w:tab w:leader="none" w:pos="19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Period</w:t>
      </w:r>
      <w:r>
        <w:rPr>
          <w:rFonts w:ascii="Times New Roman" w:cs="Times New Roman" w:eastAsia="Times New Roman" w:hAnsi="Times New Roman"/>
          <w:sz w:val="18"/>
          <w:szCs w:val="18"/>
          <w:color w:val="auto"/>
        </w:rPr>
        <w:t>. In addition to any other applicable requirements, for a nomination to be made by an Eligible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Eligible Stockholder must have given timely notice thereof (the “</w:t>
      </w:r>
      <w:r>
        <w:rPr>
          <w:rFonts w:ascii="Times New Roman" w:cs="Times New Roman" w:eastAsia="Times New Roman" w:hAnsi="Times New Roman"/>
          <w:sz w:val="18"/>
          <w:szCs w:val="18"/>
          <w:u w:val="single" w:color="auto"/>
          <w:color w:val="auto"/>
        </w:rPr>
        <w:t>Notice of Proxy Access Nomination</w:t>
      </w:r>
      <w:r>
        <w:rPr>
          <w:rFonts w:ascii="Times New Roman" w:cs="Times New Roman" w:eastAsia="Times New Roman" w:hAnsi="Times New Roman"/>
          <w:sz w:val="18"/>
          <w:szCs w:val="18"/>
          <w:color w:val="auto"/>
        </w:rPr>
        <w:t xml:space="preserve">”) in proper written form to the Secretary. To be timely, the Notice of Proxy Access Nomination must be delivered to or be mailed and received by the Secretary at the principal executive offices of the Corporation not less than one hundred twenty (120) days nor more than one hundred fifty (150) days in advance of the anniversary of the date that the Corporation first distributed its proxy statement to stockholders for the previous year’s annual meeting of stockholders;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event the date of the annual meeting is more than thirty (30) days before or more than sixty (60) days after the first anniversary of the preceding year’s annual meeting, the Notice of Proxy Access Nomination must be so delivered to or be mailed and received by the Secretary not earlier than the close of business on the one hundred fiftieth (150th) day prior to the date of such annual meeting and not later than the close of business on the later of the one hundred twentieth (120th) day prior to the date of such annual meeting or the tenth (10th) day following the day on which public announcement of the date of such meeting is first made by the Corporation. In no event shall the adjournment or postponement of the annual meeting, or the public announcement of such an adjournment or postponement, commence a new time period (or extend any time period) for the giving of a Notice of Proxy Access Nomination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8" w:right="300" w:firstLine="1304"/>
        <w:spacing w:after="0" w:line="277" w:lineRule="auto"/>
        <w:tabs>
          <w:tab w:leader="none" w:pos="202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Permitted Number of Stockholder Nominees</w:t>
      </w:r>
      <w:r>
        <w:rPr>
          <w:rFonts w:ascii="Times New Roman" w:cs="Times New Roman" w:eastAsia="Times New Roman" w:hAnsi="Times New Roman"/>
          <w:sz w:val="17"/>
          <w:szCs w:val="17"/>
          <w:color w:val="auto"/>
        </w:rPr>
        <w:t>. The maximum number of Stockholder Nominees nominated by all Eligible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that will be included in the Corporation’s proxy materials with respect to an annual meeting of stockholders shall not exceed the greater of</w:t>
      </w:r>
    </w:p>
    <w:p>
      <w:pPr>
        <w:spacing w:after="0" w:line="1" w:lineRule="exact"/>
        <w:rPr>
          <w:rFonts w:ascii="Times New Roman" w:cs="Times New Roman" w:eastAsia="Times New Roman" w:hAnsi="Times New Roman"/>
          <w:sz w:val="17"/>
          <w:szCs w:val="17"/>
          <w:color w:val="auto"/>
        </w:rPr>
      </w:pPr>
    </w:p>
    <w:p>
      <w:pPr>
        <w:ind w:left="-8" w:right="20" w:firstLine="8"/>
        <w:spacing w:after="0" w:line="250" w:lineRule="auto"/>
        <w:tabs>
          <w:tab w:leader="none" w:pos="2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and (y) twenty percent (20%) of the number of directors in office as of the last day on which a Notice of Proxy Access Nomination may be delivered pursuant to and in accordance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Final Proxy Access Nomination Date</w:t>
      </w:r>
      <w:r>
        <w:rPr>
          <w:rFonts w:ascii="Times New Roman" w:cs="Times New Roman" w:eastAsia="Times New Roman" w:hAnsi="Times New Roman"/>
          <w:sz w:val="18"/>
          <w:szCs w:val="18"/>
          <w:color w:val="auto"/>
        </w:rPr>
        <w:t xml:space="preserve">”) or, if such amount is not a whole number, the closest whole number below twenty percent (20%) (such number, as it may be adjusted pursuant to this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Permitted Number</w:t>
      </w:r>
      <w:r>
        <w:rPr>
          <w:rFonts w:ascii="Times New Roman" w:cs="Times New Roman" w:eastAsia="Times New Roman" w:hAnsi="Times New Roman"/>
          <w:sz w:val="18"/>
          <w:szCs w:val="18"/>
          <w:color w:val="auto"/>
        </w:rPr>
        <w:t xml:space="preserve">”).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Permitted Number shall be calculated based on the number of directors in office as so reduced. In addition, the Permitted Number shall be reduced by (i) the number of individuals who will be included in the Corporation’s proxy materials as nominees recommended by the Board of Directors pursuant to an agreement, arrangement or other understanding with a stockholder or group of stockholders (other than any such agreement, arrangement or understanding entered into in connection with an acquisition of stock from the Corporation by such stockholder or group of stockholders) and (ii) the number of directors in office as of the Final Proxy Access Nomination Date who were included in the Corporation’s proxy materials as Stockholder Nominees for any of the two (2) preceding annual meetings of stockholders (including any persons counted as Stockholder Nominees pursuant to the immediately succeeding sentence) and whom the Board of Directors decides to nominate for reelection to the Board of Directors. For purposes of determining when the Permitted Number has been reached, any individual nominated by an Eligible Stockholder for inclusion in the Corporation’s proxy materials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whose nomination is subsequently withdrawn or whom the Board of Directors decides to nominate for election to the Board of Directors shall be counted as one of the Stockholder Nominees. Any Eligible Stockholder submitting more than one Stockholder Nominee for inclusion in the Corporation’s proxy materials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rank such Stockholder Nominees based on the order in which the Eligible Stockholder desires such Stockholder Nominees to be selected for inclusion in the Corporation’s proxy materials if the total number of Stockholder Nominees submitted by Eligible Stockholders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exceeds the Permitted Number. If the number of Stockholder Nominees submitted by Eligible Stockholders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exceeds the Permitted Number, the highest ranking Stockholder Nominee who meets the requirements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from each Eligible Stockholder will be selected for inclusion in the Corporation’s proxy materials until the Permitted Number is reached, going in order of the amount (largest to smallest) of shares of stock of the Corporation each Eligible Stockholder disclosed as owned in its Notice of Proxy Access Nomination. If the Permitted Number is not reached after the highest ranking Stockholder Nominee who meets the requirements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from each Eligible Stockholder has been selected, then the next highest ranking Stockholder Nominee who meets the requirements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from each Eligible Stockholder will be selected for inclusion in the Corporation’s proxy materials, and this process will continue as many times as necessary, following the same order each time, until the Permitted Number is reached. Notwithstanding anything to the contrary contained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Corporation shall not be required to include any Stockholder Nominees in its proxy materials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with respect to any meeting of stockholders for which the Secretary receives notice that a stockholder intends to nominate one or more persons for election to the Board of Directors pursuant to the advance notice requirements for stockholder nominees set forth in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w:t>
      </w:r>
    </w:p>
    <w:p>
      <w:pPr>
        <w:spacing w:after="0" w:line="36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9" w:right="339" w:bottom="1440" w:gutter="0" w:footer="0" w:header="0"/>
        </w:sectPr>
      </w:pPr>
    </w:p>
    <w:bookmarkStart w:id="25" w:name="page26"/>
    <w:bookmarkEnd w:id="25"/>
    <w:p>
      <w:pPr>
        <w:ind w:left="-20" w:firstLine="1304"/>
        <w:spacing w:after="0" w:line="25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Eligible Stockholder</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Eligible Stockholder</w:t>
      </w:r>
      <w:r>
        <w:rPr>
          <w:rFonts w:ascii="Times New Roman" w:cs="Times New Roman" w:eastAsia="Times New Roman" w:hAnsi="Times New Roman"/>
          <w:sz w:val="18"/>
          <w:szCs w:val="18"/>
          <w:color w:val="auto"/>
        </w:rPr>
        <w:t>” is a stockholder or group of no more than twenty (20) stockholders (counting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one stockholder, for this purpose, any two (2) or more funds that are part of the same Qualifying Fund Group (as defined below)) that (i) has owned (as defined in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continuously for at least three (3) years immediately preceding the date of the Notice of Proxy Access Nomination (the “</w:t>
      </w:r>
      <w:r>
        <w:rPr>
          <w:rFonts w:ascii="Times New Roman" w:cs="Times New Roman" w:eastAsia="Times New Roman" w:hAnsi="Times New Roman"/>
          <w:sz w:val="18"/>
          <w:szCs w:val="18"/>
          <w:u w:val="single" w:color="auto"/>
          <w:color w:val="auto"/>
        </w:rPr>
        <w:t>Minimum Holding Period</w:t>
      </w:r>
      <w:r>
        <w:rPr>
          <w:rFonts w:ascii="Times New Roman" w:cs="Times New Roman" w:eastAsia="Times New Roman" w:hAnsi="Times New Roman"/>
          <w:sz w:val="18"/>
          <w:szCs w:val="18"/>
          <w:color w:val="auto"/>
        </w:rPr>
        <w:t xml:space="preserve">”) a number of shares of stock of the Corporation that represents at least three percent (3%) of the voting power of the outstanding shares of all classes of capital stock entitled to vote in the election of directors, voting together as a single class, as of the date the Notice of Proxy Access Nomination is received by the Secretary at the principal executive offices of the Corporation in accordance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Required Shares</w:t>
      </w:r>
      <w:r>
        <w:rPr>
          <w:rFonts w:ascii="Times New Roman" w:cs="Times New Roman" w:eastAsia="Times New Roman" w:hAnsi="Times New Roman"/>
          <w:sz w:val="18"/>
          <w:szCs w:val="18"/>
          <w:color w:val="auto"/>
        </w:rPr>
        <w:t xml:space="preserve">”), (ii) continues to own the Required Shares through the date of the applicable annual meeting and (iii) satisfies all other requirements of, and complies with all applicable procedures set forth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Qualifying Fund Group</w:t>
      </w:r>
      <w:r>
        <w:rPr>
          <w:rFonts w:ascii="Times New Roman" w:cs="Times New Roman" w:eastAsia="Times New Roman" w:hAnsi="Times New Roman"/>
          <w:sz w:val="18"/>
          <w:szCs w:val="18"/>
          <w:color w:val="auto"/>
        </w:rPr>
        <w:t xml:space="preserve">” means two (2) or more funds that are (A) under common management and investment control, (B) under common management and funded primarily by the same employer or (C) a “group of investment companies” as such term is defined in Section 12(d)(1)(G)(ii) of the Investment Company Act of 1940, as amended. Whenever the Eligible Stockholder consists of a group of stockholders (including a group of funds that are part of the same Qualifying Fund Group), (x) each provision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that requires the Eligible Stockholder to provide any written statements, representations, undertakings, agreements or other instruments or to meet any other conditions (including the Minimum Holding Period)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 shares that each member has owned continuously for the Minimum Holding Period in order to meet the three percent (3%) ownership requirement of the “Required Shares” definition) and (y) a breach of any obligation, agreement or representation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by any member of such group shall be deemed a breach by the Eligible Stockholder. No person may be a member of more than one group of stockholders constituting an Eligible Stockholder with respect to any annual meeting.</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26" w:name="page27"/>
    <w:bookmarkEnd w:id="26"/>
    <w:p>
      <w:pPr>
        <w:ind w:firstLine="1304"/>
        <w:spacing w:after="0" w:line="252" w:lineRule="auto"/>
        <w:tabs>
          <w:tab w:leader="none" w:pos="20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Ownership</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an Eligible Stockholder shall be deemed to “own” only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shares of stock of the Corporation as to which the stockholder possesses both (i) the full voting and investment rights pertaining to the shares and (ii) the full economic interest in (including the opportunity for profit from and risk of loss on)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calculated in accordance with clauses (i) and (ii) shall not include any shares (x) sold by such stockholder or any of its affiliates in any transaction that has not been settled or closed, (y) borrowed by such stockholder or any of its affiliates for any purposes or purchased by such stockholder or any of its affiliates pursuant to an agreement to resell or (z)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any gain or loss realized or realizable from maintaining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stockholder has loaned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stockholder has the power to recall such loaned shares on five (5) business days’ notice and includes in the Notice of Proxy Access Nomination an agreement that it (A) will promptly recall such loaned shares upon being notified that any of its Stockholder Nominees will be included in the Corporation’s proxy materials and (B) will continue to hold such recalled shares through the date of the annual meeting or (ii) the stockholder has delegated any voting power by means of a proxy, power of attorney or other instrument or arrangement which is revocable at any time by the stockholder. The terms “owned,” “owning” and other variations of the word “own” shall have correlative meanings. Whether outstanding shares of stock of the Corporation are “owned” for these purposes shall be determined by the Board of Directors.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term “affiliate” or “affiliates” shall have the meaning ascribed thereto under the General Rules and Regulations under the Exchange Act.</w:t>
      </w:r>
    </w:p>
    <w:p>
      <w:pPr>
        <w:spacing w:after="0" w:line="18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Notice</w:t>
      </w:r>
      <w:r>
        <w:rPr>
          <w:rFonts w:ascii="Times New Roman" w:cs="Times New Roman" w:eastAsia="Times New Roman" w:hAnsi="Times New Roman"/>
          <w:sz w:val="18"/>
          <w:szCs w:val="18"/>
          <w:color w:val="auto"/>
        </w:rPr>
        <w:t>. To be in proper written form, the Notice of Proxy Access Nomination must include or be accompanied by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660" w:right="160" w:firstLine="644"/>
        <w:spacing w:after="0" w:line="258" w:lineRule="auto"/>
        <w:tabs>
          <w:tab w:leader="none" w:pos="20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by the Eligible Stockholder certifying as to the number of shares it owns and has owned continuously for the Minimum Holding Period, and the Eligible Stockholder’s agreement to provide (A) within five (5) business days following the later of the record date for the annual meeting or the date notice of the record date is first publicly disclosed, a written statement by the Eligible Stockholder certifying as to the number of shares it owns and has owned continuously through the record date and (B) immediate notice if the Eligible Stockholder ceases to own any of the Required Shares prior to the date of the annual meeting;</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7" w:name="page28"/>
    <w:bookmarkEnd w:id="27"/>
    <w:p>
      <w:pPr>
        <w:ind w:left="4" w:right="60" w:firstLine="644"/>
        <w:spacing w:after="0" w:line="255" w:lineRule="auto"/>
        <w:tabs>
          <w:tab w:leader="none" w:pos="13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Required Shares (and from each intermediary through which the Required Shares are or have been held during the Minimum Holding Period) verifying that, as of a date within seven (7) calendar days prior to the date the Notice of Proxy Access Nomination is delivered to or mailed and received by the Secretary, the Eligible Stockholder owns, and has owned continuously for the Minimum Holding Period, the Required Shares, and the Eligible Stockholder’s agreement to provide, within five</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later of the record date for the annual meeting or the date notice of the record date is first publicly disclosed, one or more written statements from the record holder and such intermediaries verifying the Eligible Stockholder’s continuous ownership of the Required Shares through the record date;</w:t>
      </w:r>
    </w:p>
    <w:p>
      <w:pPr>
        <w:spacing w:after="0" w:line="185" w:lineRule="exact"/>
        <w:rPr>
          <w:rFonts w:ascii="Times New Roman" w:cs="Times New Roman" w:eastAsia="Times New Roman" w:hAnsi="Times New Roman"/>
          <w:sz w:val="18"/>
          <w:szCs w:val="18"/>
          <w:color w:val="auto"/>
        </w:rPr>
      </w:pPr>
    </w:p>
    <w:p>
      <w:pPr>
        <w:ind w:left="4" w:right="140" w:firstLine="644"/>
        <w:spacing w:after="0" w:line="239" w:lineRule="exact"/>
        <w:tabs>
          <w:tab w:leader="none" w:pos="13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that has been or is concurrently being filed with the U.S. Securities and Exchange Commission as required by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under the Exchange Act;</w:t>
      </w:r>
    </w:p>
    <w:p>
      <w:pPr>
        <w:spacing w:after="0" w:line="170" w:lineRule="exact"/>
        <w:rPr>
          <w:rFonts w:ascii="Times New Roman" w:cs="Times New Roman" w:eastAsia="Times New Roman" w:hAnsi="Times New Roman"/>
          <w:sz w:val="18"/>
          <w:szCs w:val="18"/>
          <w:color w:val="auto"/>
        </w:rPr>
      </w:pPr>
    </w:p>
    <w:p>
      <w:pPr>
        <w:ind w:left="4" w:right="120" w:firstLine="644"/>
        <w:spacing w:after="0" w:line="261" w:lineRule="auto"/>
        <w:tabs>
          <w:tab w:leader="none" w:pos="13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statements, representations, agreements and other documents that would be required to be set forth in or included with a stockholder’s notice of a nomination pursuant to </w:t>
      </w:r>
      <w:r>
        <w:rPr>
          <w:rFonts w:ascii="Times New Roman" w:cs="Times New Roman" w:eastAsia="Times New Roman" w:hAnsi="Times New Roman"/>
          <w:sz w:val="18"/>
          <w:szCs w:val="18"/>
          <w:u w:val="single" w:color="auto"/>
          <w:color w:val="auto"/>
        </w:rPr>
        <w:t>Section 1.14(c)</w:t>
      </w:r>
      <w:r>
        <w:rPr>
          <w:rFonts w:ascii="Times New Roman" w:cs="Times New Roman" w:eastAsia="Times New Roman" w:hAnsi="Times New Roman"/>
          <w:sz w:val="18"/>
          <w:szCs w:val="18"/>
          <w:color w:val="auto"/>
        </w:rPr>
        <w:t xml:space="preserve"> (other than the representation set forth in </w:t>
      </w:r>
      <w:r>
        <w:rPr>
          <w:rFonts w:ascii="Times New Roman" w:cs="Times New Roman" w:eastAsia="Times New Roman" w:hAnsi="Times New Roman"/>
          <w:sz w:val="18"/>
          <w:szCs w:val="18"/>
          <w:u w:val="single" w:color="auto"/>
          <w:color w:val="auto"/>
        </w:rPr>
        <w:t>Section 1.14(c)(i)(M)</w:t>
      </w:r>
      <w:r>
        <w:rPr>
          <w:rFonts w:ascii="Times New Roman" w:cs="Times New Roman" w:eastAsia="Times New Roman" w:hAnsi="Times New Roman"/>
          <w:sz w:val="18"/>
          <w:szCs w:val="18"/>
          <w:color w:val="auto"/>
        </w:rPr>
        <w:t>), together with the written consent of each Stockholder Nominee to being named in any proxy statement and other proxy materials for the applicable meeting as a nominee and to serve as a director if elected;</w:t>
      </w:r>
    </w:p>
    <w:p>
      <w:pPr>
        <w:spacing w:after="0" w:line="179" w:lineRule="exact"/>
        <w:rPr>
          <w:rFonts w:ascii="Times New Roman" w:cs="Times New Roman" w:eastAsia="Times New Roman" w:hAnsi="Times New Roman"/>
          <w:sz w:val="18"/>
          <w:szCs w:val="18"/>
          <w:color w:val="auto"/>
        </w:rPr>
      </w:pPr>
    </w:p>
    <w:p>
      <w:pPr>
        <w:ind w:left="4" w:right="80" w:firstLine="644"/>
        <w:spacing w:after="0" w:line="218" w:lineRule="exact"/>
        <w:tabs>
          <w:tab w:leader="none" w:pos="135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representation that the Eligible Stockholder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other than the Stockholder Nominee(s) it is nominating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(D) has not engaged and will not engage in, and has not and will not be a “participant” in another person’s, “solicitation” within the meaning of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1(l) under the Exchange Act in support of the election of any individual as a director at the annual meeting other than its Stockholder Nominee(s) or a nominee of the Board of Directors, (E) has not distributed and will not distribute to any stockholder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and (G)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344"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8" w:name="page29"/>
    <w:bookmarkEnd w:id="28"/>
    <w:p>
      <w:pPr>
        <w:ind w:left="640" w:firstLine="644"/>
        <w:spacing w:after="0" w:line="282" w:lineRule="auto"/>
        <w:tabs>
          <w:tab w:leader="none" w:pos="20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indicating whether the Eligible Stockholder intends to continue to own the Required Shares for at least one (1) year following the annual meeting;</w:t>
      </w:r>
    </w:p>
    <w:p>
      <w:pPr>
        <w:spacing w:after="0" w:line="161" w:lineRule="exact"/>
        <w:rPr>
          <w:rFonts w:ascii="Times New Roman" w:cs="Times New Roman" w:eastAsia="Times New Roman" w:hAnsi="Times New Roman"/>
          <w:sz w:val="18"/>
          <w:szCs w:val="18"/>
          <w:color w:val="auto"/>
        </w:rPr>
      </w:pPr>
    </w:p>
    <w:p>
      <w:pPr>
        <w:ind w:left="640" w:right="40" w:firstLine="644"/>
        <w:spacing w:after="0" w:line="254" w:lineRule="auto"/>
        <w:tabs>
          <w:tab w:leader="none" w:pos="20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undertaking that the Eligible Stockholder agrees to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any solicitation or other activity in connection therewith and (C) file with the U.S. Securities and Exchange Commission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188" w:lineRule="exact"/>
        <w:rPr>
          <w:rFonts w:ascii="Times New Roman" w:cs="Times New Roman" w:eastAsia="Times New Roman" w:hAnsi="Times New Roman"/>
          <w:sz w:val="18"/>
          <w:szCs w:val="18"/>
          <w:color w:val="auto"/>
        </w:rPr>
      </w:pPr>
    </w:p>
    <w:p>
      <w:pPr>
        <w:ind w:left="640" w:right="220" w:firstLine="644"/>
        <w:spacing w:after="0" w:line="261" w:lineRule="auto"/>
        <w:tabs>
          <w:tab w:leader="none" w:pos="20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nomination by a group of stockholders together constituting an Eligible Stockholder, the designation by all group members of one (1) member of the group that is authorized to receive communications, notices and inquiries from the Corporation and to act on behalf of all members of the group with respect to all matters relating to the nomination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(including withdrawal of the nomination); and</w:t>
      </w:r>
    </w:p>
    <w:p>
      <w:pPr>
        <w:spacing w:after="0" w:line="179" w:lineRule="exact"/>
        <w:rPr>
          <w:rFonts w:ascii="Times New Roman" w:cs="Times New Roman" w:eastAsia="Times New Roman" w:hAnsi="Times New Roman"/>
          <w:sz w:val="18"/>
          <w:szCs w:val="18"/>
          <w:color w:val="auto"/>
        </w:rPr>
      </w:pPr>
    </w:p>
    <w:p>
      <w:pPr>
        <w:jc w:val="both"/>
        <w:ind w:left="640" w:right="180" w:firstLine="644"/>
        <w:spacing w:after="0" w:line="289" w:lineRule="auto"/>
        <w:tabs>
          <w:tab w:leader="none" w:pos="199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by a group of stockholders together constituting an Eligible Stockholder in which two (2) or more funds that are part of the same Qualifying Fund Group are counted as one (1) stockholder for purposes of qualifying as an Eligible Stockholder, documentation reasonably satisfactory to the Corporation that demonstrates that the funds are part of the same Qualifying Fund Group.</w:t>
      </w:r>
    </w:p>
    <w:p>
      <w:pPr>
        <w:spacing w:after="0" w:line="156" w:lineRule="exact"/>
        <w:rPr>
          <w:sz w:val="20"/>
          <w:szCs w:val="20"/>
          <w:color w:val="auto"/>
        </w:rPr>
      </w:pPr>
    </w:p>
    <w:p>
      <w:pPr>
        <w:ind w:left="-20" w:right="60" w:firstLine="1304"/>
        <w:spacing w:after="0" w:line="25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Required Information. </w:t>
      </w:r>
      <w:r>
        <w:rPr>
          <w:rFonts w:ascii="Times New Roman" w:cs="Times New Roman" w:eastAsia="Times New Roman" w:hAnsi="Times New Roman"/>
          <w:sz w:val="18"/>
          <w:szCs w:val="18"/>
          <w:color w:val="auto"/>
        </w:rPr>
        <w:t>In addition to the information required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2.16(f)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other provision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Bylaws, (i) the Corporation may require any proposed Stockholder Nominee to furnish any other information (A) that may reasonably be required by the Corporation to determine whether the Stockholder Nominee would be independent under the Independence Standards, (B) that could be material to a reasonable stockholder’s understanding of the independence, or lack thereof, of such Stockholder Nominee or (C) that may reasonably be required by the Corporation to determine the eligibility of such Stockholder Nominee to serve as a director of the Corporation, and (ii) the Corporation may require the Eligible Stockholder to furnish any other information that may reasonably be required by the Corporation to verify the Eligible Stockholder’s continuous ownership of the Required Shares for the Minimum Holding Period.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9" w:name="page30"/>
    <w:bookmarkEnd w:id="29"/>
    <w:p>
      <w:pPr>
        <w:ind w:left="-8" w:right="160" w:firstLine="1304"/>
        <w:spacing w:after="0" w:line="257" w:lineRule="auto"/>
        <w:tabs>
          <w:tab w:leader="none" w:pos="19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Supporting Statement</w:t>
      </w:r>
      <w:r>
        <w:rPr>
          <w:rFonts w:ascii="Times New Roman" w:cs="Times New Roman" w:eastAsia="Times New Roman" w:hAnsi="Times New Roman"/>
          <w:sz w:val="18"/>
          <w:szCs w:val="18"/>
          <w:color w:val="auto"/>
        </w:rPr>
        <w:t>. The Eligible Stockholder may, at its option, provide to the Secretary, at the time the Notice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Nomination is provided, a written statement, not to exceed 500 words, in support of the Stockholder Nominee(s)’ candidacy (a “</w:t>
      </w:r>
      <w:r>
        <w:rPr>
          <w:rFonts w:ascii="Times New Roman" w:cs="Times New Roman" w:eastAsia="Times New Roman" w:hAnsi="Times New Roman"/>
          <w:sz w:val="18"/>
          <w:szCs w:val="18"/>
          <w:u w:val="single" w:color="auto"/>
          <w:color w:val="auto"/>
        </w:rPr>
        <w:t>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Only one (1) Supporting Statement may be submitted by an Eligible Stockholder (including any group of stockholders together constituting an Eligible Stockholder) in support of its Stockholder Nominee(s). Notwithstanding anything to the contrary contained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Corporation may omit from its proxy materials any information or Supporting Statement (or portion thereof) that it, in good faith, believes would violate any applicable law or regulation.</w:t>
      </w:r>
    </w:p>
    <w:p>
      <w:pPr>
        <w:spacing w:after="0" w:line="182" w:lineRule="exact"/>
        <w:rPr>
          <w:rFonts w:ascii="Times New Roman" w:cs="Times New Roman" w:eastAsia="Times New Roman" w:hAnsi="Times New Roman"/>
          <w:sz w:val="18"/>
          <w:szCs w:val="18"/>
          <w:color w:val="auto"/>
        </w:rPr>
      </w:pPr>
    </w:p>
    <w:p>
      <w:pPr>
        <w:ind w:left="-8" w:firstLine="1304"/>
        <w:spacing w:after="0" w:line="255" w:lineRule="auto"/>
        <w:tabs>
          <w:tab w:leader="none" w:pos="19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Correction of Defects</w:t>
      </w:r>
      <w:r>
        <w:rPr>
          <w:rFonts w:ascii="Times New Roman" w:cs="Times New Roman" w:eastAsia="Times New Roman" w:hAnsi="Times New Roman"/>
          <w:sz w:val="18"/>
          <w:szCs w:val="18"/>
          <w:color w:val="auto"/>
        </w:rPr>
        <w:t>. If any information or communications provided by an Eligible Stockholder or a Stockholder Nominee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Corporation or its stockholders ceases to be true and correct in all material respects or omits to state a material fact necessary to make the statements made, in light of the circumstances under which they were made, not misleading, such Eligible Stockholder or Stockholder Nominee, as the case may be, shall promptly notify the Secretary of any defect in such previously provided information and of the information that is required to correct any such defect; it being understood that providing such notification shall not be deemed to cure any such defect or limit the remedies available to the Corporation relating to any such defect (including the right to omit a Stockholder Nominee from its proxy materials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limit the Corporation’s ability to solicit against any such Stockholder Nominee or include in its proxy materials its own statements relating to any Eligible Stockholder or Stockholder Nominee.</w:t>
      </w:r>
    </w:p>
    <w:p>
      <w:pPr>
        <w:spacing w:after="0" w:line="184" w:lineRule="exact"/>
        <w:rPr>
          <w:rFonts w:ascii="Times New Roman" w:cs="Times New Roman" w:eastAsia="Times New Roman" w:hAnsi="Times New Roman"/>
          <w:sz w:val="18"/>
          <w:szCs w:val="18"/>
          <w:color w:val="auto"/>
        </w:rPr>
      </w:pPr>
    </w:p>
    <w:p>
      <w:pPr>
        <w:ind w:left="-8" w:firstLine="1304"/>
        <w:spacing w:after="0" w:line="254" w:lineRule="auto"/>
        <w:tabs>
          <w:tab w:leader="none" w:pos="19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Nominee Eligibility</w:t>
      </w:r>
      <w:r>
        <w:rPr>
          <w:rFonts w:ascii="Times New Roman" w:cs="Times New Roman" w:eastAsia="Times New Roman" w:hAnsi="Times New Roman"/>
          <w:sz w:val="18"/>
          <w:szCs w:val="18"/>
          <w:color w:val="auto"/>
        </w:rPr>
        <w:t>. Notwithstanding anything to the contrary contained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Corporation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be required to include in its proxy materials,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any Stockholder Nominee (i) who would not be an independent director under the Independence Standards, (ii) whose election as a member of the Board of Directors would cause the Corporation to be in violation of these Bylaws, the Certificate of Incorporation, the rules and listing standards of the principal United States securities exchanges upon which the stock of the Corporation is listed or traded, or any applicable state or federal law, rule or regulation, (iii) who is or has been, within the past three (3) years, an officer or director of a competitor, as defined in Section 8 of the Clayton Antitrust Act of 1914, (iv) who is a named subject of a pending criminal proceeding (excluding traffic violations and other minor offenses) or has been convicted in such a criminal proceeding within the past ten (10) years, (v) who is subject to any order of the type specified in Rule 506(d) of Regulation D promulgated under the U.S. Securities Act of 1933, as amended, or (vi) who shall have provided any information to the Corporation or its stockholders that was untrue in any material respect or that omitted to state a material fact necessary to make the statements made, in light of the circumstances in which they were made, not misleading.</w:t>
      </w:r>
    </w:p>
    <w:p>
      <w:pPr>
        <w:spacing w:after="0" w:line="185" w:lineRule="exact"/>
        <w:rPr>
          <w:rFonts w:ascii="Times New Roman" w:cs="Times New Roman" w:eastAsia="Times New Roman" w:hAnsi="Times New Roman"/>
          <w:sz w:val="18"/>
          <w:szCs w:val="18"/>
          <w:color w:val="auto"/>
        </w:rPr>
      </w:pPr>
    </w:p>
    <w:p>
      <w:pPr>
        <w:ind w:left="-8" w:right="20" w:firstLine="1304"/>
        <w:spacing w:after="0" w:line="262" w:lineRule="auto"/>
        <w:tabs>
          <w:tab w:leader="none" w:pos="199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Invalid Nominations</w:t>
      </w:r>
      <w:r>
        <w:rPr>
          <w:rFonts w:ascii="Times New Roman" w:cs="Times New Roman" w:eastAsia="Times New Roman" w:hAnsi="Times New Roman"/>
          <w:sz w:val="18"/>
          <w:szCs w:val="18"/>
          <w:color w:val="auto"/>
        </w:rPr>
        <w:t>. Notwithstanding anything to the contrary set forth herein, if (i) a Stockholder Nominee and/or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Eligible Stockholder breaches any of these agreements or representations or fails to comply with any of its obligations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w:t>
      </w:r>
    </w:p>
    <w:p>
      <w:pPr>
        <w:ind w:left="-8" w:firstLine="8"/>
        <w:spacing w:after="0" w:line="251" w:lineRule="auto"/>
        <w:tabs>
          <w:tab w:leader="none" w:pos="2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Nominee otherwise becomes ineligible for inclusion in the Corporation’s proxy materials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dies, becomes disabled or otherwise becomes ineligible or unavailable for election at the annual meeting, in each case as determined by the Board of Directors or the chair of the annual meeting, (x)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(y) the Corporation shall not be required to include in its proxy materials any successor or replacement nominee proposed by the applicable Eligible Stockholder or any other Eligible Stockholder and (z) the Board of Directors or the chair of the annual meeting shall declare such nomination to be invalid and such nomination shall be disregarded notwithstanding that proxies in respect of such vote may have been received by the Corporation. In addition, if the Eligible Stockholder (or any Qualified Representative thereof) does not appear at the annual meeting to present any nomination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such nomination shall be declared invalid and disregarded as provided in clause (z) above.</w:t>
      </w:r>
    </w:p>
    <w:p>
      <w:pPr>
        <w:spacing w:after="0" w:line="3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9" w:right="359" w:bottom="1440" w:gutter="0" w:footer="0" w:header="0"/>
        </w:sectPr>
      </w:pPr>
    </w:p>
    <w:bookmarkStart w:id="30" w:name="page31"/>
    <w:bookmarkEnd w:id="30"/>
    <w:p>
      <w:pPr>
        <w:ind w:right="60" w:firstLine="1304"/>
        <w:spacing w:after="0" w:line="277" w:lineRule="auto"/>
        <w:tabs>
          <w:tab w:leader="none" w:pos="200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Restrictions on Re-Nominations</w:t>
      </w:r>
      <w:r>
        <w:rPr>
          <w:rFonts w:ascii="Times New Roman" w:cs="Times New Roman" w:eastAsia="Times New Roman" w:hAnsi="Times New Roman"/>
          <w:sz w:val="17"/>
          <w:szCs w:val="17"/>
          <w:color w:val="auto"/>
        </w:rPr>
        <w:t>. Any Stockholder Nominee who is included in the Corporation’s proxy materials for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particular annual meeting of stockholders but either (i) withdraws from or becomes ineligible or unavailable for election at the annual meeting, or (ii) does not receive at least twenty-five percent (25%) of the votes cast in favor of such Stockholder Nominee’s election, will be ineligible to be a Stockholder Nominee pursuant to this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for the next two (2) annual meetings of stockholders. For the avoidance of doubt, the immediately preceding sentence shall not prevent any stockholder from nominating any person to the Board of Directors pursuant to and in accordance with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right="160" w:firstLine="1304"/>
        <w:spacing w:after="0" w:line="284" w:lineRule="auto"/>
        <w:tabs>
          <w:tab w:leader="none" w:pos="20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Method</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the exclusive method for a stockholder to include nominees for election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 the Corporation’s proxy materials.</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Compliance with Procedures.</w:t>
      </w:r>
      <w:r>
        <w:rPr>
          <w:rFonts w:ascii="Times New Roman" w:cs="Times New Roman" w:eastAsia="Times New Roman" w:hAnsi="Times New Roman"/>
          <w:sz w:val="18"/>
          <w:szCs w:val="18"/>
          <w:color w:val="auto"/>
        </w:rPr>
        <w:t xml:space="preserve"> If the chair of the annual meeting determines that a nomination of any candidate for election as a director was not made in accordance with the applicable provisions of these Bylaws, such nomination shall be void. Notwithstanding anything in these Bylaws to the contrary, unless otherwise required by law, if a stockholder intending to make a nomination at an annual or special meeting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an Eligible Stockholder intending to make a nomination pursuant to a Notice of Proxy Access Nomination at an annual meeting does not provide the notice and information required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as applicable, to the Corporation (including providing the updated information required by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by the deadlines specified therein), the stockholder otherwise fails to comply with the representations or other requirements of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as applicable, or the stockholder (or a Qualified Representative of such stockholder) does not appear at the meeting to present the nomination, such nomination shall be disregarded, notwithstanding that proxies in respect of such nomination may have been received by the Corporation.</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1" w:name="page32"/>
    <w:bookmarkEnd w:id="31"/>
    <w:p>
      <w:pPr>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xml:space="preserve"> To be eligible to be a nominee for election or reelection as a director of the Corporation, a person must deliver (in the case of a person nominated by a stockholder in accordance with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accordance with the time periods prescribed for delivery of notice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as applicable)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transaction,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xml:space="preserve">”)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transaction, agreement, arrangement or understanding with any person or entity other than the Corporation with respect to any direct or indirect compensation, reimbursement or indemnification in connection with service or action as a director that has not been disclosed therein, (c) in such person’s individual capacity and on behalf of any person or entity on whose behalf, directly or indirectly, the nomination is being made, would be in compliance, if elected as a director of the Corporation, and will comply with, applicable law and all applicable publicly disclosed corporate governance, conflict of interest, corporate opportunities, confidentiality and stock ownership and trading policies and guidelines of the Corporation, (d) will abide by the requirements of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 xml:space="preserve"> and (e) consents to being named as a nominee in any proxy statement and other proxy materials for the applicable meeting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4(d) under the Exchange Act and any associated proxy card and agrees to serve if elected as a director.</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Election; Term of Office; Appointments.</w:t>
      </w:r>
      <w:r>
        <w:rPr>
          <w:rFonts w:ascii="Times New Roman" w:cs="Times New Roman" w:eastAsia="Times New Roman" w:hAnsi="Times New Roman"/>
          <w:sz w:val="18"/>
          <w:szCs w:val="18"/>
          <w:color w:val="auto"/>
        </w:rPr>
        <w:t xml:space="preserve"> The elected officers of the Corporation, which shall be elected by the Board of Directors, shall be a Chief Executive Officer, a President, a Treasurer, a Secretary and such other officers (including, without limitation, a Chief Financial Officer) as the Board of Directors from time to time may deem proper. All officers elected by the Board of Directors shall each have such powers and duties as generally pertain to their respective offices, subject to the specific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Such officers shall also have such powers and duties as from time to time may be conferred by the Board of Directors or by any committee thereof. The Board of Directors (or any committee thereof) may from time to time elect, or the Chair of the Board of Directors, the Chief Executive Officer or President may appoint, such other officers (including one or more Executive Vice Presidents, Senior Vice Presidents, Vice Presidents, Assistant Secretaries, Assistant Treasurers, and Assistant Controllers)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 of the Board of Directors, the Chief Executive Officer or President, as the case may be. Officers of the Corporation shall hold office until their successors are chosen and qualify in their stead or until their earlier death, resignation or removal, and shall perform such duties as from time to time shall be prescribed by these Bylaws and by the Board and, to the extent not so provided, as generally pertain to their respective offices. Two (2) or more offices may be held by the same person.</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xml:space="preserve"> Any officer elected or appointed by the Board of Directors may be removed from office with or without cause at any time by the affirmative vote of a majority of the Whole Board, unless otherwise provided by resolution of the Board of Directors. Any officer or agent appointed by the Chair of the Board of Directors, the Chief Executive Officer or the President may be removed from office with or without cause at any time by such person, unless otherwise provided by resolution of the Board of Directors, or by the affirmative vote of a majority of the Whole Board. Any officer may resign at any time upon written notice to the Corporation.</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A newly created elected office and a vacancy in any elected office because of death, resignation, or removal may be filled by the Board of Directors. Any vacancy in an office appointed by the Chair of the Board of Directors, the Chief Executive Officer or the President because of death, resignation, or removal may be filled by the Chair of the Board of Directors, the Chief Executive Officer, the President, as applicable, or by the Board of Directors.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Chair of the Board of Directors.</w:t>
      </w:r>
      <w:r>
        <w:rPr>
          <w:rFonts w:ascii="Times New Roman" w:cs="Times New Roman" w:eastAsia="Times New Roman" w:hAnsi="Times New Roman"/>
          <w:sz w:val="18"/>
          <w:szCs w:val="18"/>
          <w:color w:val="auto"/>
        </w:rPr>
        <w:t xml:space="preserve"> The Chair of the Board of Directors shall be elected by the Board of Directors. The Board of Directors may determine whether the Chair of the Board of Directors is an executive Chair or non-executive Chair. Unless otherwise determined by the Board of Directors, an executive Chair shall be deemed to be an officer of the Corporation. The Board of Directors may at any time and for any reason designate another director to serve as Chair of the Board of Directors and may determine whether any Chair of the Board of Directors shall be or cease to be an executive Chair. The Chair of the Board of Directors shall preside at all meetings of the stockholders and of the Board of Directors and shall perform such duties and exercise such powers as from time to time shall be prescribed by these Bylaws or by the Board of Directors.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President and/or Chief Executive Officer.</w:t>
      </w:r>
      <w:r>
        <w:rPr>
          <w:rFonts w:ascii="Times New Roman" w:cs="Times New Roman" w:eastAsia="Times New Roman" w:hAnsi="Times New Roman"/>
          <w:sz w:val="18"/>
          <w:szCs w:val="18"/>
          <w:color w:val="auto"/>
        </w:rPr>
        <w:t xml:space="preserve"> The President or Chief Executive Officer, in the absence of the Chair of the Board of Directors, shall preside at meetings of the Board of Directors. The President and/or Chief Executive Officer shall have general supervision of the business of the Corporation and shall see that all orders and resolutions of the Board of Directors are carried into effect. The President and/or Chief Executive Officer shall have the power to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or Chief Executive Officer. The President and/or Chief Executive Officer shall have such authority and perform such duties in the management of the Corporation as from time to time shall be prescribed by the Board of Directors and, to the extent not so prescribed, he or she shall have such authority and perform such duties in the management of the Corporation, subject to the control of the Board, as generally pertain to the office of President or Chief Executive Officer.</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Executive Vice Presidents, Senior Vice Presidents and Vice Presidents.</w:t>
      </w:r>
      <w:r>
        <w:rPr>
          <w:rFonts w:ascii="Times New Roman" w:cs="Times New Roman" w:eastAsia="Times New Roman" w:hAnsi="Times New Roman"/>
          <w:sz w:val="18"/>
          <w:szCs w:val="18"/>
          <w:color w:val="auto"/>
        </w:rPr>
        <w:t xml:space="preserve"> Executive Vice Presidents, Senior Vice Presidents and Vice Presidents and/or such other officers/titles as established from time to time shall perform such duties as from time to time shall be prescribed by these Bylaws, by the Board of Directors, by the Chair of the Board of Directors or by the Chief Executive Officer or President, and, except as otherwise prescribed by the Board of Directors, they shall have such powers and duties as generally pertain to such office.</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xml:space="preserve"> The Secretary or person appointed as secretary at all meetings of the Board of Directors and of the stockholders shall record all votes and the minutes of all proceedings in a book to be kept for that purpose, and he or she shall perform like duties for the committees of the Board when required. The Secretary shall give, or cause to be given, notice of all meetings of the stockholders and of the Board of Directors, if required.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and records pertaining to meetings and proceedings of the Board of Directors (and any committee thereof) and of the stockholders required by law to be kept or filed are properly kept or filed, as the case may be. The Secretary shall perform such other duties as may be prescribed by these Bylaws or as may be assigned to him or her by the Board of Directors, Chair of the Board of Directors or the Chief Executive Officer or President, and, except as otherwise prescribed by the Board of Directors, he or she shall have such powers and duties as generally pertain to the office of Secretary.</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xml:space="preserve"> The Treasurer shall have responsibility for the Corporation’s funds and securities. He or she shall perform such other duties as may be prescribed by these Bylaws or as may be assigned to him or her by the Chair of the Board of Directors, the President or Chief Executive Officer or the Board of Directors, and, except as otherwise prescribed by the Board of Directors, he or she shall have such powers and duties as generally pertain to the office of Treasurer.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29" w:lineRule="exact"/>
        <w:rPr>
          <w:sz w:val="20"/>
          <w:szCs w:val="20"/>
          <w:color w:val="auto"/>
        </w:rPr>
      </w:pPr>
    </w:p>
    <w:p>
      <w:pPr>
        <w:jc w:val="both"/>
        <w:ind w:right="6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The shares of the Corporation shall be represented by certificates in such form as the appropriate officers of the Corporation may from time to time prescribe or shall be uncertificated. If shares shall be represented by certificates, then such certificates shall be numbered and registered, shall exhibit the holder’s name and the number of shares, and shall be signed in the name of the Corporation by any two</w:t>
      </w:r>
    </w:p>
    <w:p>
      <w:pPr>
        <w:spacing w:after="0" w:line="1" w:lineRule="exact"/>
        <w:rPr>
          <w:sz w:val="20"/>
          <w:szCs w:val="20"/>
          <w:color w:val="auto"/>
        </w:rPr>
      </w:pPr>
    </w:p>
    <w:p>
      <w:pPr>
        <w:ind w:right="20" w:firstLine="8"/>
        <w:spacing w:after="0" w:line="251"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officers of the Corporation. Any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At all times that the Corporation’s stock is listed on a U.S. national securities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his or her discretion require. A new certificate may be issued without requiring any bond when, in the judgment of the Board of Directors or such financial officer, it is proper to do so.</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Transfers of Stock.</w:t>
      </w:r>
      <w:r>
        <w:rPr>
          <w:rFonts w:ascii="Times New Roman" w:cs="Times New Roman" w:eastAsia="Times New Roman" w:hAnsi="Times New Roman"/>
          <w:sz w:val="18"/>
          <w:szCs w:val="18"/>
          <w:color w:val="auto"/>
        </w:rPr>
        <w:t xml:space="preserve"> Transfers of shares of the stock of the Corporation shall be made upon the books of the Corporation (a) in the case of certificated shares of stock, upon presentation of such certificates by the registered holder in person or by a duly authorized attorney, or upon presentation of proper evidence of succession, assignment or authority to transfer such shares of stock, and upon surrender of the appropriate certificate(s), or (b) in the case of uncertificated shares of stock, upon receipt of proper transfer instructions from the registered owner of such uncertificated shares, or from a duly authorized attorney or from an individual presenting proper evidence of succession, assignment or authority to transfer the stock. No transfer of stock shall be valid as against the Corporation for any purpose until it shall have been entered in the stock records of the Corporation by an entry showing from and to whom transferred.</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Holder of Record.</w:t>
      </w:r>
      <w:r>
        <w:rPr>
          <w:rFonts w:ascii="Times New Roman" w:cs="Times New Roman" w:eastAsia="Times New Roman" w:hAnsi="Times New Roman"/>
          <w:sz w:val="18"/>
          <w:szCs w:val="18"/>
          <w:color w:val="auto"/>
        </w:rPr>
        <w:t xml:space="preserve"> The Corporation shall be entitled to treat the holder of record of any share or shares of stock as the exclusive holder in fact thereof and accordingly shall not be bound to recognize any equitable or other claim to or interest in such share on the part of any other person, whether or not it shall have express or other notice thereof, except as otherwise required by applicable law.</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Transfer and Registry Agents.</w:t>
      </w:r>
      <w:r>
        <w:rPr>
          <w:rFonts w:ascii="Times New Roman" w:cs="Times New Roman" w:eastAsia="Times New Roman" w:hAnsi="Times New Roman"/>
          <w:sz w:val="18"/>
          <w:szCs w:val="18"/>
          <w:color w:val="auto"/>
        </w:rPr>
        <w:t xml:space="preserve"> The Corporation may from time to time maintain one or more transfer offices or agencies and registry offices or agencies at such place or places as may be determined from time to time by the Board of Directors.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The Board of Directors may from time to time declare, and the Corporation may pay, dividends on the outstanding shares of capital stock of the Corporation, subject to the requirements of applicable law and the provisions of the Certificate of Incorporation, if any. Such dividends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xml:space="preserve"> The Corporation shall indemnify and hold harmless, to the fullest extent permitted by applicable law, as the same exists or may hereafter be amended, any person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by reason of the fact that he or she, or a person for whom he or she is the legal representative, is or was, at any time during which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(whether or not such person continues to serve in such capacity at the time any indemnification or advancement of expenses pursuant hereto is sought or at the time any Proceeding relating thereto exists or is brought), a director or officer of the Corporation or by reason of the fact that such person, at the request of the Corporation, is or was serving any other corporation, partnership, joint venture, trust, employee benefit plan or other enterprise, in any capacity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 xml:space="preserve"> The Corporation shall pay the expenses (including attorneys’ fees) incurred by any Covered Person of the Corporation in defending any Proceeding in advance of its final disposition, except where such Covered Person pleads guilty or nolo contendere in a criminal proceeding (excluding traffic violations and other minor offenses);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payment of such expenses shall be made only upon receipt of an undertaking by the Covered Person to repay all amounts advanced if it shall ultimately be determined that such person is not entitled to be indemnified.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If a claim for indemnification or payment of expenses (including attorneys’ fees)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not paid in full within sixty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conferred on any person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rights to which those seeking indemnification or advancement of expenses may be entitled under the Certificate of Incorporation, these Bylaws or any agreement, vote of stockholders or disinterested directors or otherwise, both as to action in such person’s official capacity and as to action in another capacity while holding such office.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purchase and maintain insurance on behalf of any Covered Person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references to “the Corporation” shall include, in addition to the resulting corporation, any constituent corporation (including any constituent of a constituent) absorbed in a consolidation or merger that,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with respect to the resulting or surviving corporation as such person would have with respect to such constituent corporation if its separate existence had continued. For purposes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Survival of Indemnification and Advancement of Expenses.</w:t>
      </w:r>
      <w:r>
        <w:rPr>
          <w:rFonts w:ascii="Times New Roman" w:cs="Times New Roman" w:eastAsia="Times New Roman" w:hAnsi="Times New Roman"/>
          <w:sz w:val="18"/>
          <w:szCs w:val="18"/>
          <w:color w:val="auto"/>
        </w:rPr>
        <w:t xml:space="preserve"> The indemnification and, subject to the discretion of the Board of Directors,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Certificate of Incorporation shall, unless otherwise provided when authorized or ratified, continue as to a person who has ceased to be a Covered Person and shall inure to the benefit of the heirs, executors and administrators of such a person.</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The Corporation’s obligation, if any, to indemnify any person who was or is serving at its request as a director, officer, employee or agent of another corporation, partnership, joint venture, trust, enterprise or nonprofit entity shall be reduced by any amount such person may collect as indemnification from such other corporation, partnership, joint venture, trust, non-profit entity, or other enterprise.</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xml:space="preserve"> Any repeal or modification of the foregoing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adversely affect any right or protection hereunder of any person in respect of any act or omission occurring prior to the time of such repeal or modification.</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Covered Persons.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Delaware Office.</w:t>
      </w:r>
      <w:r>
        <w:rPr>
          <w:rFonts w:ascii="Times New Roman" w:cs="Times New Roman" w:eastAsia="Times New Roman" w:hAnsi="Times New Roman"/>
          <w:sz w:val="18"/>
          <w:szCs w:val="18"/>
          <w:color w:val="auto"/>
        </w:rPr>
        <w:t xml:space="preserve"> The address of the registered office of the Corporation in the State of Delaware shall be at Corporation Trust Center, 1209 Orange Street, Wilmington, County of New Castle, Delaware 19801 and the name of its registered agent at such address is Corporation Trust Company.</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xml:space="preserve"> The Corporation may also have offices at other such places, both within and without the State of Delaware, as the Board of Directors from time to time may appoint or the business of the Corporation may require.</w:t>
      </w:r>
    </w:p>
    <w:p>
      <w:pPr>
        <w:spacing w:after="0" w:line="162"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xml:space="preserve"> The corporate seal shall be in the form adopted by the Board of Directors. Such seal may be used by causing it or a facsimile thereof to be impressed or affixed or reproduced or otherwise. The seal may be affixed by any officer of the Corporation to any instrument executed by authority of the Corporation, and the seal when so affixed may be attested by the signature of any officer of the Corporation.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Whenever notice is required to be given by law, the Certificate of Incorporation or these Bylaws, a written or electronically transmitted waiver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Notice to stockholders shall be given in the manner set forth in the DGCL. Notice to or by directors or committee members may be given personally, in writing or by means of electronic transmission. For purposes of these Bylaws, “electronic transmission” shall have the meaning provided in Section 232 of the DGCL.</w:t>
      </w:r>
    </w:p>
    <w:p>
      <w:pPr>
        <w:spacing w:after="0" w:line="18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These Bylaws may be altered, amended or repealed, or new Bylaws adopted, only to the extent and in the manner provided in the Certificate of Incorporation.</w:t>
      </w:r>
    </w:p>
    <w:p>
      <w:pPr>
        <w:spacing w:after="0" w:line="162"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Checks.</w:t>
      </w:r>
      <w:r>
        <w:rPr>
          <w:rFonts w:ascii="Times New Roman" w:cs="Times New Roman" w:eastAsia="Times New Roman" w:hAnsi="Times New Roman"/>
          <w:sz w:val="18"/>
          <w:szCs w:val="18"/>
          <w:color w:val="auto"/>
        </w:rPr>
        <w:t xml:space="preserve"> All checks, drafts, notes and other orders for the payment of money shall be signed by such officer or officers or agents as from time to time may be designated by the Board of Directors or by such officers of the Corporation as may be designated by the Board of Directors to make such designation.</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8"/>
          <w:szCs w:val="18"/>
          <w:u w:val="single" w:color="auto"/>
          <w:color w:val="auto"/>
        </w:rPr>
        <w:t xml:space="preserve">Fiscal Year. </w:t>
      </w:r>
      <w:r>
        <w:rPr>
          <w:rFonts w:ascii="Times New Roman" w:cs="Times New Roman" w:eastAsia="Times New Roman" w:hAnsi="Times New Roman"/>
          <w:sz w:val="18"/>
          <w:szCs w:val="18"/>
          <w:color w:val="auto"/>
        </w:rPr>
        <w:t>The fiscal year of the Corporation shall be fixed by the Board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0"/>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4"/>
    </w:lvl>
  </w:abstractNum>
  <w:abstractNum w:abstractNumId="4">
    <w:nsid w:val="3F2DBA31"/>
    <w:multiLevelType w:val="hybridMultilevel"/>
    <w:lvl w:ilvl="0">
      <w:lvlJc w:val="left"/>
      <w:lvlText w:val="(%1)"/>
      <w:numFmt w:val="lowerRoman"/>
      <w:start w:val="1"/>
    </w:lvl>
  </w:abstractNum>
  <w:abstractNum w:abstractNumId="5">
    <w:nsid w:val="7C83E458"/>
    <w:multiLevelType w:val="hybridMultilevel"/>
    <w:lvl w:ilvl="0">
      <w:lvlJc w:val="left"/>
      <w:lvlText w:val="%1"/>
      <w:numFmt w:val="lowerLetter"/>
      <w:start w:val="1"/>
    </w:lvl>
    <w:lvl w:ilvl="1">
      <w:lvlJc w:val="left"/>
      <w:lvlText w:val="(%2)"/>
      <w:numFmt w:val="lowerLetter"/>
      <w:start w:val="1"/>
    </w:lvl>
  </w:abstractNum>
  <w:abstractNum w:abstractNumId="6">
    <w:nsid w:val="257130A3"/>
    <w:multiLevelType w:val="hybridMultilevel"/>
    <w:lvl w:ilvl="0">
      <w:lvlJc w:val="left"/>
      <w:lvlText w:val="(%1)"/>
      <w:numFmt w:val="lowerLetter"/>
      <w:start w:val="9"/>
    </w:lvl>
    <w:lvl w:ilvl="1">
      <w:lvlJc w:val="left"/>
      <w:lvlText w:val="%2"/>
      <w:numFmt w:val="lowerLetter"/>
      <w:start w:val="1"/>
    </w:lvl>
  </w:abstractNum>
  <w:abstractNum w:abstractNumId="7">
    <w:nsid w:val="62BBD95A"/>
    <w:multiLevelType w:val="hybridMultilevel"/>
    <w:lvl w:ilvl="0">
      <w:lvlJc w:val="left"/>
      <w:lvlText w:val="(%1)"/>
      <w:numFmt w:val="lowerLetter"/>
      <w:start w:val="3"/>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2"/>
    </w:lvl>
  </w:abstractNum>
  <w:abstractNum w:abstractNumId="10">
    <w:nsid w:val="333AB105"/>
    <w:multiLevelType w:val="hybridMultilevel"/>
    <w:lvl w:ilvl="0">
      <w:lvlJc w:val="left"/>
      <w:lvlText w:val="(%1)"/>
      <w:numFmt w:val="lowerLetter"/>
      <w:start w:val="3"/>
    </w:lvl>
  </w:abstractNum>
  <w:abstractNum w:abstractNumId="11">
    <w:nsid w:val="721DA317"/>
    <w:multiLevelType w:val="hybridMultilevel"/>
    <w:lvl w:ilvl="0">
      <w:lvlJc w:val="left"/>
      <w:lvlText w:val="(%1)"/>
      <w:numFmt w:val="lowerRoman"/>
      <w:start w:val="1"/>
    </w:lvl>
  </w:abstractNum>
  <w:abstractNum w:abstractNumId="12">
    <w:nsid w:val="2443A858"/>
    <w:multiLevelType w:val="hybridMultilevel"/>
    <w:lvl w:ilvl="0">
      <w:lvlJc w:val="left"/>
      <w:lvlText w:val="%1"/>
      <w:numFmt w:val="upperLetter"/>
      <w:start w:val="1"/>
    </w:lvl>
    <w:lvl w:ilvl="1">
      <w:lvlJc w:val="left"/>
      <w:lvlText w:val="(%2)"/>
      <w:numFmt w:val="lowerRoman"/>
      <w:start w:val="2"/>
    </w:lvl>
  </w:abstractNum>
  <w:abstractNum w:abstractNumId="13">
    <w:nsid w:val="2D1D5AE9"/>
    <w:multiLevelType w:val="hybridMultilevel"/>
    <w:lvl w:ilvl="0">
      <w:lvlJc w:val="left"/>
      <w:lvlText w:val="(%1)"/>
      <w:numFmt w:val="upperLetter"/>
      <w:start w:val="2"/>
    </w:lvl>
    <w:lvl w:ilvl="1">
      <w:lvlJc w:val="left"/>
      <w:lvlText w:val="%2"/>
      <w:numFmt w:val="lowerRoman"/>
      <w:start w:val="1"/>
    </w:lvl>
  </w:abstractNum>
  <w:abstractNum w:abstractNumId="14">
    <w:nsid w:val="6763845E"/>
    <w:multiLevelType w:val="hybridMultilevel"/>
    <w:lvl w:ilvl="0">
      <w:lvlJc w:val="left"/>
      <w:lvlText w:val="(%1)"/>
      <w:numFmt w:val="lowerRoman"/>
      <w:start w:val="3"/>
    </w:lvl>
  </w:abstractNum>
  <w:abstractNum w:abstractNumId="15">
    <w:nsid w:val="75A2A8D4"/>
    <w:multiLevelType w:val="hybridMultilevel"/>
    <w:lvl w:ilvl="0">
      <w:lvlJc w:val="left"/>
      <w:lvlText w:val="(%1)"/>
      <w:numFmt w:val="lowerLetter"/>
      <w:start w:val="4"/>
    </w:lvl>
  </w:abstractNum>
  <w:abstractNum w:abstractNumId="16">
    <w:nsid w:val="8EDBDAB"/>
    <w:multiLevelType w:val="hybridMultilevel"/>
    <w:lvl w:ilvl="0">
      <w:lvlJc w:val="left"/>
      <w:lvlText w:val="(%1)"/>
      <w:numFmt w:val="lowerRoman"/>
      <w:start w:val="1"/>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lvl w:ilvl="1">
      <w:lvlJc w:val="left"/>
      <w:lvlText w:val="(%2)"/>
      <w:numFmt w:val="lowerLetter"/>
      <w:start w:val="2"/>
    </w:lvl>
  </w:abstractNum>
  <w:abstractNum w:abstractNumId="20">
    <w:nsid w:val="189A769B"/>
    <w:multiLevelType w:val="hybridMultilevel"/>
    <w:lvl w:ilvl="0">
      <w:lvlJc w:val="left"/>
      <w:lvlText w:val="(%1)"/>
      <w:numFmt w:val="lowerLetter"/>
      <w:start w:val="24"/>
    </w:lvl>
    <w:lvl w:ilvl="1">
      <w:lvlJc w:val="left"/>
      <w:lvlText w:val="%2"/>
      <w:numFmt w:val="lowerLetter"/>
      <w:start w:val="1"/>
    </w:lvl>
  </w:abstractNum>
  <w:abstractNum w:abstractNumId="21">
    <w:nsid w:val="54E49EB4"/>
    <w:multiLevelType w:val="hybridMultilevel"/>
    <w:lvl w:ilvl="0">
      <w:lvlJc w:val="left"/>
      <w:lvlText w:val="(%1)"/>
      <w:numFmt w:val="lowerLetter"/>
      <w:start w:val="4"/>
    </w:lvl>
  </w:abstractNum>
  <w:abstractNum w:abstractNumId="22">
    <w:nsid w:val="71F32454"/>
    <w:multiLevelType w:val="hybridMultilevel"/>
    <w:lvl w:ilvl="0">
      <w:lvlJc w:val="left"/>
      <w:lvlText w:val="(%1)"/>
      <w:numFmt w:val="lowerLetter"/>
      <w:start w:val="5"/>
    </w:lvl>
  </w:abstractNum>
  <w:abstractNum w:abstractNumId="23">
    <w:nsid w:val="2CA88611"/>
    <w:multiLevelType w:val="hybridMultilevel"/>
    <w:lvl w:ilvl="0">
      <w:lvlJc w:val="left"/>
      <w:lvlText w:val="(%1)"/>
      <w:numFmt w:val="lowerRoman"/>
      <w:start w:val="1"/>
    </w:lvl>
  </w:abstractNum>
  <w:abstractNum w:abstractNumId="24">
    <w:nsid w:val="836C40E"/>
    <w:multiLevelType w:val="hybridMultilevel"/>
    <w:lvl w:ilvl="0">
      <w:lvlJc w:val="left"/>
      <w:lvlText w:val="%1"/>
      <w:numFmt w:val="decimal"/>
      <w:start w:val="1"/>
    </w:lvl>
    <w:lvl w:ilvl="1">
      <w:lvlJc w:val="left"/>
      <w:lvlText w:val="(%2)"/>
      <w:numFmt w:val="lowerRoman"/>
      <w:start w:val="2"/>
    </w:lvl>
  </w:abstractNum>
  <w:abstractNum w:abstractNumId="25">
    <w:nsid w:val="2901D82"/>
    <w:multiLevelType w:val="hybridMultilevel"/>
    <w:lvl w:ilvl="0">
      <w:lvlJc w:val="left"/>
      <w:lvlText w:val="(%1)"/>
      <w:numFmt w:val="decimal"/>
      <w:start w:val="5"/>
    </w:lvl>
    <w:lvl w:ilvl="1">
      <w:lvlJc w:val="left"/>
      <w:lvlText w:val="(%2)"/>
      <w:numFmt w:val="lowerRoman"/>
      <w:start w:val="3"/>
    </w:lvl>
  </w:abstractNum>
  <w:abstractNum w:abstractNumId="26">
    <w:nsid w:val="3A95F874"/>
    <w:multiLevelType w:val="hybridMultilevel"/>
    <w:lvl w:ilvl="0">
      <w:lvlJc w:val="left"/>
      <w:lvlText w:val="(%1)"/>
      <w:numFmt w:val="lowerRoman"/>
      <w:start w:val="6"/>
    </w:lvl>
  </w:abstractNum>
  <w:abstractNum w:abstractNumId="27">
    <w:nsid w:val="8138641"/>
    <w:multiLevelType w:val="hybridMultilevel"/>
    <w:lvl w:ilvl="0">
      <w:lvlJc w:val="left"/>
      <w:lvlText w:val="(%1)"/>
      <w:numFmt w:val="lowerLetter"/>
      <w:start w:val="7"/>
    </w:lvl>
  </w:abstractNum>
  <w:abstractNum w:abstractNumId="28">
    <w:nsid w:val="1E7FF521"/>
    <w:multiLevelType w:val="hybridMultilevel"/>
    <w:lvl w:ilvl="0">
      <w:lvlJc w:val="left"/>
      <w:lvlText w:val="%1"/>
      <w:numFmt w:val="lowerLetter"/>
      <w:start w:val="1"/>
    </w:lvl>
    <w:lvl w:ilvl="1">
      <w:lvlJc w:val="left"/>
      <w:lvlText w:val="(%2)"/>
      <w:numFmt w:val="lowerLetter"/>
      <w:start w:val="8"/>
    </w:lvl>
  </w:abstractNum>
  <w:abstractNum w:abstractNumId="29">
    <w:nsid w:val="7C3DBD3D"/>
    <w:multiLevelType w:val="hybridMultilevel"/>
    <w:lvl w:ilvl="0">
      <w:lvlJc w:val="left"/>
      <w:lvlText w:val="(%1)"/>
      <w:numFmt w:val="lowerLetter"/>
      <w:start w:val="35"/>
    </w:lvl>
    <w:lvl w:ilvl="1">
      <w:lvlJc w:val="left"/>
      <w:lvlText w:val="%2"/>
      <w:numFmt w:val="lowerLetter"/>
      <w:start w:val="1"/>
    </w:lvl>
  </w:abstractNum>
  <w:abstractNum w:abstractNumId="30">
    <w:nsid w:val="737B8DDC"/>
    <w:multiLevelType w:val="hybridMultilevel"/>
    <w:lvl w:ilvl="0">
      <w:lvlJc w:val="left"/>
      <w:lvlText w:val="(%1)"/>
      <w:numFmt w:val="lowerLetter"/>
      <w:start w:val="12"/>
    </w:lvl>
  </w:abstractNum>
  <w:abstractNum w:abstractNumId="31">
    <w:nsid w:val="6CEAF08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2025-10-24T15:44:38Z</dcterms:created>
  <dcterms:modified xsi:type="dcterms:W3CDTF">2025-10-24T15:44:38Z</dcterms:modified>
</cp:coreProperties>
</file>