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3" w:lineRule="exact"/>
        <w:rPr>
          <w:sz w:val="24"/>
          <w:szCs w:val="24"/>
          <w:color w:val="auto"/>
        </w:rPr>
      </w:pPr>
    </w:p>
    <w:p>
      <w:pPr>
        <w:ind w:left="320"/>
        <w:spacing w:after="0" w:line="283"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-188595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right="4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2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-591185</wp:posOffset>
            </wp:positionV>
            <wp:extent cx="56515" cy="60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452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-591185</wp:posOffset>
            </wp:positionV>
            <wp:extent cx="56515" cy="604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452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626110</wp:posOffset>
            </wp:positionV>
            <wp:extent cx="7000875" cy="5270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5270500"/>
                    </a:xfrm>
                    <a:prstGeom prst="rect">
                      <a:avLst/>
                    </a:prstGeom>
                    <a:noFill/>
                  </pic:spPr>
                </pic:pic>
              </a:graphicData>
            </a:graphic>
          </wp:anchor>
        </w:drawing>
      </w:r>
    </w:p>
    <w:p>
      <w:pPr>
        <w:spacing w:after="0" w:line="1052" w:lineRule="exact"/>
        <w:rPr>
          <w:sz w:val="24"/>
          <w:szCs w:val="24"/>
          <w:color w:val="auto"/>
        </w:rPr>
      </w:pPr>
    </w:p>
    <w:p>
      <w:pPr>
        <w:sectPr>
          <w:pgSz w:w="11900" w:h="16838" w:orient="portrait"/>
          <w:cols w:equalWidth="0" w:num="2">
            <w:col w:w="2300" w:space="44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Le Goff Corinne</w:t>
        </w:r>
      </w:hyperlink>
    </w:p>
    <w:p>
      <w:pPr>
        <w:spacing w:after="0" w:line="283"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5" w:right="780" w:hanging="5"/>
        <w:spacing w:after="0" w:line="264" w:lineRule="auto"/>
        <w:tabs>
          <w:tab w:leader="none" w:pos="14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2"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6"/>
          <w:szCs w:val="16"/>
          <w:color w:val="0000FF"/>
        </w:rPr>
        <w:t>Chief Commercial Officer</w:t>
      </w:r>
    </w:p>
    <w:p>
      <w:pPr>
        <w:spacing w:after="0" w:line="321" w:lineRule="exact"/>
        <w:rPr>
          <w:sz w:val="24"/>
          <w:szCs w:val="24"/>
          <w:color w:val="auto"/>
        </w:rPr>
      </w:pPr>
    </w:p>
    <w:p>
      <w:pPr>
        <w:sectPr>
          <w:pgSz w:w="11900" w:h="16838" w:orient="portrait"/>
          <w:cols w:equalWidth="0" w:num="3">
            <w:col w:w="3180" w:space="720"/>
            <w:col w:w="3115" w:space="720"/>
            <w:col w:w="3345"/>
          </w:cols>
          <w:pgMar w:left="460" w:top="212" w:right="359" w:bottom="1440" w:gutter="0" w:footer="0" w:header="0"/>
          <w:type w:val="continuous"/>
        </w:sectPr>
      </w:pP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tcBorders>
              <w:top w:val="single" w:sz="8" w:color="2C2C2C"/>
            </w:tcBorders>
            <w:gridSpan w:val="7"/>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vMerge w:val="restart"/>
          </w:tcPr>
          <w:p>
            <w:pPr>
              <w:jc w:val="right"/>
              <w:ind w:right="839"/>
              <w:spacing w:after="0"/>
              <w:rPr>
                <w:sz w:val="20"/>
                <w:szCs w:val="20"/>
                <w:color w:val="auto"/>
              </w:rPr>
            </w:pPr>
            <w:r>
              <w:rPr>
                <w:rFonts w:ascii="Times New Roman" w:cs="Times New Roman" w:eastAsia="Times New Roman" w:hAnsi="Times New Roman"/>
                <w:sz w:val="16"/>
                <w:szCs w:val="16"/>
                <w:color w:val="0000FF"/>
                <w:w w:val="78"/>
              </w:rPr>
              <w:t>PA</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gridSpan w:val="6"/>
            <w:vMerge w:val="continue"/>
          </w:tcPr>
          <w:p>
            <w:pPr>
              <w:spacing w:after="0"/>
              <w:rPr>
                <w:sz w:val="3"/>
                <w:szCs w:val="3"/>
                <w:color w:val="auto"/>
              </w:rPr>
            </w:pPr>
          </w:p>
        </w:tc>
        <w:tc>
          <w:tcPr>
            <w:tcW w:w="3580" w:type="dxa"/>
            <w:vAlign w:val="bottom"/>
            <w:gridSpan w:val="7"/>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6"/>
                <w:szCs w:val="6"/>
                <w:color w:val="auto"/>
              </w:rPr>
            </w:pPr>
          </w:p>
        </w:tc>
        <w:tc>
          <w:tcPr>
            <w:tcW w:w="1080" w:type="dxa"/>
            <w:vAlign w:val="bottom"/>
            <w:vMerge w:val="restart"/>
          </w:tcPr>
          <w:p>
            <w:pPr>
              <w:jc w:val="right"/>
              <w:ind w:right="659"/>
              <w:spacing w:after="0"/>
              <w:rPr>
                <w:sz w:val="20"/>
                <w:szCs w:val="20"/>
                <w:color w:val="auto"/>
              </w:rPr>
            </w:pPr>
            <w:r>
              <w:rPr>
                <w:rFonts w:ascii="Arial" w:cs="Arial" w:eastAsia="Arial" w:hAnsi="Arial"/>
                <w:sz w:val="12"/>
                <w:szCs w:val="12"/>
                <w:color w:val="auto"/>
                <w:w w:val="94"/>
              </w:rPr>
              <w:t>(State)</w:t>
            </w:r>
          </w:p>
        </w:tc>
        <w:tc>
          <w:tcPr>
            <w:tcW w:w="96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2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4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0000FF"/>
                <w:w w:val="99"/>
              </w:rPr>
              <w:t>44,165</w:t>
            </w: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ind w:left="3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101,582</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6"/>
                <w:szCs w:val="16"/>
                <w:color w:val="0000FF"/>
                <w:w w:val="90"/>
              </w:rPr>
              <w:t>19,588</w:t>
            </w:r>
            <w:r>
              <w:rPr>
                <w:rFonts w:ascii="Times New Roman" w:cs="Times New Roman" w:eastAsia="Times New Roman" w:hAnsi="Times New Roman"/>
                <w:sz w:val="20"/>
                <w:szCs w:val="20"/>
                <w:color w:val="008000"/>
                <w:w w:val="90"/>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81,994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6"/>
                <w:szCs w:val="16"/>
                <w:color w:val="0000FF"/>
                <w:w w:val="93"/>
              </w:rPr>
              <w:t>2,193</w:t>
            </w:r>
            <w:r>
              <w:rPr>
                <w:rFonts w:ascii="Times New Roman" w:cs="Times New Roman" w:eastAsia="Times New Roman" w:hAnsi="Times New Roman"/>
                <w:sz w:val="20"/>
                <w:szCs w:val="20"/>
                <w:color w:val="008000"/>
                <w:w w:val="93"/>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84,187</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61"/>
              <w:spacing w:after="0" w:line="292" w:lineRule="exact"/>
              <w:rPr>
                <w:sz w:val="20"/>
                <w:szCs w:val="20"/>
                <w:color w:val="auto"/>
              </w:rPr>
            </w:pPr>
            <w:r>
              <w:rPr>
                <w:rFonts w:ascii="Times New Roman" w:cs="Times New Roman" w:eastAsia="Times New Roman" w:hAnsi="Times New Roman"/>
                <w:sz w:val="31"/>
                <w:szCs w:val="31"/>
                <w:color w:val="0000FF"/>
                <w:w w:val="84"/>
                <w:vertAlign w:val="subscript"/>
              </w:rPr>
              <w:t>973</w:t>
            </w:r>
            <w:r>
              <w:rPr>
                <w:rFonts w:ascii="Times New Roman" w:cs="Times New Roman" w:eastAsia="Times New Roman" w:hAnsi="Times New Roman"/>
                <w:sz w:val="10"/>
                <w:szCs w:val="10"/>
                <w:color w:val="008000"/>
                <w:w w:val="84"/>
              </w:rPr>
              <w:t>(3)</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83,214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40" w:type="dxa"/>
            <w:vAlign w:val="bottom"/>
            <w:gridSpan w:val="13"/>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gridSpan w:val="11"/>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080" w:type="dxa"/>
            <w:vAlign w:val="bottom"/>
          </w:tcPr>
          <w:p>
            <w:pPr>
              <w:jc w:val="right"/>
              <w:ind w:right="65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 Acquired</w:t>
            </w:r>
          </w:p>
        </w:tc>
        <w:tc>
          <w:tcPr>
            <w:tcW w:w="14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3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 or Disposed of</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42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44,165</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660" w:type="dxa"/>
            <w:vAlign w:val="bottom"/>
            <w:vMerge w:val="restart"/>
          </w:tcPr>
          <w:p>
            <w:pPr>
              <w:jc w:val="right"/>
              <w:ind w:right="121"/>
              <w:spacing w:after="0" w:line="134" w:lineRule="exact"/>
              <w:rPr>
                <w:sz w:val="20"/>
                <w:szCs w:val="20"/>
                <w:color w:val="auto"/>
              </w:rPr>
            </w:pPr>
            <w:r>
              <w:rPr>
                <w:rFonts w:ascii="Times New Roman" w:cs="Times New Roman" w:eastAsia="Times New Roman" w:hAnsi="Times New Roman"/>
                <w:sz w:val="12"/>
                <w:szCs w:val="12"/>
                <w:color w:val="0000FF"/>
              </w:rPr>
              <w:t>44,165</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gridSpan w:val="2"/>
            <w:vMerge w:val="restart"/>
          </w:tcPr>
          <w:p>
            <w:pPr>
              <w:jc w:val="right"/>
              <w:ind w:right="264"/>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88,328</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2,192.007</w:t>
            </w:r>
            <w:r>
              <w:rPr>
                <w:rFonts w:ascii="Times New Roman" w:cs="Times New Roman" w:eastAsia="Times New Roman" w:hAnsi="Times New Roman"/>
                <w:sz w:val="20"/>
                <w:szCs w:val="20"/>
                <w:color w:val="008000"/>
                <w:w w:val="94"/>
                <w:vertAlign w:val="superscript"/>
              </w:rPr>
              <w:t>(5)</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2,192.007</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4,385</w:t>
            </w:r>
            <w:r>
              <w:rPr>
                <w:rFonts w:ascii="Times New Roman" w:cs="Times New Roman" w:eastAsia="Times New Roman" w:hAnsi="Times New Roman"/>
                <w:sz w:val="20"/>
                <w:szCs w:val="20"/>
                <w:color w:val="008000"/>
                <w:w w:val="93"/>
                <w:vertAlign w:val="superscript"/>
              </w:rPr>
              <w:t>(5)</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8"/>
              </w:rPr>
              <w:t>03/06/2026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gridSpan w:val="2"/>
          </w:tcPr>
          <w:p>
            <w:pPr>
              <w:jc w:val="right"/>
              <w:ind w:right="264"/>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continue"/>
          </w:tcPr>
          <w:p>
            <w:pPr>
              <w:spacing w:after="0"/>
              <w:rPr>
                <w:sz w:val="11"/>
                <w:szCs w:val="11"/>
                <w:color w:val="auto"/>
              </w:rPr>
            </w:pPr>
          </w:p>
        </w:tc>
        <w:tc>
          <w:tcPr>
            <w:tcW w:w="62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10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88,984</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6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480" w:type="dxa"/>
            <w:vAlign w:val="bottom"/>
            <w:vMerge w:val="restart"/>
          </w:tcPr>
          <w:p>
            <w:pPr>
              <w:ind w:left="40"/>
              <w:spacing w:after="0" w:line="134" w:lineRule="exact"/>
              <w:rPr>
                <w:sz w:val="20"/>
                <w:szCs w:val="20"/>
                <w:color w:val="auto"/>
              </w:rPr>
            </w:pPr>
            <w:r>
              <w:rPr>
                <w:rFonts w:ascii="Times New Roman" w:cs="Times New Roman" w:eastAsia="Times New Roman" w:hAnsi="Times New Roman"/>
                <w:sz w:val="12"/>
                <w:szCs w:val="12"/>
                <w:color w:val="0000FF"/>
              </w:rPr>
              <w:t>88,984</w:t>
            </w:r>
          </w:p>
        </w:tc>
        <w:tc>
          <w:tcPr>
            <w:tcW w:w="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gridSpan w:val="2"/>
            <w:vMerge w:val="restart"/>
          </w:tcPr>
          <w:p>
            <w:pPr>
              <w:jc w:val="right"/>
              <w:ind w:right="264"/>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88,984</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-2098040</wp:posOffset>
            </wp:positionV>
            <wp:extent cx="27940" cy="2103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0312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6, 2025.</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40" w:right="440" w:hanging="6"/>
        <w:spacing w:after="0" w:line="268"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6, 2025.</w:t>
      </w:r>
    </w:p>
    <w:p>
      <w:pPr>
        <w:spacing w:after="0" w:line="8" w:lineRule="exact"/>
        <w:rPr>
          <w:rFonts w:ascii="Times New Roman" w:cs="Times New Roman" w:eastAsia="Times New Roman" w:hAnsi="Times New Roman"/>
          <w:sz w:val="12"/>
          <w:szCs w:val="12"/>
          <w:color w:val="008000"/>
        </w:rPr>
      </w:pPr>
    </w:p>
    <w:p>
      <w:pPr>
        <w:ind w:left="40" w:right="380" w:hanging="6"/>
        <w:spacing w:after="0" w:line="268"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44,165 of the RSUs granted on March 6, 2025 vested on March 6, 2026 and 44,164 will vest on each of March 6, 2027 and March 6, 2028.</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6, 2025 and vest on the same schedule as the underlying RSUs.</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29,662 of the RSUs granted on March 6, 2026 will vest on March 6, 2027 and 29,661 will vest on each of March 6, 2028 and March 6, 2029.</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14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82"/>
        </w:trPr>
        <w:tc>
          <w:tcPr>
            <w:tcW w:w="220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20" w:hanging="6"/>
        <w:spacing w:after="0" w:line="317"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091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2026-03-10T18:08:02Z</dcterms:created>
  <dcterms:modified xsi:type="dcterms:W3CDTF">2026-03-10T18:08:02Z</dcterms:modified>
</cp:coreProperties>
</file>