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-601345</wp:posOffset>
            </wp:positionV>
            <wp:extent cx="5651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3907790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DIMICK NEIL F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13,996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74,669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75,004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13,996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13,996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8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334.4826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334.4826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83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19,608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03/04/2022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19,608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19,608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-2211070</wp:posOffset>
            </wp:positionV>
            <wp:extent cx="28575" cy="2216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1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40" w:hanging="4"/>
        <w:spacing w:after="0" w:line="268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Fractional shares have been rounded up in connection with the settlement described in footnote 3 pursuant to the terms of the restricted stock unit (RSU) award agreement under the Viatris Inc. 2020 Stock Incentive Plan.</w:t>
      </w:r>
    </w:p>
    <w:p>
      <w:pPr>
        <w:spacing w:after="0" w:line="1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 Inc. (Viatris). These RSUs vested in full on March 2, 2022.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that accrued with respect to the RSUs previously granted on March 2, 2021 and vested on the same schedule as the underlying RSUs.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Viatris. These RSUs will vest on March 4,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</wp:posOffset>
            </wp:positionV>
            <wp:extent cx="13354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-13335</wp:posOffset>
            </wp:positionV>
            <wp:extent cx="44513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0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8380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2022-03-04T19:04:43Z</dcterms:created>
  <dcterms:modified xsi:type="dcterms:W3CDTF">2022-03-04T19:04:43Z</dcterms:modified>
</cp:coreProperties>
</file>