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794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ind w:left="7940"/>
        <w:spacing w:after="0"/>
        <w:rPr>
          <w:sz w:val="20"/>
          <w:szCs w:val="20"/>
          <w:color w:val="auto"/>
        </w:rPr>
      </w:pPr>
      <w:r>
        <w:rPr>
          <w:rFonts w:ascii="Arial" w:cs="Arial" w:eastAsia="Arial" w:hAnsi="Arial"/>
          <w:sz w:val="16"/>
          <w:szCs w:val="16"/>
          <w:b w:val="1"/>
          <w:bCs w:val="1"/>
          <w:color w:val="auto"/>
        </w:rPr>
        <w:t>Registration Number 333-259463</w:t>
      </w:r>
    </w:p>
    <w:p>
      <w:pPr>
        <w:spacing w:after="0" w:line="23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171450</wp:posOffset>
            </wp:positionV>
            <wp:extent cx="173164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40"/>
        <w:spacing w:after="0"/>
        <w:rPr>
          <w:sz w:val="20"/>
          <w:szCs w:val="20"/>
          <w:color w:val="auto"/>
        </w:rPr>
      </w:pPr>
      <w:r>
        <w:rPr>
          <w:rFonts w:ascii="Arial" w:cs="Arial" w:eastAsia="Arial" w:hAnsi="Arial"/>
          <w:sz w:val="43"/>
          <w:szCs w:val="43"/>
          <w:b w:val="1"/>
          <w:bCs w:val="1"/>
          <w:color w:val="auto"/>
        </w:rPr>
        <w:t>VIATRIS INC.</w:t>
      </w:r>
    </w:p>
    <w:p>
      <w:pPr>
        <w:spacing w:after="0" w:line="241"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OFFER TO EXCHANGE</w:t>
      </w:r>
    </w:p>
    <w:p>
      <w:pPr>
        <w:spacing w:after="0" w:line="23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$1,000,000,000 aggregate principal amount of 1.125% Senior Notes due 2022</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#91533BAA8, ISIN #US91533BAA89</w:t>
      </w:r>
    </w:p>
    <w:p>
      <w:pPr>
        <w:spacing w:after="0" w:line="9" w:lineRule="exact"/>
        <w:rPr>
          <w:sz w:val="24"/>
          <w:szCs w:val="24"/>
          <w:color w:val="auto"/>
        </w:rPr>
      </w:pPr>
    </w:p>
    <w:p>
      <w:pPr>
        <w:jc w:val="center"/>
        <w:ind w:left="1080" w:right="1960"/>
        <w:spacing w:after="0" w:line="253" w:lineRule="auto"/>
        <w:rPr>
          <w:sz w:val="20"/>
          <w:szCs w:val="20"/>
          <w:color w:val="auto"/>
        </w:rPr>
      </w:pPr>
      <w:r>
        <w:rPr>
          <w:rFonts w:ascii="Arial" w:cs="Arial" w:eastAsia="Arial" w:hAnsi="Arial"/>
          <w:sz w:val="18"/>
          <w:szCs w:val="18"/>
          <w:b w:val="1"/>
          <w:bCs w:val="1"/>
          <w:color w:val="auto"/>
        </w:rPr>
        <w:t>CUSIP #U9156BAA3, ISIN #USU9156BAA36 (the “2022 Restricted Notes”) for a like aggregate principal amount of 1.125% Senior Notes due 2022 which have been registered under the Securities Act of 1933, as amended (the “2022 Exchange Notes”);</w:t>
      </w:r>
    </w:p>
    <w:p>
      <w:pPr>
        <w:spacing w:after="0" w:line="18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$750,000,000 aggregate principal amount of 1.650% Senior Notes due 2025</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#91533BAB6, ISIN #US91533BAB62</w:t>
      </w:r>
    </w:p>
    <w:p>
      <w:pPr>
        <w:spacing w:after="0" w:line="9" w:lineRule="exact"/>
        <w:rPr>
          <w:sz w:val="24"/>
          <w:szCs w:val="24"/>
          <w:color w:val="auto"/>
        </w:rPr>
      </w:pPr>
    </w:p>
    <w:p>
      <w:pPr>
        <w:jc w:val="center"/>
        <w:ind w:left="1100" w:right="1960"/>
        <w:spacing w:after="0" w:line="253" w:lineRule="auto"/>
        <w:rPr>
          <w:sz w:val="20"/>
          <w:szCs w:val="20"/>
          <w:color w:val="auto"/>
        </w:rPr>
      </w:pPr>
      <w:r>
        <w:rPr>
          <w:rFonts w:ascii="Arial" w:cs="Arial" w:eastAsia="Arial" w:hAnsi="Arial"/>
          <w:sz w:val="18"/>
          <w:szCs w:val="18"/>
          <w:b w:val="1"/>
          <w:bCs w:val="1"/>
          <w:color w:val="auto"/>
        </w:rPr>
        <w:t>CUSIP #U9156BAB1, ISIN #USU9156BAB19 (the “2025 Restricted Notes”) for a like aggregate principal amount of 1.650% Senior Notes due 2025 which have been registered under the Securities Act of 1933, as amended (the “2025 Exchange Notes”);</w:t>
      </w:r>
    </w:p>
    <w:p>
      <w:pPr>
        <w:spacing w:after="0" w:line="18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$750,000,000 aggregate principal amount of 2.300% Senior Notes due 2027</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#91533BAC4, ISIN #US91533BAC46</w:t>
      </w:r>
    </w:p>
    <w:p>
      <w:pPr>
        <w:spacing w:after="0" w:line="9" w:lineRule="exact"/>
        <w:rPr>
          <w:sz w:val="24"/>
          <w:szCs w:val="24"/>
          <w:color w:val="auto"/>
        </w:rPr>
      </w:pPr>
    </w:p>
    <w:p>
      <w:pPr>
        <w:jc w:val="center"/>
        <w:ind w:left="1080" w:right="1960"/>
        <w:spacing w:after="0" w:line="253" w:lineRule="auto"/>
        <w:rPr>
          <w:sz w:val="20"/>
          <w:szCs w:val="20"/>
          <w:color w:val="auto"/>
        </w:rPr>
      </w:pPr>
      <w:r>
        <w:rPr>
          <w:rFonts w:ascii="Arial" w:cs="Arial" w:eastAsia="Arial" w:hAnsi="Arial"/>
          <w:sz w:val="18"/>
          <w:szCs w:val="18"/>
          <w:b w:val="1"/>
          <w:bCs w:val="1"/>
          <w:color w:val="auto"/>
        </w:rPr>
        <w:t>CUSIP #U9156BAC9, ISIN #USU9156BAC91 (the “2027 Restricted Notes”) for a like aggregate principal amount of 2.300% Senior Notes due 2027 which have been registered under the Securities Act of 1933, as amended (the “2027 Exchange Notes”);</w:t>
      </w:r>
    </w:p>
    <w:p>
      <w:pPr>
        <w:spacing w:after="0" w:line="18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$1,450,000,000 aggregate principal amount of 2.700% Senior Notes due 2030</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#91533BAD2, ISIN #US91533BAD29</w:t>
      </w:r>
    </w:p>
    <w:p>
      <w:pPr>
        <w:spacing w:after="0" w:line="9" w:lineRule="exact"/>
        <w:rPr>
          <w:sz w:val="24"/>
          <w:szCs w:val="24"/>
          <w:color w:val="auto"/>
        </w:rPr>
      </w:pPr>
    </w:p>
    <w:p>
      <w:pPr>
        <w:jc w:val="center"/>
        <w:ind w:left="1080" w:right="1960"/>
        <w:spacing w:after="0" w:line="253" w:lineRule="auto"/>
        <w:rPr>
          <w:sz w:val="20"/>
          <w:szCs w:val="20"/>
          <w:color w:val="auto"/>
        </w:rPr>
      </w:pPr>
      <w:r>
        <w:rPr>
          <w:rFonts w:ascii="Arial" w:cs="Arial" w:eastAsia="Arial" w:hAnsi="Arial"/>
          <w:sz w:val="18"/>
          <w:szCs w:val="18"/>
          <w:b w:val="1"/>
          <w:bCs w:val="1"/>
          <w:color w:val="auto"/>
        </w:rPr>
        <w:t>CUSIP #U9156BAD7, ISIN #USU9156BAD74 (the “2030 Restricted Notes”) for a like aggregate principal amount of 2.700% Senior Notes due 2030 which have been registered under the Securities Act of 1933, as amended (the “2030 Exchange Notes”);</w:t>
      </w:r>
    </w:p>
    <w:p>
      <w:pPr>
        <w:spacing w:after="0" w:line="18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$1,500,000,000 aggregate principal amount of 3.850% Senior Notes due 2040</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#91533BAE0, ISIN #US91533BAE02</w:t>
      </w:r>
    </w:p>
    <w:p>
      <w:pPr>
        <w:spacing w:after="0" w:line="9" w:lineRule="exact"/>
        <w:rPr>
          <w:sz w:val="24"/>
          <w:szCs w:val="24"/>
          <w:color w:val="auto"/>
        </w:rPr>
      </w:pPr>
    </w:p>
    <w:p>
      <w:pPr>
        <w:jc w:val="center"/>
        <w:ind w:left="1100" w:right="1960"/>
        <w:spacing w:after="0" w:line="253" w:lineRule="auto"/>
        <w:rPr>
          <w:sz w:val="20"/>
          <w:szCs w:val="20"/>
          <w:color w:val="auto"/>
        </w:rPr>
      </w:pPr>
      <w:r>
        <w:rPr>
          <w:rFonts w:ascii="Arial" w:cs="Arial" w:eastAsia="Arial" w:hAnsi="Arial"/>
          <w:sz w:val="18"/>
          <w:szCs w:val="18"/>
          <w:b w:val="1"/>
          <w:bCs w:val="1"/>
          <w:color w:val="auto"/>
        </w:rPr>
        <w:t>CUSIP #U9156BAE5, ISIN #USU9156BAE57 (the “2040 Restricted Notes”) for a like aggregate principal amount of 3.850% Senior Notes due 2040 which have been registered under the Securities Act of 1933, as amended (the “2040 Exchange Notes”)</w:t>
      </w:r>
    </w:p>
    <w:p>
      <w:pPr>
        <w:spacing w:after="0" w:line="18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Up to $2,000,000,000 aggregate principal amount of 4.000% Senior Notes due 2050</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CUSIP #91533BAF7, ISIN #US91533BAF76</w:t>
      </w:r>
    </w:p>
    <w:p>
      <w:pPr>
        <w:spacing w:after="0" w:line="9" w:lineRule="exact"/>
        <w:rPr>
          <w:sz w:val="24"/>
          <w:szCs w:val="24"/>
          <w:color w:val="auto"/>
        </w:rPr>
      </w:pPr>
    </w:p>
    <w:p>
      <w:pPr>
        <w:jc w:val="center"/>
        <w:ind w:left="1080" w:right="1980"/>
        <w:spacing w:after="0" w:line="253" w:lineRule="auto"/>
        <w:rPr>
          <w:sz w:val="20"/>
          <w:szCs w:val="20"/>
          <w:color w:val="auto"/>
        </w:rPr>
      </w:pPr>
      <w:r>
        <w:rPr>
          <w:rFonts w:ascii="Arial" w:cs="Arial" w:eastAsia="Arial" w:hAnsi="Arial"/>
          <w:sz w:val="18"/>
          <w:szCs w:val="18"/>
          <w:b w:val="1"/>
          <w:bCs w:val="1"/>
          <w:color w:val="auto"/>
        </w:rPr>
        <w:t>CUSIP #U9156BAF2, ISIN #USU9156BAF23 (the “2050 Restricted Notes”) for a like aggregate principal amount of 4.000% Senior Notes due 2050 which have been registered under the Securities Act of 1933, as amended (the “2050 Exchange Notes”).</w:t>
      </w:r>
    </w:p>
    <w:p>
      <w:pPr>
        <w:sectPr>
          <w:pgSz w:w="11900" w:h="16838" w:orient="portrait"/>
          <w:cols w:equalWidth="0" w:num="1">
            <w:col w:w="10480"/>
          </w:cols>
          <w:pgMar w:left="320" w:top="230" w:right="10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303" w:lineRule="auto"/>
        <w:rPr>
          <w:sz w:val="20"/>
          <w:szCs w:val="20"/>
          <w:color w:val="auto"/>
        </w:rPr>
      </w:pPr>
      <w:r>
        <w:rPr>
          <w:rFonts w:ascii="Arial" w:cs="Arial" w:eastAsia="Arial" w:hAnsi="Arial"/>
          <w:sz w:val="16"/>
          <w:szCs w:val="16"/>
          <w:b w:val="1"/>
          <w:bCs w:val="1"/>
          <w:color w:val="auto"/>
        </w:rPr>
        <w:t>We refer to the registered 2022 Exchange Notes, 2025 Exchange Notes, 2027 Exchange Notes, 2030 Exchange Notes, 2040 Exchange Notes and 2050 Exchange Notes in this exchange offer collectively as the “Exchange Notes,” and to all outstanding 2022 Restricted Notes, 2025 Restricted Notes, 2027 Restricted Notes, 2030 Restricted Notes, 2040 Restricted Notes and 2050 Restricted Notes collectively as the “Restricted Notes.” All references to the Exchange Notes and Restricted Notes include references to the related guarantees, as appropriate.</w:t>
      </w:r>
    </w:p>
    <w:p>
      <w:pPr>
        <w:spacing w:after="0" w:line="151" w:lineRule="exact"/>
        <w:rPr>
          <w:sz w:val="20"/>
          <w:szCs w:val="20"/>
          <w:color w:val="auto"/>
        </w:rPr>
      </w:pPr>
    </w:p>
    <w:p>
      <w:pPr>
        <w:ind w:left="120" w:right="440" w:firstLine="440"/>
        <w:spacing w:after="0" w:line="282" w:lineRule="auto"/>
        <w:rPr>
          <w:sz w:val="20"/>
          <w:szCs w:val="20"/>
          <w:color w:val="auto"/>
        </w:rPr>
      </w:pPr>
      <w:r>
        <w:rPr>
          <w:rFonts w:ascii="Arial" w:cs="Arial" w:eastAsia="Arial" w:hAnsi="Arial"/>
          <w:sz w:val="18"/>
          <w:szCs w:val="18"/>
          <w:b w:val="1"/>
          <w:bCs w:val="1"/>
          <w:color w:val="auto"/>
        </w:rPr>
        <w:t>The exchange offer is subject to customary closing conditions and will expire at 5:00 p.m., New York City time, on October 28, 2021, unless we extend the exchange offer in our sole and absolute discretion.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Material terms of the exchange offer:</w:t>
      </w:r>
    </w:p>
    <w:p>
      <w:pPr>
        <w:spacing w:after="0" w:line="131" w:lineRule="exact"/>
        <w:rPr>
          <w:sz w:val="20"/>
          <w:szCs w:val="20"/>
          <w:color w:val="auto"/>
        </w:rPr>
      </w:pPr>
    </w:p>
    <w:p>
      <w:pPr>
        <w:ind w:left="1080" w:right="22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will exchange an equal principal amount of the Exchange Notes for all outstanding Restricted Notes of the corresponding series that are validly tendered and not validly withdrawn prior to the expiration or termination of the exchange offer;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tenders of the Restricted Notes at any time prior to the expiration or termination of the exchange offer;</w:t>
      </w:r>
    </w:p>
    <w:p>
      <w:pPr>
        <w:spacing w:after="0" w:line="130" w:lineRule="exact"/>
        <w:rPr>
          <w:rFonts w:ascii="Arial" w:cs="Arial" w:eastAsia="Arial" w:hAnsi="Arial"/>
          <w:sz w:val="18"/>
          <w:szCs w:val="18"/>
          <w:color w:val="auto"/>
        </w:rPr>
      </w:pPr>
    </w:p>
    <w:p>
      <w:pPr>
        <w:ind w:left="1080" w:right="280" w:hanging="424"/>
        <w:spacing w:after="0" w:line="286"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terms of the Exchange Notes are identical in all material respects to those of the outstanding Restricted Notes of the corresponding series, except that the Exchange Notes will be registered under the Securities Act and the transfer restrictions, registration rights and additional interest provisions relating to the Restricted Notes will not apply to the Exchange Notes;</w:t>
      </w:r>
    </w:p>
    <w:p>
      <w:pPr>
        <w:spacing w:after="0" w:line="70" w:lineRule="exact"/>
        <w:rPr>
          <w:rFonts w:ascii="Arial" w:cs="Arial" w:eastAsia="Arial" w:hAnsi="Arial"/>
          <w:sz w:val="17"/>
          <w:szCs w:val="17"/>
          <w:color w:val="auto"/>
        </w:rPr>
      </w:pPr>
    </w:p>
    <w:p>
      <w:pPr>
        <w:ind w:left="1080" w:right="58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exchange of the Restricted Notes for the Exchange Notes will not be a taxable transaction for United States federal income tax purposes, but you should see the discussion under the caption “Material Tax Considerations” for more information;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 and</w:t>
      </w:r>
    </w:p>
    <w:p>
      <w:pPr>
        <w:spacing w:after="0" w:line="130" w:lineRule="exact"/>
        <w:rPr>
          <w:rFonts w:ascii="Arial" w:cs="Arial" w:eastAsia="Arial" w:hAnsi="Arial"/>
          <w:sz w:val="18"/>
          <w:szCs w:val="18"/>
          <w:color w:val="auto"/>
        </w:rPr>
      </w:pPr>
    </w:p>
    <w:p>
      <w:pPr>
        <w:ind w:left="1080" w:right="68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issued the Restricted Notes in a transaction not requiring registration under the Securities Act, and, as a result, their transfer is restricted. We are making the exchange offer to satisfy your registration rights as a holder of the Restricted Notes.</w:t>
      </w:r>
    </w:p>
    <w:p>
      <w:pPr>
        <w:spacing w:after="0" w:line="12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Exchange Notes will be our senior unsecured indebtedness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our existing and future senior unsecured indebtedness that is not expressly subordinated to the Exchange Notes, rank senior in right of payment to all of our existing and future indebtedness that is expressly subordinated to the Exchange Notes and be effectively subordinated to all of our existing and future secured indebtedness to the extent of the value of the collateral securing such indebtedness. The Exchange Notes will be structurally subordinated to all of the existing and future liabilities, including trade payables, of our existing and future subsidiaries that do not guarantee the Exchange Notes. The Exchange Notes will be guaranteed on a senior unsecured basis upon issuance by Utah Acquisition Sub Inc., a Delaware corporation and an indirect wholly owned subsidiary of Viatris, Mylan II B.V.,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xml:space="preserve">) incorporated and existing under the laws of the Netherlands and an indirect wholly owned subsidiary of Viatris, and Mylan Inc., a Pennsylvania corporation and an indirect wholly owned subsidiary of Viatris. In addition, if a subsidiary of Viatris becomes a guarantor or an obligor in respect of certain indebtedness after the issue date of the Exchange Notes, such subsidiary will guarantee the Exchange Notes on the terms and subject to the conditions set forth herein. The guarantees will be senior unsecured obligations of each guarantor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Exchange Notes, rank senior in right of payment to all existing and future obligations of such guarantor that are expressly subordinated to such guarantor’s guarantee of the Exchange Notes and be effectively subordinated to such guarantor’s existing and future secured obligations to the extent of the value of the collateral securing such obligations. The guarantees will be structurally subordinated to all of the existing and future liabilities, including trade payables, of the existing and future subsidiaries of such guarantor that do not guarantee the Exchange Notes. For a more detailed description of the Exchange Notes, see “Description of the Exchange Notes.”</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Exchange Notes, together with any Restricted Notes that are not exchanged in the exchange offer, will be governed by the same indenture, constitute the same class of debt securities for the purposes of the indenture and vote together on all matters. All untendered Restricted Notes will continue to be subject to the restrictions on transfer set forth in the Restricted Notes and in the indenture governing such series of Restricted Notes. In general, the Restricted Notes may not be offered or sold, unless registered under the Securities Act, except pursuant to an exemption from, or in a transaction not subject to, registration under the Securities Act. Other than in connection with this exchange offer, Viatris does not currently anticipate that it will register any series of the Restricted Notes under the Securities Act.</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broker-dealer that receives the Exchange Notes for its own account pursuant to the exchange offer must acknowledge that it will deliver a prospectus meeting the requirements of the Securities Act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the Exchange Notes received in exchange for the Restricted Notes where such Restricted Notes were acquired by such broker-dealer as a result of market-making activities or other trading activities. We have agreed that, for a period of 90 days after the expiration of this exchange offer, we will make this prospectus available to any broker-dealer for use in connection with any such resale. See “Plan of Distribution.”</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established trading market for the Exchange Notes and the Exchange Notes will not be listed on any securities exchange or quoted on any automated quotation system.</w:t>
      </w:r>
    </w:p>
    <w:p>
      <w:pPr>
        <w:spacing w:after="0" w:line="157" w:lineRule="exact"/>
        <w:rPr>
          <w:sz w:val="20"/>
          <w:szCs w:val="20"/>
          <w:color w:val="auto"/>
        </w:rPr>
      </w:pPr>
    </w:p>
    <w:p>
      <w:pPr>
        <w:ind w:left="120" w:right="380" w:firstLine="55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2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 for a discussion of risks you should consider prior to tendering your outstanding Restricted Notes for exchange.</w:t>
      </w:r>
    </w:p>
    <w:p>
      <w:pPr>
        <w:spacing w:after="0" w:line="171"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date of this prospectus is September 28, 2021.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responsible for the information contained in this prospectus and any prospectus supplement, free writing prospectus or post-effective amendment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We are not making the exchange offer to, nor will we accept surrenders for exchange from, holders of outstanding Restricted Notes in any jurisdiction in which the applicable exchange offer would not be in compliance with the securities or blue sky laws of such jurisdiction or where it is otherwise unlawful. This document may only be used where it is legal to exchange these securities. You should not assume that the information contained or incorporated by reference in this prospectus or any prospectus supplement, free writing prospectus or post-effective amendment is correct as of any date after the date of the document containing the information. Since the respective dates of the prospectus and any prospectus supplement, free writing prospectus or post-effective amendment, our business, financial condition, results of operations and prospects may have changed. Except as required by law, we undertake no obligation to update any information contained or incorporated herein for revisions or changes after the date of this prospectus.</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3"/>
        </w:trPr>
        <w:tc>
          <w:tcPr>
            <w:tcW w:w="10660" w:type="dxa"/>
            <w:vAlign w:val="bottom"/>
            <w:gridSpan w:val="18"/>
            <w:vMerge w:val="continue"/>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INCORPORATION BY REFERENCE</w:t>
              </w:r>
            </w:hyperlink>
          </w:p>
        </w:tc>
        <w:tc>
          <w:tcPr>
            <w:tcW w:w="7840" w:type="dxa"/>
            <w:vAlign w:val="bottom"/>
            <w:gridSpan w:val="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LANGUAGE REGARDING FORWARD-LOOKING STATEMENTS</w:t>
              </w:r>
            </w:hyperlink>
          </w:p>
        </w:tc>
        <w:tc>
          <w:tcPr>
            <w:tcW w:w="4360" w:type="dxa"/>
            <w:vAlign w:val="bottom"/>
            <w:gridSpan w:val="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23"/>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SUMMARY</w:t>
              </w:r>
            </w:hyperlink>
          </w:p>
        </w:tc>
        <w:tc>
          <w:tcPr>
            <w:tcW w:w="9740" w:type="dxa"/>
            <w:vAlign w:val="bottom"/>
            <w:gridSpan w:val="1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UNAUDITED PRO FORMA CONDENSED COMBINED FINANCIAL INFORMATION OF VIATRIS AND THE UPJOHN BUSINESS</w:t>
              </w:r>
            </w:hyperlink>
          </w:p>
        </w:tc>
        <w:tc>
          <w:tcPr>
            <w:tcW w:w="6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9080" w:type="dxa"/>
            <w:vAlign w:val="bottom"/>
            <w:gridSpan w:val="1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THE EXCHANGE OFFER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DESCRIPTION OF THE EXCHANGE NOTES</w:t>
              </w:r>
            </w:hyperlink>
          </w:p>
        </w:tc>
        <w:tc>
          <w:tcPr>
            <w:tcW w:w="7160" w:type="dxa"/>
            <w:vAlign w:val="bottom"/>
            <w:gridSpan w:val="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BOOK-ENTRY, DELIVERY AND FORM</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100" w:type="dxa"/>
            <w:vAlign w:val="bottom"/>
            <w:tcBorders>
              <w:top w:val="single" w:sz="8" w:color="0000EE"/>
            </w:tcBorders>
            <w:gridSpan w:val="1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PLAN OF DISTRIBUTION</w:t>
              </w:r>
            </w:hyperlink>
          </w:p>
        </w:tc>
        <w:tc>
          <w:tcPr>
            <w:tcW w:w="7560" w:type="dxa"/>
            <w:vAlign w:val="bottom"/>
            <w:gridSpan w:val="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MATERIAL TAX CONSIDERATIONS</w:t>
              </w:r>
            </w:hyperlink>
          </w:p>
        </w:tc>
        <w:tc>
          <w:tcPr>
            <w:tcW w:w="7760" w:type="dxa"/>
            <w:vAlign w:val="bottom"/>
            <w:gridSpan w:val="8"/>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LEGAL MATTERS</w:t>
              </w:r>
            </w:hyperlink>
          </w:p>
        </w:tc>
        <w:tc>
          <w:tcPr>
            <w:tcW w:w="9200" w:type="dxa"/>
            <w:vAlign w:val="bottom"/>
            <w:gridSpan w:val="1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1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ENFORCEABILITY OF CIVIL LIABILITIES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400" w:type="dxa"/>
            <w:vAlign w:val="bottom"/>
            <w:gridSpan w:val="1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CERTAIN INSOLVENCY LAW CONSIDERATIONS</w:t>
              </w:r>
            </w:hyperlink>
          </w:p>
        </w:tc>
        <w:tc>
          <w:tcPr>
            <w:tcW w:w="6700" w:type="dxa"/>
            <w:vAlign w:val="bottom"/>
            <w:gridSpan w:val="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 is important that you read and consider all of the information contained in this prospectus in making your investment decision. You should also read and consider the information in the documents to which we have referred you in “Incorporation by Reference” and “Where You Can Find More Information.”</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this prospectus, unless otherwise indicated herein or the context otherwise indicates, the terms the “Company,” “Viatris,” “our,” and “we” refer to Viatris Inc., a Delaware corporation, and, where appropriate, its consolidated subsidiaries, except in the “Description of the Exchange Notes” or where it is clear from the context that the terms mean only the issuer, Viatris Inc. “Utah Acquisition Sub Inc.” refers to Utah Acquisition Sub Inc., a Delaware corporation, and, where appropriate, its consolidated subsidiaries, except in the “Description of the Exchange Notes” or where it is clear from the context that the term means only Utah Acquisition Sub Inc. “Mylan II B.V.” refers to Mylan II B.V., a private limited liability company (</w:t>
      </w:r>
      <w:r>
        <w:rPr>
          <w:rFonts w:ascii="Arial" w:cs="Arial" w:eastAsia="Arial" w:hAnsi="Arial"/>
          <w:sz w:val="17"/>
          <w:szCs w:val="17"/>
          <w:i w:val="1"/>
          <w:iCs w:val="1"/>
          <w:color w:val="auto"/>
        </w:rPr>
        <w:t>besloten</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 met beperkte aansprakelijkheid</w:t>
      </w:r>
      <w:r>
        <w:rPr>
          <w:rFonts w:ascii="Arial" w:cs="Arial" w:eastAsia="Arial" w:hAnsi="Arial"/>
          <w:sz w:val="17"/>
          <w:szCs w:val="17"/>
          <w:color w:val="auto"/>
        </w:rPr>
        <w:t>) incorporated and existing under the laws of the Netherlands and, where appropriate, its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except in the “Description of the Exchange Notes” or where it is clear from the context that the term means only Mylan II B.V. “Mylan Inc.” refers to Mylan Inc., a Pennsylvania corporation and, where appropriate, its consolidated subsidiaries, except in the “Description of the Exchange Notes” or it is clear from the context that the term means only Mylan Inc. Unless otherwise indicated in this prospectus or the context otherwise indicates, the “guarantors” means Utah Acquisition Sub Inc., Mylan II B.V. and Mylan Inc.</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On November 16, 2020, Viatris, formerly known as Upjohn Inc. (“Upjohn”), Mylan N.V. (“Mylan”) and Pfizer Inc. (“Pfizer”) consummated the combination of Mylan with Pfizer’s off-patent branded and generic established medicines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shareholders as of the Record Date (the “Distribution”), and (3) immediately following the Distribution, Viatris and Mylan engaged in a strategic business combination transaction (the “Combination”). As a result of the Combination, Viatris holds the combined Upjohn Business and Mylan business. 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herein, currency amounts in this prospectus are stated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“incorporate by reference” certain information into this prospectus from certain documents that Viatris has filed with the Securities and Exchange Commission (the “SEC”) prior to the date of this prospectus.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98" w:lineRule="exact"/>
        <w:rPr>
          <w:sz w:val="20"/>
          <w:szCs w:val="20"/>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0000EE"/>
        </w:rPr>
      </w:pPr>
      <w:hyperlink r:id="rId14">
        <w:r>
          <w:rPr>
            <w:rFonts w:ascii="Arial" w:cs="Arial" w:eastAsia="Arial" w:hAnsi="Arial"/>
            <w:sz w:val="18"/>
            <w:szCs w:val="18"/>
            <w:color w:val="auto"/>
          </w:rPr>
          <w:t xml:space="preserve">Annual Report on </w:t>
        </w:r>
        <w:r>
          <w:rPr>
            <w:rFonts w:ascii="Arial" w:cs="Arial" w:eastAsia="Arial" w:hAnsi="Arial"/>
            <w:sz w:val="18"/>
            <w:szCs w:val="18"/>
            <w:u w:val="single" w:color="auto"/>
            <w:color w:val="0000EE"/>
          </w:rPr>
          <w:t>Form 10-K</w:t>
        </w:r>
        <w:r>
          <w:rPr>
            <w:rFonts w:ascii="Arial" w:cs="Arial" w:eastAsia="Arial" w:hAnsi="Arial"/>
            <w:sz w:val="18"/>
            <w:szCs w:val="18"/>
            <w:color w:val="auto"/>
          </w:rPr>
          <w:t xml:space="preserve"> of Viatris for the year ended December 31, 2020, filed on March 1, 2021 (as amended by </w:t>
        </w:r>
        <w:r>
          <w:rPr>
            <w:rFonts w:ascii="Arial" w:cs="Arial" w:eastAsia="Arial" w:hAnsi="Arial"/>
            <w:sz w:val="18"/>
            <w:szCs w:val="18"/>
            <w:u w:val="single" w:color="auto"/>
            <w:color w:val="0000EE"/>
          </w:rPr>
          <w:t>Amendment No. 1</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EE"/>
          </w:rPr>
          <w:t>on Form 10-K/A</w:t>
        </w:r>
        <w:r>
          <w:rPr>
            <w:rFonts w:ascii="Arial" w:cs="Arial" w:eastAsia="Arial" w:hAnsi="Arial"/>
            <w:sz w:val="18"/>
            <w:szCs w:val="18"/>
            <w:color w:val="000000"/>
          </w:rPr>
          <w:t>, filed on April 30, 2021);</w:t>
        </w:r>
      </w:hyperlink>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Reports on Form 10-Q of Viatris for the three months ended </w:t>
      </w:r>
      <w:hyperlink r:id="rId16">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filed on May 10, 2021 and for the three and six months ended </w:t>
      </w:r>
      <w:hyperlink r:id="rId17">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on August 9, 2021;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Current Reports on Form 8-K or 8-K/A, as applicable, of Viatris filed on May 29, 2020 (solely </w:t>
      </w:r>
      <w:hyperlink r:id="rId18">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thereof), </w:t>
      </w:r>
      <w:hyperlink r:id="rId19">
        <w:r>
          <w:rPr>
            <w:rFonts w:ascii="Arial" w:cs="Arial" w:eastAsia="Arial" w:hAnsi="Arial"/>
            <w:sz w:val="18"/>
            <w:szCs w:val="18"/>
            <w:u w:val="single" w:color="auto"/>
            <w:color w:val="0000EE"/>
          </w:rPr>
          <w:t>January 29, 2021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February 25,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1">
        <w:r>
          <w:rPr>
            <w:rFonts w:ascii="Arial" w:cs="Arial" w:eastAsia="Arial" w:hAnsi="Arial"/>
            <w:sz w:val="18"/>
            <w:szCs w:val="18"/>
            <w:u w:val="single" w:color="auto"/>
            <w:color w:val="0000EE"/>
          </w:rPr>
          <w:t xml:space="preserve">June 17,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0000EE"/>
          </w:rPr>
          <w:t>July 1, 2021</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4" w:lineRule="auto"/>
        <w:rPr>
          <w:sz w:val="20"/>
          <w:szCs w:val="20"/>
          <w:color w:val="auto"/>
        </w:rPr>
      </w:pPr>
      <w:r>
        <w:rPr>
          <w:rFonts w:ascii="Arial" w:cs="Arial" w:eastAsia="Arial" w:hAnsi="Arial"/>
          <w:sz w:val="18"/>
          <w:szCs w:val="18"/>
          <w:color w:val="auto"/>
        </w:rPr>
        <w:t>We hereby further incorporate by reference additional documents that Viatris may file with the SEC pursuant to Sections 13(a), 13(c), 14 or 15(d) of the Exchange Act on and after the date of this prospectus until the termination of the offering of the Exchange Notes and after the date of the initial registration statement and prior to the effectiveness of the registration statement of which this prospectus is a part (other than information furnished pursuant to Item 2.02 or Item 7.01 of a Current Report on Form 8-K). These documents include periodic reports, such as Annual Reports on Form 10-K and Quarterly Reports on Form 10-Q and certain Current Reports on Form 8-K (or portions thereof) that are “filed” with the SEC, as well as proxy statements. A hard copy of the documents Viatris filed with the SEC that are incorporated by reference into this prospectus will not be sent to you unless requested.</w:t>
      </w:r>
    </w:p>
    <w:p>
      <w:pPr>
        <w:spacing w:after="0" w:line="195" w:lineRule="exact"/>
        <w:rPr>
          <w:rFonts w:ascii="Arial" w:cs="Arial" w:eastAsia="Arial" w:hAnsi="Arial"/>
          <w:sz w:val="18"/>
          <w:szCs w:val="18"/>
          <w:color w:val="0000EE"/>
        </w:rPr>
      </w:pPr>
    </w:p>
    <w:p>
      <w:pPr>
        <w:ind w:left="120" w:right="480" w:firstLine="440"/>
        <w:spacing w:after="0" w:line="277" w:lineRule="auto"/>
        <w:rPr>
          <w:sz w:val="20"/>
          <w:szCs w:val="20"/>
          <w:color w:val="auto"/>
        </w:rPr>
      </w:pPr>
      <w:r>
        <w:rPr>
          <w:rFonts w:ascii="Arial" w:cs="Arial" w:eastAsia="Arial" w:hAnsi="Arial"/>
          <w:sz w:val="18"/>
          <w:szCs w:val="18"/>
          <w:color w:val="auto"/>
        </w:rPr>
        <w:t>You can obtain any of the documents incorporated by reference into this prospectus from the SEC, through the SEC’s website at the address described below or from us by requesting them in writing or by telephone at the following address:</w:t>
      </w:r>
    </w:p>
    <w:p>
      <w:pPr>
        <w:spacing w:after="0" w:line="170"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Viatris Inc.</w:t>
      </w:r>
    </w:p>
    <w:p>
      <w:pPr>
        <w:spacing w:after="0" w:line="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1000 Mylan Boulevard</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Canonsburg, Pennsylvania 15317</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Tel: (724) 514-1800</w:t>
      </w:r>
    </w:p>
    <w:p>
      <w:pPr>
        <w:spacing w:after="0" w:line="200" w:lineRule="exact"/>
        <w:rPr>
          <w:rFonts w:ascii="Arial" w:cs="Arial" w:eastAsia="Arial" w:hAnsi="Arial"/>
          <w:sz w:val="18"/>
          <w:szCs w:val="18"/>
          <w:color w:val="0000EE"/>
        </w:rPr>
      </w:pPr>
    </w:p>
    <w:p>
      <w:pPr>
        <w:spacing w:after="0" w:line="2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0000EE"/>
        </w:rPr>
      </w:pPr>
    </w:p>
    <w:p>
      <w:pPr>
        <w:ind w:left="120" w:firstLine="440"/>
        <w:spacing w:after="0" w:line="286" w:lineRule="auto"/>
        <w:rPr>
          <w:sz w:val="20"/>
          <w:szCs w:val="20"/>
          <w:color w:val="auto"/>
        </w:rPr>
      </w:pPr>
      <w:r>
        <w:rPr>
          <w:rFonts w:ascii="Arial" w:cs="Arial" w:eastAsia="Arial" w:hAnsi="Arial"/>
          <w:sz w:val="17"/>
          <w:szCs w:val="17"/>
          <w:color w:val="auto"/>
        </w:rPr>
        <w:t>Viatris files annual, quarterly and current reports, proxy statements and other information with the SEC under the Exchange Act. The SEC also maintains an Internet website from which interested parties can electronically access our SEC filings. The address of that site is http://www.sec.gov. Our Internet website address is www.viatris.com. Information on our website does not constitute a part of this prospectus.</w:t>
      </w:r>
    </w:p>
    <w:p>
      <w:pPr>
        <w:spacing w:after="0" w:line="161" w:lineRule="exact"/>
        <w:rPr>
          <w:rFonts w:ascii="Arial" w:cs="Arial" w:eastAsia="Arial" w:hAnsi="Arial"/>
          <w:sz w:val="18"/>
          <w:szCs w:val="18"/>
          <w:color w:val="0000EE"/>
        </w:rPr>
      </w:pPr>
    </w:p>
    <w:p>
      <w:pPr>
        <w:ind w:left="120" w:right="400" w:firstLine="440"/>
        <w:spacing w:after="0" w:line="312" w:lineRule="auto"/>
        <w:rPr>
          <w:sz w:val="20"/>
          <w:szCs w:val="20"/>
          <w:color w:val="auto"/>
        </w:rPr>
      </w:pPr>
      <w:r>
        <w:rPr>
          <w:rFonts w:ascii="Arial" w:cs="Arial" w:eastAsia="Arial" w:hAnsi="Arial"/>
          <w:sz w:val="17"/>
          <w:szCs w:val="17"/>
          <w:b w:val="1"/>
          <w:bCs w:val="1"/>
          <w:color w:val="auto"/>
        </w:rPr>
        <w:t>In order to obtain timely delivery of these documents, you must request the information no later than October 21, 2021, which is five business days before the expiration date of this exchange offer, unless we extend the time period for the exchange offer.</w:t>
      </w:r>
    </w:p>
    <w:p>
      <w:pPr>
        <w:spacing w:after="0" w:line="144" w:lineRule="exact"/>
        <w:rPr>
          <w:rFonts w:ascii="Arial" w:cs="Arial" w:eastAsia="Arial" w:hAnsi="Arial"/>
          <w:sz w:val="18"/>
          <w:szCs w:val="18"/>
          <w:color w:val="0000EE"/>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have agreed that, even if we are not subject to the reporting requirements of Section 13 or 15(d) of the Exchange Act, for so long as any of the Exchange Notes remain outstanding, we will file with the SEC (unless the SEC will not accept such a filing, in which case we will provide to holders of the Exchange Notes) all annual and quarterly reports, and such information, documents and other reports as are specified in Sections 13 and 15(d) of the Exchange Act and applicable to a U.S. corporation subject to such sections.</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57" w:lineRule="exact"/>
        <w:rPr>
          <w:rFonts w:ascii="Arial" w:cs="Arial" w:eastAsia="Arial" w:hAnsi="Arial"/>
          <w:sz w:val="18"/>
          <w:szCs w:val="18"/>
          <w:color w:val="0000EE"/>
        </w:rPr>
      </w:pPr>
    </w:p>
    <w:p>
      <w:pPr>
        <w:ind w:left="2300"/>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This prospectus, and the documents incorporated herein by reference, contain “forward-looking statements.”</w:t>
      </w:r>
    </w:p>
    <w:p>
      <w:pPr>
        <w:spacing w:after="0" w:line="225" w:lineRule="exact"/>
        <w:rPr>
          <w:rFonts w:ascii="Arial" w:cs="Arial" w:eastAsia="Arial" w:hAnsi="Arial"/>
          <w:sz w:val="18"/>
          <w:szCs w:val="18"/>
          <w:color w:val="0000EE"/>
        </w:rPr>
      </w:pPr>
    </w:p>
    <w:p>
      <w:pPr>
        <w:ind w:left="120" w:right="160" w:firstLine="440"/>
        <w:spacing w:after="0" w:line="277" w:lineRule="auto"/>
        <w:rPr>
          <w:sz w:val="20"/>
          <w:szCs w:val="20"/>
          <w:color w:val="auto"/>
        </w:rPr>
      </w:pPr>
      <w:r>
        <w:rPr>
          <w:rFonts w:ascii="Arial" w:cs="Arial" w:eastAsia="Arial" w:hAnsi="Arial"/>
          <w:sz w:val="18"/>
          <w:szCs w:val="18"/>
          <w:color w:val="auto"/>
        </w:rPr>
        <w:t>These statements are made pursuant to the safe harbor provisions of the Private Securities Litigation Reform Act of 1995. Such forward-looking statements may include, without limitation, statements about the</w:t>
      </w:r>
    </w:p>
    <w:p>
      <w:pPr>
        <w:spacing w:after="0" w:line="10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02" w:lineRule="exact"/>
        <w:rPr>
          <w:sz w:val="20"/>
          <w:szCs w:val="20"/>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impacts of competition, including decreases in sales or revenues as a result of the loss of market exclusivity for certain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accounting principles generally accepted in the United States of America (“U.S. GAAP”) and related standards or on an adjusted basis.</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For more detailed information on the risks and uncertainties associated with the Company’s business activities, see the risks described in the Annual Report on Form 10-K of Viatris for the year ended December 31, 2020 and Viatris’ other filings with the SEC.</w:t>
      </w:r>
    </w:p>
    <w:p>
      <w:pPr>
        <w:spacing w:after="0" w:line="146"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6"/>
          <w:szCs w:val="16"/>
          <w:color w:val="auto"/>
        </w:rPr>
        <w:t>In addition, risks related to the securities are more fully discussed in the section entitled “Risk Factors” beginning on page 18 of this prospectus. You can access Viatris’ filings with the SEC through the SEC website at www.sec.gov or through our website, and we strongly encourage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The contents of our website are not incorporated by reference in this prospectus and shall not be deemed “filed” under the Exchange Act. Viatris undertakes no obligation to update any statements herein for revisions or changes after the filing date of this prospectus other than as required by law.</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i w:val="1"/>
          <w:iCs w:val="1"/>
          <w:color w:val="auto"/>
        </w:rPr>
        <w:t>The information below about us and the exchange offer is a summary of the more detailed information included elsewhere or incorporated by reference in this prospectus. You should read carefully the following summary together with the more detailed information contained in this prospectus and the information incorporated by reference into those documents, including the risk factors described on page 18 of this prospectus and the “Risk Factors” sections in our Annual Report on Form 10-K for the year ended December 31, 2020. This summary is not complete and does not contain all of the information you should consider when making your investment decision.</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more than 40,000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Structure</w:t>
      </w:r>
    </w:p>
    <w:p>
      <w:pPr>
        <w:spacing w:after="0" w:line="229"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color w:val="auto"/>
        </w:rPr>
        <w:t>The following chart provides a summary of our corporate structure and the amount of indebtedness outstanding as of June 30, 2021. The chart only depicts selected subsidiaries of Viatris, and does not distinguish between direct and indirect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right="180" w:hanging="422"/>
        <w:spacing w:after="0" w:line="287"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Viatris Inc. guarantees all of the outstanding senior unsecured indebtedness of (i) Upjohn Finance B.V. under the Euro Notes (as described below), (ii) Utah Acquisition Sub Inc. under the Mylan Notes (as described below) and (iii) Mylan Inc. under the Mylan Notes. The outstanding senior notes of Utah Acquisition Sub Inc. and Mylan Inc. are collectively referred to herein as the “Mylan Notes.”</w:t>
      </w:r>
    </w:p>
    <w:p>
      <w:pPr>
        <w:spacing w:after="0" w:line="2" w:lineRule="exact"/>
        <w:rPr>
          <w:rFonts w:ascii="Arial" w:cs="Arial" w:eastAsia="Arial" w:hAnsi="Arial"/>
          <w:sz w:val="16"/>
          <w:szCs w:val="16"/>
          <w:color w:val="auto"/>
        </w:rPr>
      </w:pPr>
    </w:p>
    <w:p>
      <w:pPr>
        <w:ind w:left="720" w:hanging="42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senior unsecured notes of Upjohn Finance B.V. are collectively referred to herein as the “Euro Notes.”</w:t>
      </w:r>
    </w:p>
    <w:p>
      <w:pPr>
        <w:spacing w:after="0" w:line="9" w:lineRule="exact"/>
        <w:rPr>
          <w:rFonts w:ascii="Arial" w:cs="Arial" w:eastAsia="Arial" w:hAnsi="Arial"/>
          <w:sz w:val="18"/>
          <w:szCs w:val="18"/>
          <w:color w:val="auto"/>
        </w:rPr>
      </w:pPr>
    </w:p>
    <w:p>
      <w:pPr>
        <w:ind w:left="720" w:right="80" w:hanging="422"/>
        <w:spacing w:after="0" w:line="265"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Utah Acquisition Sub Inc. guarantees all of the outstanding senior unsecured indebtedness of (i) Viatris Inc., (ii) Upjohn Finance B.V. under the Euro Notes and (iii) Mylan Inc. under the Mylan Notes and will guarantee the Exchange Notes upon issuance.</w:t>
      </w:r>
    </w:p>
    <w:p>
      <w:pPr>
        <w:ind w:left="720" w:right="200" w:hanging="422"/>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Mylan II B.V. guarantees all of the outstanding senior unsecured indebtedness of (i) Viatris Inc., (ii) Upjohn Finance B.V. under the Euro Notes, (iii) Utah Acquisition Sub Inc. under the Mylan Notes and (iv) Mylan Inc. under the Mylan Notes and will guarantee the Exchange Notes upon issuance.</w:t>
      </w:r>
    </w:p>
    <w:p>
      <w:pPr>
        <w:spacing w:after="0" w:line="1" w:lineRule="exact"/>
        <w:rPr>
          <w:rFonts w:ascii="Arial" w:cs="Arial" w:eastAsia="Arial" w:hAnsi="Arial"/>
          <w:sz w:val="18"/>
          <w:szCs w:val="18"/>
          <w:color w:val="auto"/>
        </w:rPr>
      </w:pPr>
    </w:p>
    <w:p>
      <w:pPr>
        <w:ind w:left="720" w:right="40" w:hanging="422"/>
        <w:spacing w:after="0" w:line="265"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Mylan Inc. guarantees all of the outstanding senior unsecured indebtedness of (i) Viatris Inc., (ii) Upjohn Finance B.V. under the Euro Notes and (iii) Utah Acquisition Sub Inc. under the Mylan Notes and will guarantee the Exchange Notes upon issuance.</w:t>
      </w:r>
    </w:p>
    <w:p>
      <w:pPr>
        <w:ind w:left="720" w:hanging="422"/>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June 30, 2021, there were (i) $900.0 million of outstanding borrowings under the Revolving Credit Agreement, dated as of June 16, 2020, among Viatris, as borrower, the guarantors from time to time party</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20" w:top="459"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83" w:lineRule="auto"/>
        <w:rPr>
          <w:sz w:val="20"/>
          <w:szCs w:val="20"/>
          <w:color w:val="auto"/>
        </w:rPr>
      </w:pPr>
      <w:r>
        <w:rPr>
          <w:rFonts w:ascii="Arial" w:cs="Arial" w:eastAsia="Arial" w:hAnsi="Arial"/>
          <w:sz w:val="16"/>
          <w:szCs w:val="16"/>
          <w:color w:val="auto"/>
        </w:rPr>
        <w:t>thereto, the lenders and issuing banks from time to time party thereto and Bank of America, N.A., as administrative agent (the “2020 Revolving Facility”), and (ii) $600.0 million of outstanding borrowings under the Delayed Draw Term Credit Agreement, dated as of June 16, 2020, among Viatris, the guarantors from time to time party thereto, the lenders from time to time party thereto and MUFG Bank, Ltd., as administrative agent (the “USD Term Loan Facility”). On July 1, 2021, Viatris entered into (i) a ¥40.0 billion term loan credit agreement (the “YEN Term Loan Facility”) by and among Viatris, certain affiliates and subsidiaries of Viatris as guarantors, each lender from time to time party thereto and Mizuho Bank, Ltd., as administrative agent, and (ii) a $4.0 billion revolving credit agreement (the “2021 Revolving Facility”) by and among Viatris, certain affiliates and subsidiaries of Viatris as guarantors, certain lenders and issuing banks from time to time party thereto and Bank of America, N.A., as administrative agent. The 2021 Revolving Facility amended and restated the 2020 Revolving Facility and proceeds from the 2021 Revolving Facility were used to repay outstanding obligations under the 2020 Revolving Facility. Proceeds from the YEN Term Loan Facility and the 2021 Revolving Facility were also used to repay the USD Term Loan Facility in full and the USD Term Loan Facility was terminated. As of the date of this prospectus, there were no outstanding borrowings under the 2021 Revolving Facility and ¥40.0 billion of outstanding borrowings under the YEN Term Loan Facility, respectively.</w:t>
      </w:r>
    </w:p>
    <w:p>
      <w:pPr>
        <w:spacing w:after="0" w:line="3" w:lineRule="exact"/>
        <w:rPr>
          <w:sz w:val="20"/>
          <w:szCs w:val="20"/>
          <w:color w:val="auto"/>
        </w:rPr>
      </w:pPr>
    </w:p>
    <w:p>
      <w:pPr>
        <w:jc w:val="both"/>
        <w:ind w:left="720" w:right="80" w:hanging="422"/>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30, 2021, there were $700.5 million of commercial paper notes outstanding under the unsecured commercial paper program dated as of November 16, 2020 (the “Commercial Paper Program”). As of September 27, 2021, there were $952.5 million of commercial paper notes outstanding under the Commercial Paper Program.</w:t>
      </w:r>
    </w:p>
    <w:p>
      <w:pPr>
        <w:spacing w:after="0" w:line="1" w:lineRule="exact"/>
        <w:rPr>
          <w:rFonts w:ascii="Arial" w:cs="Arial" w:eastAsia="Arial" w:hAnsi="Arial"/>
          <w:sz w:val="18"/>
          <w:szCs w:val="18"/>
          <w:color w:val="auto"/>
        </w:rPr>
      </w:pPr>
    </w:p>
    <w:p>
      <w:pPr>
        <w:ind w:left="720" w:right="340" w:hanging="422"/>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30, 2021, there were $400 million of outstanding short-term borrowings under the Amended and Restated Receivables Purchase Agreement dated as of January 27, 2015, among Mylan Securitization LLC, an indirect wholly owned subsidiary of Mylan Inc., as seller, Mylan Pharmaceuticals Inc., a wholly owned subsidiary of Mylan Inc., as originator and servicer, certain conduit purchasers, committed purchasers, letter of credit issuers and purchaser agents from time to time party thereto and MUFG Bank, Ltd., as agent (as amended, the “Accounts Receivable Securitization Facility”).</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June 30, 2021, there were $200 million of outstanding short-term borrowings under the Master Framework Agreement dated as of</w:t>
      </w:r>
    </w:p>
    <w:p>
      <w:pPr>
        <w:spacing w:after="0" w:line="20" w:lineRule="exact"/>
        <w:rPr>
          <w:rFonts w:ascii="Arial" w:cs="Arial" w:eastAsia="Arial" w:hAnsi="Arial"/>
          <w:sz w:val="17"/>
          <w:szCs w:val="17"/>
          <w:color w:val="auto"/>
        </w:rPr>
      </w:pPr>
    </w:p>
    <w:p>
      <w:pPr>
        <w:ind w:left="720" w:right="40"/>
        <w:spacing w:after="0" w:line="260" w:lineRule="auto"/>
        <w:rPr>
          <w:rFonts w:ascii="Arial" w:cs="Arial" w:eastAsia="Arial" w:hAnsi="Arial"/>
          <w:sz w:val="17"/>
          <w:szCs w:val="17"/>
          <w:color w:val="auto"/>
        </w:rPr>
      </w:pPr>
      <w:r>
        <w:rPr>
          <w:rFonts w:ascii="Arial" w:cs="Arial" w:eastAsia="Arial" w:hAnsi="Arial"/>
          <w:sz w:val="18"/>
          <w:szCs w:val="18"/>
          <w:color w:val="auto"/>
        </w:rPr>
        <w:t>April 25, 2019, among MUFG Bank, Ltd., as buyer, MUFG Bank, Ltd., as agent and Mylan Pharmaceuticals Inc., a wholly owned subsidiary of Mylan Inc., as seller (as amended, the “Note Securitization Facility”).</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Viatris Inc. is a Delaware corporation. Viatris Inc.’s address is 1000 Mylan Boulevard, Canonsburg, Pennsylvania 15317, and its telephone number is (724) 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incorporated and existing under the laws of the Netherlands, with its corporate seat (</w:t>
      </w:r>
      <w:r>
        <w:rPr>
          <w:rFonts w:ascii="Arial" w:cs="Arial" w:eastAsia="Arial" w:hAnsi="Arial"/>
          <w:sz w:val="17"/>
          <w:szCs w:val="17"/>
          <w:i w:val="1"/>
          <w:iCs w:val="1"/>
          <w:color w:val="auto"/>
        </w:rPr>
        <w:t>statutaire zetel</w:t>
      </w:r>
      <w:r>
        <w:rPr>
          <w:rFonts w:ascii="Arial" w:cs="Arial" w:eastAsia="Arial" w:hAnsi="Arial"/>
          <w:sz w:val="17"/>
          <w:szCs w:val="17"/>
          <w:color w:val="auto"/>
        </w:rPr>
        <w:t>)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the NASDAQ Stock Market (“NASDAQ”) under the symbol “VTRS”. Our Internet address is www.viatris.com. Information on our website does not constitute a part of this prospectus. Additional information about Viatris is included in the documents incorporated by reference into this prospectus. See “Where You Can Find More Information” and “Incorporation by Reference” in this prospectus.</w:t>
      </w: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22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998970" cy="6922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Description of the Exchange Offer</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June 22, 2020, we completed the private offering of $1,000,000,000 aggregate principal amount of 1.125% Senior Notes due 2022,</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$750,000,000 aggregate principal amount of 1.650% Senior Notes due 2025, $750,000,000 aggregate principal amount of 2.300% Senior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due 2027, $1,450,000,000 aggregate principal amount of 2.700% Senior Notes due 2030, $1,500,000,000 aggregate principal amount of 3.850%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2040 and $2,000,000,000 aggregate principal amount of 4.000% Senior Notes due 2050. As part of that offering, we entered into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registration rights agreement with the representatives of the initial purchasers of those Restricted Notes in which we agreed, among other things,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mail or make available a prospectus and letter of transmittal to registered holders of the Restricted Notes and to use our commercially reasonable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efforts to complete an exchange offer for such Restricted Notes in compliance with applicable securities laws. See “The Exchange Offer—Purpose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the Exchange Offer.”</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60" w:type="dxa"/>
            <w:vAlign w:val="bottom"/>
          </w:tcPr>
          <w:p>
            <w:pPr>
              <w:ind w:left="600"/>
              <w:spacing w:after="0"/>
              <w:rPr>
                <w:sz w:val="20"/>
                <w:szCs w:val="20"/>
                <w:color w:val="auto"/>
              </w:rPr>
            </w:pPr>
            <w:r>
              <w:rPr>
                <w:rFonts w:ascii="Arial" w:cs="Arial" w:eastAsia="Arial" w:hAnsi="Arial"/>
                <w:sz w:val="18"/>
                <w:szCs w:val="18"/>
                <w:color w:val="auto"/>
                <w:w w:val="98"/>
              </w:rPr>
              <w:t>Below is a summary of the exchange offer.</w:t>
            </w:r>
          </w:p>
        </w:tc>
        <w:tc>
          <w:tcPr>
            <w:tcW w:w="7060" w:type="dxa"/>
            <w:vAlign w:val="bottom"/>
          </w:tcPr>
          <w:p>
            <w:pPr>
              <w:spacing w:after="0"/>
              <w:rPr>
                <w:sz w:val="20"/>
                <w:szCs w:val="20"/>
                <w:color w:val="auto"/>
              </w:rPr>
            </w:pPr>
          </w:p>
        </w:tc>
      </w:tr>
      <w:tr>
        <w:trPr>
          <w:trHeight w:val="445"/>
        </w:trPr>
        <w:tc>
          <w:tcPr>
            <w:tcW w:w="3960" w:type="dxa"/>
            <w:vAlign w:val="bottom"/>
          </w:tcPr>
          <w:p>
            <w:pPr>
              <w:ind w:left="180"/>
              <w:spacing w:after="0"/>
              <w:rPr>
                <w:sz w:val="20"/>
                <w:szCs w:val="20"/>
                <w:color w:val="auto"/>
              </w:rPr>
            </w:pPr>
            <w:r>
              <w:rPr>
                <w:rFonts w:ascii="Arial" w:cs="Arial" w:eastAsia="Arial" w:hAnsi="Arial"/>
                <w:sz w:val="18"/>
                <w:szCs w:val="18"/>
                <w:color w:val="auto"/>
              </w:rPr>
              <w:t>Restricted Notes</w:t>
            </w: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$1,000,000,000 in aggregate principal amount of 1.125% Senior Notes due 2022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“2022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1.650% Senior Notes due 2025 (the “2025</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2.300% Senior Notes due 2027 (the “2027</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$1,450,000,000 in aggregate principal amount of 2.700% Senior Notes due 2030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“2030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$1,500,000,000 in aggregate principal amount of 3.850% Senior Notes due 2040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“2040 Restricted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$2,000,000,000 in aggregate principal amount of 4.000% Senior Notes due 2050 (the</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“2050 Restricted Notes” and, together with the 2022 Restricted Notes, the 2025 Restricted</w:t>
            </w:r>
          </w:p>
        </w:tc>
      </w:tr>
      <w:tr>
        <w:trPr>
          <w:trHeight w:val="216"/>
        </w:trPr>
        <w:tc>
          <w:tcPr>
            <w:tcW w:w="3960" w:type="dxa"/>
            <w:vAlign w:val="bottom"/>
          </w:tcPr>
          <w:p>
            <w:pPr>
              <w:spacing w:after="0"/>
              <w:rPr>
                <w:sz w:val="18"/>
                <w:szCs w:val="18"/>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2"/>
              </w:rPr>
              <w:t>Notes, the 2027 Restricted Notes, the 2030 Restricted Notes and the 2040 Restricted Notes,</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the “Restricted Notes”).</w:t>
            </w:r>
          </w:p>
        </w:tc>
      </w:tr>
      <w:tr>
        <w:trPr>
          <w:trHeight w:val="445"/>
        </w:trPr>
        <w:tc>
          <w:tcPr>
            <w:tcW w:w="3960" w:type="dxa"/>
            <w:vAlign w:val="bottom"/>
          </w:tcPr>
          <w:p>
            <w:pPr>
              <w:ind w:left="180"/>
              <w:spacing w:after="0"/>
              <w:rPr>
                <w:sz w:val="20"/>
                <w:szCs w:val="20"/>
                <w:color w:val="auto"/>
              </w:rPr>
            </w:pPr>
            <w:r>
              <w:rPr>
                <w:rFonts w:ascii="Arial" w:cs="Arial" w:eastAsia="Arial" w:hAnsi="Arial"/>
                <w:sz w:val="18"/>
                <w:szCs w:val="18"/>
                <w:color w:val="auto"/>
              </w:rPr>
              <w:t>Exchange Notes</w:t>
            </w: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$1,000,000,000 in aggregate principal amount of 1.125% Senior Notes due 2022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“2022 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1.650% Senior Notes due 2025 (the “2025</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4"/>
              </w:rPr>
              <w:t>$750,000,000 in aggregate principal amount of 2.300% Senior Notes due 2027 (the “2027</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$1,450,000,000 in aggregate principal amount of 2.700% Senior Notes due 2030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“2030 Exchange Notes”).</w:t>
            </w:r>
          </w:p>
        </w:tc>
      </w:tr>
      <w:tr>
        <w:trPr>
          <w:trHeight w:val="445"/>
        </w:trPr>
        <w:tc>
          <w:tcPr>
            <w:tcW w:w="3960" w:type="dxa"/>
            <w:vAlign w:val="bottom"/>
          </w:tcPr>
          <w:p>
            <w:pPr>
              <w:spacing w:after="0"/>
              <w:rPr>
                <w:sz w:val="24"/>
                <w:szCs w:val="24"/>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w w:val="99"/>
              </w:rPr>
              <w:t>$1,500,000,000 in aggregate principal amount of 3.850% Senior Notes due 2040 (the</w:t>
            </w:r>
          </w:p>
        </w:tc>
      </w:tr>
      <w:tr>
        <w:trPr>
          <w:trHeight w:val="230"/>
        </w:trPr>
        <w:tc>
          <w:tcPr>
            <w:tcW w:w="3960" w:type="dxa"/>
            <w:vAlign w:val="bottom"/>
          </w:tcPr>
          <w:p>
            <w:pPr>
              <w:spacing w:after="0"/>
              <w:rPr>
                <w:sz w:val="20"/>
                <w:szCs w:val="20"/>
                <w:color w:val="auto"/>
              </w:rPr>
            </w:pPr>
          </w:p>
        </w:tc>
        <w:tc>
          <w:tcPr>
            <w:tcW w:w="7060" w:type="dxa"/>
            <w:vAlign w:val="bottom"/>
          </w:tcPr>
          <w:p>
            <w:pPr>
              <w:ind w:left="260"/>
              <w:spacing w:after="0"/>
              <w:rPr>
                <w:sz w:val="20"/>
                <w:szCs w:val="20"/>
                <w:color w:val="auto"/>
              </w:rPr>
            </w:pPr>
            <w:r>
              <w:rPr>
                <w:rFonts w:ascii="Arial" w:cs="Arial" w:eastAsia="Arial" w:hAnsi="Arial"/>
                <w:sz w:val="18"/>
                <w:szCs w:val="18"/>
                <w:color w:val="auto"/>
              </w:rPr>
              <w:t>“2040 Exchange Notes”).</w:t>
            </w:r>
          </w:p>
        </w:tc>
      </w:tr>
      <w:tr>
        <w:trPr>
          <w:trHeight w:val="240"/>
        </w:trPr>
        <w:tc>
          <w:tcPr>
            <w:tcW w:w="3960" w:type="dxa"/>
            <w:vAlign w:val="bottom"/>
            <w:tcBorders>
              <w:bottom w:val="single" w:sz="8" w:color="auto"/>
            </w:tcBorders>
          </w:tcPr>
          <w:p>
            <w:pPr>
              <w:spacing w:after="0"/>
              <w:rPr>
                <w:sz w:val="20"/>
                <w:szCs w:val="20"/>
                <w:color w:val="auto"/>
              </w:rPr>
            </w:pPr>
          </w:p>
        </w:tc>
        <w:tc>
          <w:tcPr>
            <w:tcW w:w="7060" w:type="dxa"/>
            <w:vAlign w:val="bottom"/>
            <w:tcBorders>
              <w:bottom w:val="single" w:sz="8" w:color="auto"/>
            </w:tcBorders>
          </w:tcPr>
          <w:p>
            <w:pPr>
              <w:spacing w:after="0"/>
              <w:rPr>
                <w:sz w:val="20"/>
                <w:szCs w:val="20"/>
                <w:color w:val="auto"/>
              </w:rPr>
            </w:pPr>
          </w:p>
        </w:tc>
      </w:tr>
      <w:tr>
        <w:trPr>
          <w:trHeight w:val="361"/>
        </w:trPr>
        <w:tc>
          <w:tcPr>
            <w:tcW w:w="3960" w:type="dxa"/>
            <w:vAlign w:val="bottom"/>
          </w:tcPr>
          <w:p>
            <w:pPr>
              <w:spacing w:after="0"/>
              <w:rPr>
                <w:sz w:val="24"/>
                <w:szCs w:val="24"/>
                <w:color w:val="auto"/>
              </w:rPr>
            </w:pPr>
          </w:p>
        </w:tc>
        <w:tc>
          <w:tcPr>
            <w:tcW w:w="7060" w:type="dxa"/>
            <w:vAlign w:val="bottom"/>
          </w:tcPr>
          <w:p>
            <w:pPr>
              <w:ind w:left="15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59" w:lineRule="auto"/>
        <w:rPr>
          <w:sz w:val="20"/>
          <w:szCs w:val="20"/>
          <w:color w:val="auto"/>
        </w:rPr>
      </w:pPr>
      <w:r>
        <w:rPr>
          <w:rFonts w:ascii="Arial" w:cs="Arial" w:eastAsia="Arial" w:hAnsi="Arial"/>
          <w:sz w:val="18"/>
          <w:szCs w:val="18"/>
          <w:color w:val="auto"/>
        </w:rPr>
        <w:t>$2,000,000,000 in aggregate principal amount of 4.000% Senior Notes due 2050 (the “2050 Exchange Notes” and, together with the 2022 Exchange Notes, the 2025 Exchange Notes, the 2027 Exchange Notes, the 2030 Exchange Notes and the 2040 Exchange Notes, the “Exchange Notes”).</w:t>
      </w:r>
    </w:p>
    <w:p>
      <w:pPr>
        <w:spacing w:after="0" w:line="214" w:lineRule="exact"/>
        <w:rPr>
          <w:sz w:val="20"/>
          <w:szCs w:val="20"/>
          <w:color w:val="auto"/>
        </w:rPr>
      </w:pPr>
    </w:p>
    <w:p>
      <w:pPr>
        <w:ind w:left="4340" w:right="40"/>
        <w:spacing w:after="0" w:line="277" w:lineRule="auto"/>
        <w:rPr>
          <w:sz w:val="20"/>
          <w:szCs w:val="20"/>
          <w:color w:val="auto"/>
        </w:rPr>
      </w:pPr>
      <w:r>
        <w:rPr>
          <w:rFonts w:ascii="Arial" w:cs="Arial" w:eastAsia="Arial" w:hAnsi="Arial"/>
          <w:sz w:val="18"/>
          <w:szCs w:val="18"/>
          <w:color w:val="auto"/>
        </w:rPr>
        <w:t>The issuance of each series of the Exchange Notes has been registered under the Securities Act.</w:t>
      </w:r>
    </w:p>
    <w:p>
      <w:pPr>
        <w:spacing w:after="0" w:line="197" w:lineRule="exact"/>
        <w:rPr>
          <w:sz w:val="20"/>
          <w:szCs w:val="20"/>
          <w:color w:val="auto"/>
        </w:rPr>
      </w:pPr>
    </w:p>
    <w:p>
      <w:pPr>
        <w:ind w:left="4340" w:right="40"/>
        <w:spacing w:after="0" w:line="272" w:lineRule="auto"/>
        <w:rPr>
          <w:sz w:val="20"/>
          <w:szCs w:val="20"/>
          <w:color w:val="auto"/>
        </w:rPr>
      </w:pPr>
      <w:r>
        <w:rPr>
          <w:rFonts w:ascii="Arial" w:cs="Arial" w:eastAsia="Arial" w:hAnsi="Arial"/>
          <w:sz w:val="17"/>
          <w:szCs w:val="17"/>
          <w:color w:val="auto"/>
        </w:rPr>
        <w:t>The form and terms of the 2022 Exchange Notes, the 2025 Exchange Notes, the 2027 Exchange Notes, the 2030 Exchange Notes, the 2040 Exchange Notes and the 2050 Exchange Notes are identical in all material respects to those of the 2022 Restricted Notes, the 2025 Restricted Notes, the 2027 Restricted Notes, the 2030 Restricted Notes, the 2040 Restricted Notes and the 2050 Restricted Notes, respectively, except that the transfer restrictions, registration rights and additional interest provisions relating to the Restricted Notes will not apply to the Exchange Notes.</w:t>
      </w:r>
    </w:p>
    <w:p>
      <w:pPr>
        <w:spacing w:after="0" w:line="204" w:lineRule="exact"/>
        <w:rPr>
          <w:sz w:val="20"/>
          <w:szCs w:val="20"/>
          <w:color w:val="auto"/>
        </w:rPr>
      </w:pPr>
    </w:p>
    <w:p>
      <w:pPr>
        <w:ind w:left="4340" w:right="320"/>
        <w:spacing w:after="0" w:line="277" w:lineRule="auto"/>
        <w:rPr>
          <w:sz w:val="20"/>
          <w:szCs w:val="20"/>
          <w:color w:val="auto"/>
        </w:rPr>
      </w:pPr>
      <w:r>
        <w:rPr>
          <w:rFonts w:ascii="Arial" w:cs="Arial" w:eastAsia="Arial" w:hAnsi="Arial"/>
          <w:sz w:val="18"/>
          <w:szCs w:val="18"/>
          <w:color w:val="auto"/>
        </w:rPr>
        <w:t>In addition, the Exchange Notes bear different CUSIP numbers than the corresponding series of Restricted Notes.</w:t>
      </w:r>
    </w:p>
    <w:p>
      <w:pPr>
        <w:spacing w:after="0" w:line="197"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Exchange Offer</w:t>
      </w:r>
      <w:r>
        <w:rPr>
          <w:sz w:val="20"/>
          <w:szCs w:val="20"/>
          <w:color w:val="auto"/>
        </w:rPr>
        <w:tab/>
      </w:r>
      <w:r>
        <w:rPr>
          <w:rFonts w:ascii="Arial" w:cs="Arial" w:eastAsia="Arial" w:hAnsi="Arial"/>
          <w:sz w:val="16"/>
          <w:szCs w:val="16"/>
          <w:color w:val="auto"/>
        </w:rPr>
        <w:t>We are offering to issue up to:</w:t>
      </w:r>
    </w:p>
    <w:p>
      <w:pPr>
        <w:spacing w:after="0" w:line="266" w:lineRule="exact"/>
        <w:rPr>
          <w:sz w:val="20"/>
          <w:szCs w:val="20"/>
          <w:color w:val="auto"/>
        </w:rPr>
      </w:pPr>
    </w:p>
    <w:p>
      <w:pPr>
        <w:ind w:left="4340" w:right="220" w:hanging="5"/>
        <w:spacing w:after="0" w:line="277" w:lineRule="auto"/>
        <w:tabs>
          <w:tab w:leader="none" w:pos="455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$1,000,000,000 principal amount of the 2022 Exchange Notes, in exchange for a like principal amount of the 2022 Restricted Notes;</w:t>
      </w:r>
    </w:p>
    <w:p>
      <w:pPr>
        <w:spacing w:after="0" w:line="197" w:lineRule="exact"/>
        <w:rPr>
          <w:rFonts w:ascii="Arial" w:cs="Arial" w:eastAsia="Arial" w:hAnsi="Arial"/>
          <w:sz w:val="18"/>
          <w:szCs w:val="18"/>
          <w:color w:val="auto"/>
        </w:rPr>
      </w:pPr>
    </w:p>
    <w:p>
      <w:pPr>
        <w:ind w:left="4340" w:right="300" w:hanging="5"/>
        <w:spacing w:after="0" w:line="277" w:lineRule="auto"/>
        <w:tabs>
          <w:tab w:leader="none" w:pos="4605"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$750,000,000 principal amount of the 2025 Exchange Notes, in exchange for a like principal amount of the 2025 Restricted Notes;</w:t>
      </w:r>
    </w:p>
    <w:p>
      <w:pPr>
        <w:spacing w:after="0" w:line="197" w:lineRule="exact"/>
        <w:rPr>
          <w:rFonts w:ascii="Arial" w:cs="Arial" w:eastAsia="Arial" w:hAnsi="Arial"/>
          <w:sz w:val="18"/>
          <w:szCs w:val="18"/>
          <w:color w:val="auto"/>
        </w:rPr>
      </w:pPr>
    </w:p>
    <w:p>
      <w:pPr>
        <w:ind w:left="4340" w:right="260" w:hanging="5"/>
        <w:spacing w:after="0" w:line="277" w:lineRule="auto"/>
        <w:tabs>
          <w:tab w:leader="none" w:pos="4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$750,000,000 principal amount of the 2027 Exchange Notes, in exchange for a like principal amount of the 2027 Restricted Notes;</w:t>
      </w:r>
    </w:p>
    <w:p>
      <w:pPr>
        <w:spacing w:after="0" w:line="197" w:lineRule="exact"/>
        <w:rPr>
          <w:rFonts w:ascii="Arial" w:cs="Arial" w:eastAsia="Arial" w:hAnsi="Arial"/>
          <w:sz w:val="18"/>
          <w:szCs w:val="18"/>
          <w:color w:val="auto"/>
        </w:rPr>
      </w:pPr>
    </w:p>
    <w:p>
      <w:pPr>
        <w:ind w:left="4340" w:right="140" w:hanging="5"/>
        <w:spacing w:after="0" w:line="277" w:lineRule="auto"/>
        <w:tabs>
          <w:tab w:leader="none" w:pos="4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$1,450,000,000 principal amount of the 2030 Exchange Notes, in exchange for a like principal amount of the 2030 Restricted Notes;</w:t>
      </w:r>
    </w:p>
    <w:p>
      <w:pPr>
        <w:spacing w:after="0" w:line="197" w:lineRule="exact"/>
        <w:rPr>
          <w:rFonts w:ascii="Arial" w:cs="Arial" w:eastAsia="Arial" w:hAnsi="Arial"/>
          <w:sz w:val="18"/>
          <w:szCs w:val="18"/>
          <w:color w:val="auto"/>
        </w:rPr>
      </w:pPr>
    </w:p>
    <w:p>
      <w:pPr>
        <w:ind w:left="4340" w:right="180" w:hanging="5"/>
        <w:spacing w:after="0" w:line="277" w:lineRule="auto"/>
        <w:tabs>
          <w:tab w:leader="none" w:pos="4595" w:val="left"/>
        </w:tabs>
        <w:numPr>
          <w:ilvl w:val="0"/>
          <w:numId w:val="8"/>
        </w:numPr>
        <w:rPr>
          <w:rFonts w:ascii="Arial" w:cs="Arial" w:eastAsia="Arial" w:hAnsi="Arial"/>
          <w:sz w:val="18"/>
          <w:szCs w:val="18"/>
          <w:color w:val="auto"/>
        </w:rPr>
      </w:pPr>
      <w:r>
        <w:rPr>
          <w:rFonts w:ascii="Arial" w:cs="Arial" w:eastAsia="Arial" w:hAnsi="Arial"/>
          <w:sz w:val="18"/>
          <w:szCs w:val="18"/>
          <w:color w:val="auto"/>
        </w:rPr>
        <w:t>$1,500,000,000 principal amount of the 2040 Exchange Notes, in exchange for a like principal amount of the 2040 Restricted Notes; and</w:t>
      </w:r>
    </w:p>
    <w:p>
      <w:pPr>
        <w:spacing w:after="0" w:line="197" w:lineRule="exact"/>
        <w:rPr>
          <w:rFonts w:ascii="Arial" w:cs="Arial" w:eastAsia="Arial" w:hAnsi="Arial"/>
          <w:sz w:val="18"/>
          <w:szCs w:val="18"/>
          <w:color w:val="auto"/>
        </w:rPr>
      </w:pPr>
    </w:p>
    <w:p>
      <w:pPr>
        <w:ind w:left="4340" w:right="140" w:hanging="5"/>
        <w:spacing w:after="0" w:line="277" w:lineRule="auto"/>
        <w:tabs>
          <w:tab w:leader="none" w:pos="4645"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$2,000,000,000 principal amount of the 2050 Exchange Notes, in exchange for a like principal amount of the 2050 Restricted Notes,</w:t>
      </w:r>
    </w:p>
    <w:p>
      <w:pPr>
        <w:spacing w:after="0" w:line="197" w:lineRule="exact"/>
        <w:rPr>
          <w:sz w:val="20"/>
          <w:szCs w:val="20"/>
          <w:color w:val="auto"/>
        </w:rPr>
      </w:pPr>
    </w:p>
    <w:p>
      <w:pPr>
        <w:jc w:val="both"/>
        <w:ind w:left="4340"/>
        <w:spacing w:after="0" w:line="311" w:lineRule="auto"/>
        <w:rPr>
          <w:sz w:val="20"/>
          <w:szCs w:val="20"/>
          <w:color w:val="auto"/>
        </w:rPr>
      </w:pPr>
      <w:r>
        <w:rPr>
          <w:rFonts w:ascii="Arial" w:cs="Arial" w:eastAsia="Arial" w:hAnsi="Arial"/>
          <w:sz w:val="16"/>
          <w:szCs w:val="16"/>
          <w:color w:val="auto"/>
        </w:rPr>
        <w:t>to satisfy our obligations under the registration rights agreement that we entered into when the Restricted Notes were issued in reliance upon the exemption from registration provided by Section 4(a)(2) and Rule 144A and Regulation S of the Securities Act.</w:t>
      </w:r>
    </w:p>
    <w:p>
      <w:pPr>
        <w:spacing w:after="0" w:line="176" w:lineRule="exact"/>
        <w:rPr>
          <w:sz w:val="20"/>
          <w:szCs w:val="20"/>
          <w:color w:val="auto"/>
        </w:rPr>
      </w:pPr>
    </w:p>
    <w:p>
      <w:pPr>
        <w:ind w:left="4340" w:right="500"/>
        <w:spacing w:after="0" w:line="277" w:lineRule="auto"/>
        <w:rPr>
          <w:sz w:val="20"/>
          <w:szCs w:val="20"/>
          <w:color w:val="auto"/>
        </w:rPr>
      </w:pPr>
      <w:r>
        <w:rPr>
          <w:rFonts w:ascii="Arial" w:cs="Arial" w:eastAsia="Arial" w:hAnsi="Arial"/>
          <w:sz w:val="18"/>
          <w:szCs w:val="18"/>
          <w:color w:val="auto"/>
        </w:rPr>
        <w:t>The Restricted Notes may only be tendered in minimum denominations of $2,000 in principal amount or in integral multiples</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8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97"/>
              </w:rPr>
              <w:t>of $1,000 in excess thereof. See “The Exchange Offer—Terms of the Exchange Offer.”</w:t>
            </w:r>
          </w:p>
        </w:tc>
      </w:tr>
      <w:tr>
        <w:trPr>
          <w:trHeight w:val="458"/>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In order to exchange the Restricted Notes, you must follow the required procedures and we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must accept the Restricted Notes for exchange. We will exchange all Restricted Notes</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validly tendered and not validly withdrawn prior to the expiration date of the exchange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See “The Exchange Offer.”</w:t>
            </w:r>
          </w:p>
        </w:tc>
      </w:tr>
      <w:tr>
        <w:trPr>
          <w:trHeight w:val="445"/>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The Exchange Notes will be guaranteed by each of Utah Acquisition Sub Inc., Mylan II</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B.V. and Mylan Inc. upon issuance.</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Expiration Date; Tenders</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The exchange offer will expire at 5:00 p.m., New York City time, on October 28, 2021,</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unless extended in our sole and absolute discretion. By tendering your Restricted Notes,</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you represent to us that:</w:t>
            </w:r>
          </w:p>
        </w:tc>
      </w:tr>
      <w:tr>
        <w:trPr>
          <w:trHeight w:val="338"/>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  you are not an “affiliate,” as defined in Rule 405 under the Securities Act, of ours;</w:t>
            </w:r>
          </w:p>
        </w:tc>
      </w:tr>
      <w:tr>
        <w:trPr>
          <w:trHeight w:val="323"/>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understanding with any person to participate, in a “distribution,” as defined in the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Securities Act, of the Exchange Notes;</w:t>
            </w:r>
          </w:p>
        </w:tc>
      </w:tr>
      <w:tr>
        <w:trPr>
          <w:trHeight w:val="338"/>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  you are acquiring the Exchange Notes in your ordinary course of business; and</w:t>
            </w:r>
          </w:p>
        </w:tc>
      </w:tr>
      <w:tr>
        <w:trPr>
          <w:trHeight w:val="323"/>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  if you are a broker-dealer, you will receive the Exchange Notes for your own account in</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exchange for the Restricted Notes that were acquired by you as a result of your market-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making or other trading activities, you will deliver a prospectus meeting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requirements of the Securities Act in connection with any resale of the Exchange Notes</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you receive and you have not entered into any agreement or understanding with us or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any of our “affiliates,” as defined in Rule 405 under the Securities Act, to participate in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7"/>
              </w:rPr>
              <w:t>“distribution,” as defined under the Securities Act, of the Exchange Notes. For further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3"/>
              </w:rPr>
              <w:t>information regarding resales of the Exchange Notes by participating broker-dealers, see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the discussion under the caption “Plan of Distribution.”</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Withdrawal</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You may withdraw any Restricted Notes tendered in the exchange offer at any time prior to</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5:00 p.m., New York City time, on October 28, 2021. See “The Exchange Offer—</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Withdrawal Rights.”</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Conditions to the Exchange Offer</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The exchange offer is subject to customary conditions, which we may waive. The exchange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offer is not conditioned upon the tender of any minimum principal amount of outstanding</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Restricted Notes. See “The Exchange Offer—Conditions to the Exchange Offer.”</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8"/>
              </w:rPr>
              <w:t>Procedures for Tendering the Restricted Notes</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You must do the following on or prior to the expiration or termination of the exchange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to participate in the exchange offer:</w:t>
            </w:r>
          </w:p>
        </w:tc>
      </w:tr>
      <w:tr>
        <w:trPr>
          <w:trHeight w:val="323"/>
        </w:trPr>
        <w:tc>
          <w:tcPr>
            <w:tcW w:w="386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  tender your Restricted Notes by sending the certificates for your Restricted Notes, in</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proper form for transfer, a properly completed</w:t>
            </w:r>
          </w:p>
        </w:tc>
      </w:tr>
      <w:tr>
        <w:trPr>
          <w:trHeight w:val="240"/>
        </w:trPr>
        <w:tc>
          <w:tcPr>
            <w:tcW w:w="3860" w:type="dxa"/>
            <w:vAlign w:val="bottom"/>
            <w:tcBorders>
              <w:left w:val="single" w:sz="8" w:color="auto"/>
              <w:bottom w:val="single" w:sz="8" w:color="auto"/>
            </w:tcBorders>
          </w:tcPr>
          <w:p>
            <w:pPr>
              <w:spacing w:after="0"/>
              <w:rPr>
                <w:sz w:val="20"/>
                <w:szCs w:val="20"/>
                <w:color w:val="auto"/>
              </w:rPr>
            </w:pPr>
          </w:p>
        </w:tc>
        <w:tc>
          <w:tcPr>
            <w:tcW w:w="7160" w:type="dxa"/>
            <w:vAlign w:val="bottom"/>
            <w:tcBorders>
              <w:bottom w:val="single" w:sz="8" w:color="auto"/>
              <w:right w:val="single" w:sz="8" w:color="auto"/>
            </w:tcBorders>
          </w:tcPr>
          <w:p>
            <w:pPr>
              <w:spacing w:after="0"/>
              <w:rPr>
                <w:sz w:val="20"/>
                <w:szCs w:val="20"/>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6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80"/>
        <w:spacing w:after="0" w:line="259" w:lineRule="auto"/>
        <w:rPr>
          <w:sz w:val="20"/>
          <w:szCs w:val="20"/>
          <w:color w:val="auto"/>
        </w:rPr>
      </w:pPr>
      <w:r>
        <w:rPr>
          <w:rFonts w:ascii="Arial" w:cs="Arial" w:eastAsia="Arial" w:hAnsi="Arial"/>
          <w:sz w:val="18"/>
          <w:szCs w:val="18"/>
          <w:color w:val="auto"/>
        </w:rPr>
        <w:t>and duly executed letter of transmittal, with any required signature guarantees, and all other documents required by the letter of transmittal, to The Bank of New York Mellon, as exchange agent, at one of the addresses listed below under the caption “The Exchange Offer—Exchange Agent;” or</w:t>
      </w:r>
    </w:p>
    <w:p>
      <w:pPr>
        <w:spacing w:after="0" w:line="92"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  tender your Restricted Notes by using the book-entry transfer procedures described</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below and sending a properly completed and duly executed letter of transmittal, with</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1"/>
              </w:rPr>
              <w:t>any required signature guarantees, or causing to be delivered an agent’s message instead</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7"/>
              </w:rPr>
              <w:t>of the letter of transmittal, to the exchange agent. In order for a book-entry transfer to</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constitute a valid tender of your Restricted Notes in the exchange offer, The Bank of</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New York Mellon, as exchange agent, must receive a confirmation of book-entry</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6"/>
              </w:rPr>
              <w:t>transfer of your Restricted Notes into the exchange agent’s account at The Depository</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5"/>
              </w:rPr>
              <w:t>Trust Company (“DTC”) prior to the expiration or termination of the exchange offer. For</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more information regarding the use of book-entry transfer procedures, including a</w:t>
            </w:r>
          </w:p>
        </w:tc>
      </w:tr>
      <w:tr>
        <w:trPr>
          <w:trHeight w:val="216"/>
        </w:trPr>
        <w:tc>
          <w:tcPr>
            <w:tcW w:w="370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description of the required agent’s message, see the discussion below under the caption</w:t>
            </w:r>
          </w:p>
        </w:tc>
      </w:tr>
      <w:tr>
        <w:trPr>
          <w:trHeight w:val="230"/>
        </w:trPr>
        <w:tc>
          <w:tcPr>
            <w:tcW w:w="370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“The Exchange Offer—Book-Entry Transfers.”</w:t>
            </w:r>
          </w:p>
        </w:tc>
      </w:tr>
      <w:tr>
        <w:trPr>
          <w:trHeight w:val="445"/>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For more information on the procedures for tendering the Restricted Notes, see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discussion under the caption “The Exchange Offer—Procedures for Tendering Restricted</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Notes.”</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Special Procedures for Beneficial Owners</w:t>
            </w: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If you are a beneficial owner whose Restricted Notes are registered in the name of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broker, dealer, commercial bank, trust company or other nominee, and you wish to tender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your Restricted Notes in the exchange offer, you should promptly contact the person in</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whose name the Restricted Notes are registered and instruct that person to tender on your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behalf. Any registered holder that is a participant in DTC’s book-entry transfer facility</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system may make book-entry delivery of the Restricted Notes by causing DTC to transfer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Restricted Notes into the exchange agent’s account. If you wish to tender your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Restricted Notes in the exchange offer on your own behalf, prior to completing and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executing the letter of transmittal and delivering your Restricted Notes, you must either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make appropriate arrangements to register ownership of the Restricted Notes in your name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6"/>
              </w:rPr>
              <w:t>with DTC or obtain a properly completed note power from the person in whose name the</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Restricted Notes are registered.</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320" w:type="dxa"/>
            <w:vAlign w:val="bottom"/>
          </w:tcPr>
          <w:p>
            <w:pPr>
              <w:ind w:left="520"/>
              <w:spacing w:after="0"/>
              <w:rPr>
                <w:sz w:val="20"/>
                <w:szCs w:val="20"/>
                <w:color w:val="auto"/>
              </w:rPr>
            </w:pPr>
            <w:r>
              <w:rPr>
                <w:rFonts w:ascii="Arial" w:cs="Arial" w:eastAsia="Arial" w:hAnsi="Arial"/>
                <w:sz w:val="18"/>
                <w:szCs w:val="18"/>
                <w:color w:val="auto"/>
                <w:w w:val="94"/>
              </w:rPr>
              <w:t>We will not receive any proceeds from issuance of the Exchange Notes in connection with</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exchange offer.</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Exchange Agent</w:t>
            </w:r>
          </w:p>
        </w:tc>
        <w:tc>
          <w:tcPr>
            <w:tcW w:w="7320" w:type="dxa"/>
            <w:vAlign w:val="bottom"/>
          </w:tcPr>
          <w:p>
            <w:pPr>
              <w:ind w:left="520"/>
              <w:spacing w:after="0"/>
              <w:rPr>
                <w:sz w:val="20"/>
                <w:szCs w:val="20"/>
                <w:color w:val="auto"/>
              </w:rPr>
            </w:pPr>
            <w:r>
              <w:rPr>
                <w:rFonts w:ascii="Arial" w:cs="Arial" w:eastAsia="Arial" w:hAnsi="Arial"/>
                <w:sz w:val="18"/>
                <w:szCs w:val="18"/>
                <w:color w:val="auto"/>
                <w:w w:val="95"/>
              </w:rPr>
              <w:t>The Bank of New York Mellon is the exchange agent for the exchange offer. You can find</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3"/>
              </w:rPr>
              <w:t>the address, telephone number and e-mail address of the exchange agent below under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w w:val="98"/>
              </w:rPr>
              <w:t>caption “The Exchange Offer—Exchange Agent.” The Bank of New York Mellon is also</w:t>
            </w:r>
          </w:p>
        </w:tc>
      </w:tr>
      <w:tr>
        <w:trPr>
          <w:trHeight w:val="230"/>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the trustee under the indenture governing the Restricted Notes and Exchange Notes.</w:t>
            </w:r>
          </w:p>
        </w:tc>
      </w:tr>
      <w:tr>
        <w:trPr>
          <w:trHeight w:val="240"/>
        </w:trPr>
        <w:tc>
          <w:tcPr>
            <w:tcW w:w="370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r>
      <w:tr>
        <w:trPr>
          <w:trHeight w:val="361"/>
        </w:trPr>
        <w:tc>
          <w:tcPr>
            <w:tcW w:w="3700" w:type="dxa"/>
            <w:vAlign w:val="bottom"/>
          </w:tcPr>
          <w:p>
            <w:pPr>
              <w:spacing w:after="0"/>
              <w:rPr>
                <w:sz w:val="24"/>
                <w:szCs w:val="24"/>
                <w:color w:val="auto"/>
              </w:rPr>
            </w:pPr>
          </w:p>
        </w:tc>
        <w:tc>
          <w:tcPr>
            <w:tcW w:w="7320" w:type="dxa"/>
            <w:vAlign w:val="bottom"/>
          </w:tcPr>
          <w:p>
            <w:pPr>
              <w:ind w:left="17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7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Resales</w:t>
            </w:r>
          </w:p>
        </w:tc>
        <w:tc>
          <w:tcPr>
            <w:tcW w:w="830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w w:val="93"/>
              </w:rPr>
              <w:t>Based on interpretations by the SEC staff, as detailed in a series of no-action letters issued</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to third parties, we believe that the Exchange Notes issued in the exchange offer pursuant</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to this prospectus may be offered for resale, resold or otherwise transferred by you without</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compliance with the registration and prospectus delivery requirements of the Securities</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Act, provided that:</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not an “affiliate” of ours, as defined in Rule 405 under the Securities Act;</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acquiring the Exchange Notes in your ordinary course of business; and</w:t>
            </w:r>
          </w:p>
        </w:tc>
      </w:tr>
      <w:tr>
        <w:trPr>
          <w:trHeight w:val="323"/>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understanding with any person to participate, in a “distribution,” as defined in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Securities Act, of the Exchange Notes.</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We base our belief on interpretations by the SEC staff in no-action letters issued to other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3"/>
              </w:rPr>
              <w:t>issuers making exchange offers similar to ours. We cannot guarantee the SEC would make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5"/>
              </w:rPr>
              <w:t>a similar decision about our exchange offer. If our belief is wrong, you could incur liability</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6"/>
              </w:rPr>
              <w:t>under the Securities Act. We will not indemnify or otherwise protect you against any loss</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incurred as a result of this liability under the Securities Act.</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4"/>
              </w:rPr>
              <w:t>If you are an “affiliate” of ours, as defined in Rule 405 under the Securities Act, participate</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or intend to participate in or have any arrangement or understanding with any person to</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participate in the “distribution,” as defined in the Securities Act, of the Exchange Notes:</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cannot rely on the applicable interpretations of the staff of the SEC;</w:t>
            </w:r>
          </w:p>
        </w:tc>
      </w:tr>
      <w:tr>
        <w:trPr>
          <w:trHeight w:val="338"/>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will not be entitled to participate in the exchange offer; and</w:t>
            </w:r>
          </w:p>
        </w:tc>
      </w:tr>
      <w:tr>
        <w:trPr>
          <w:trHeight w:val="323"/>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you must comply with the registration and prospectus delivery requirements of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680"/>
              <w:spacing w:after="0"/>
              <w:rPr>
                <w:sz w:val="20"/>
                <w:szCs w:val="20"/>
                <w:color w:val="auto"/>
              </w:rPr>
            </w:pPr>
            <w:r>
              <w:rPr>
                <w:rFonts w:ascii="Arial" w:cs="Arial" w:eastAsia="Arial" w:hAnsi="Arial"/>
                <w:sz w:val="18"/>
                <w:szCs w:val="18"/>
                <w:color w:val="auto"/>
              </w:rPr>
              <w:t>Securities Act in connection with any resale transaction of the Exchange Notes.</w:t>
            </w:r>
          </w:p>
        </w:tc>
      </w:tr>
      <w:tr>
        <w:trPr>
          <w:trHeight w:val="445"/>
        </w:trPr>
        <w:tc>
          <w:tcPr>
            <w:tcW w:w="2720" w:type="dxa"/>
            <w:vAlign w:val="bottom"/>
            <w:tcBorders>
              <w:left w:val="single" w:sz="8" w:color="auto"/>
            </w:tcBorders>
          </w:tcPr>
          <w:p>
            <w:pPr>
              <w:spacing w:after="0"/>
              <w:rPr>
                <w:sz w:val="24"/>
                <w:szCs w:val="24"/>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See the discussion below under the caption “The Exchange Offer—Consequences of</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Exchanging or Failing to Exchange Restricted Notes” for more information.</w:t>
            </w:r>
          </w:p>
        </w:tc>
      </w:tr>
      <w:tr>
        <w:trPr>
          <w:trHeight w:val="445"/>
        </w:trPr>
        <w:tc>
          <w:tcPr>
            <w:tcW w:w="2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w:t>
            </w: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2"/>
              </w:rPr>
              <w:t>Each broker or dealer that receives the Exchange Notes for its own account in exchange for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the Restricted Notes that were acquired as a result of market-making or other trading</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activities must acknowledge that it will comply with the registration and prospectus</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delivery requirements of the Securities Act in connection with any offer to resell or other</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7"/>
              </w:rPr>
              <w:t>transfer of the Exchange Notes issued in the exchange offer, including the delivery of a</w:t>
            </w:r>
          </w:p>
        </w:tc>
      </w:tr>
      <w:tr>
        <w:trPr>
          <w:trHeight w:val="216"/>
        </w:trPr>
        <w:tc>
          <w:tcPr>
            <w:tcW w:w="27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w w:val="99"/>
              </w:rPr>
              <w:t>prospectus that contains information with respect to any selling holder required by the</w:t>
            </w:r>
          </w:p>
        </w:tc>
      </w:tr>
      <w:tr>
        <w:trPr>
          <w:trHeight w:val="230"/>
        </w:trPr>
        <w:tc>
          <w:tcPr>
            <w:tcW w:w="2720" w:type="dxa"/>
            <w:vAlign w:val="bottom"/>
            <w:tcBorders>
              <w:left w:val="single" w:sz="8" w:color="auto"/>
            </w:tcBorders>
          </w:tcPr>
          <w:p>
            <w:pPr>
              <w:spacing w:after="0"/>
              <w:rPr>
                <w:sz w:val="20"/>
                <w:szCs w:val="20"/>
                <w:color w:val="auto"/>
              </w:rPr>
            </w:pPr>
          </w:p>
        </w:tc>
        <w:tc>
          <w:tcPr>
            <w:tcW w:w="830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Securities Act in connection with any resale of the Exchange Notes.</w:t>
            </w:r>
          </w:p>
        </w:tc>
      </w:tr>
      <w:tr>
        <w:trPr>
          <w:trHeight w:val="240"/>
        </w:trPr>
        <w:tc>
          <w:tcPr>
            <w:tcW w:w="2720" w:type="dxa"/>
            <w:vAlign w:val="bottom"/>
            <w:tcBorders>
              <w:left w:val="single" w:sz="8" w:color="auto"/>
              <w:bottom w:val="single" w:sz="8" w:color="auto"/>
            </w:tcBorders>
          </w:tcPr>
          <w:p>
            <w:pPr>
              <w:spacing w:after="0"/>
              <w:rPr>
                <w:sz w:val="20"/>
                <w:szCs w:val="20"/>
                <w:color w:val="auto"/>
              </w:rPr>
            </w:pPr>
          </w:p>
        </w:tc>
        <w:tc>
          <w:tcPr>
            <w:tcW w:w="8300" w:type="dxa"/>
            <w:vAlign w:val="bottom"/>
            <w:tcBorders>
              <w:bottom w:val="single" w:sz="8" w:color="auto"/>
              <w:right w:val="single" w:sz="8" w:color="auto"/>
            </w:tcBorders>
          </w:tcPr>
          <w:p>
            <w:pPr>
              <w:spacing w:after="0"/>
              <w:rPr>
                <w:sz w:val="20"/>
                <w:szCs w:val="20"/>
                <w:color w:val="auto"/>
              </w:rPr>
            </w:pPr>
          </w:p>
        </w:tc>
      </w:tr>
      <w:tr>
        <w:trPr>
          <w:trHeight w:val="361"/>
        </w:trPr>
        <w:tc>
          <w:tcPr>
            <w:tcW w:w="2720" w:type="dxa"/>
            <w:vAlign w:val="bottom"/>
          </w:tcPr>
          <w:p>
            <w:pPr>
              <w:spacing w:after="0"/>
              <w:rPr>
                <w:sz w:val="24"/>
                <w:szCs w:val="24"/>
                <w:color w:val="auto"/>
              </w:rPr>
            </w:pPr>
          </w:p>
        </w:tc>
        <w:tc>
          <w:tcPr>
            <w:tcW w:w="8300" w:type="dxa"/>
            <w:vAlign w:val="bottom"/>
          </w:tcPr>
          <w:p>
            <w:pPr>
              <w:ind w:left="2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Furthermore, any broker-dealer that acquired any of its Restricted Notes directly from us:</w:t>
      </w:r>
    </w:p>
    <w:p>
      <w:pPr>
        <w:spacing w:after="0" w:line="142" w:lineRule="exact"/>
        <w:rPr>
          <w:sz w:val="20"/>
          <w:szCs w:val="20"/>
          <w:color w:val="auto"/>
        </w:rPr>
      </w:pPr>
    </w:p>
    <w:p>
      <w:pPr>
        <w:ind w:left="4520" w:right="340" w:hanging="179"/>
        <w:spacing w:after="0" w:line="259" w:lineRule="auto"/>
        <w:tabs>
          <w:tab w:leader="none" w:pos="4500" w:val="left"/>
        </w:tabs>
        <w:rPr>
          <w:sz w:val="20"/>
          <w:szCs w:val="20"/>
          <w:color w:val="auto"/>
        </w:rPr>
      </w:pPr>
      <w:r>
        <w:rPr>
          <w:rFonts w:ascii="Arial" w:cs="Arial" w:eastAsia="Arial" w:hAnsi="Arial"/>
          <w:sz w:val="18"/>
          <w:szCs w:val="18"/>
          <w:color w:val="auto"/>
        </w:rPr>
        <w:t>•</w:t>
        <w:tab/>
        <w:t>may not rely on the applicable interpretation of the SEC staff’s position contained in Exxon Capital Holdings Corp., SEC no-action letter (April 13, 1988), Morgan, Stanley &amp; Co. Inc., SEC no-action letter (June 5, 1991) and Shearman &amp; Sterling, SEC no-action letter (July 2, 1993); and</w:t>
      </w:r>
    </w:p>
    <w:p>
      <w:pPr>
        <w:spacing w:after="0" w:line="9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must also be named as a selling noteholder in connection with the registration and</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w w:val="94"/>
              </w:rPr>
              <w:t>prospectus delivery requirements of the Securities Act relating to any resale transaction.</w:t>
            </w:r>
          </w:p>
        </w:tc>
      </w:tr>
      <w:tr>
        <w:trPr>
          <w:trHeight w:val="430"/>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2"/>
              </w:rPr>
              <w:t>This prospectus, as it may be amended or supplemented from time to time, may be used by</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3"/>
              </w:rPr>
              <w:t>a broker-dealer in connection with resales of the Exchange Notes received in exchange for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9"/>
              </w:rPr>
              <w:t>the Restricted Notes which were received by such broker-dealer as a result of market</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making activities or other trading activities. We have agreed that for a period of not less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than 90 days after the expiration of the exchange offer, we will make this prospectus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available to any broker-dealer for use in connection with any such resale. See “Plan of</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Distribution.”</w:t>
            </w:r>
          </w:p>
        </w:tc>
      </w:tr>
      <w:tr>
        <w:trPr>
          <w:trHeight w:val="445"/>
        </w:trPr>
        <w:tc>
          <w:tcPr>
            <w:tcW w:w="3320" w:type="dxa"/>
            <w:vAlign w:val="bottom"/>
          </w:tcPr>
          <w:p>
            <w:pPr>
              <w:ind w:left="180"/>
              <w:spacing w:after="0"/>
              <w:rPr>
                <w:sz w:val="20"/>
                <w:szCs w:val="20"/>
                <w:color w:val="auto"/>
              </w:rPr>
            </w:pPr>
            <w:r>
              <w:rPr>
                <w:rFonts w:ascii="Arial" w:cs="Arial" w:eastAsia="Arial" w:hAnsi="Arial"/>
                <w:sz w:val="18"/>
                <w:szCs w:val="18"/>
                <w:color w:val="auto"/>
              </w:rPr>
              <w:t>Registration Rights Agreement</w:t>
            </w:r>
          </w:p>
        </w:tc>
        <w:tc>
          <w:tcPr>
            <w:tcW w:w="7700" w:type="dxa"/>
            <w:vAlign w:val="bottom"/>
          </w:tcPr>
          <w:p>
            <w:pPr>
              <w:ind w:left="900"/>
              <w:spacing w:after="0"/>
              <w:rPr>
                <w:sz w:val="20"/>
                <w:szCs w:val="20"/>
                <w:color w:val="auto"/>
              </w:rPr>
            </w:pPr>
            <w:r>
              <w:rPr>
                <w:rFonts w:ascii="Arial" w:cs="Arial" w:eastAsia="Arial" w:hAnsi="Arial"/>
                <w:sz w:val="18"/>
                <w:szCs w:val="18"/>
                <w:color w:val="auto"/>
                <w:w w:val="92"/>
              </w:rPr>
              <w:t>When we issued the Restricted Notes on June 22, 2020, we entered into a registration rights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4"/>
              </w:rPr>
              <w:t>agreement with the representatives of the initial purchasers of the Restricted Notes. Under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the terms of the registration rights agreement, we agreed to use commercially reasonable</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efforts to:</w:t>
            </w:r>
          </w:p>
        </w:tc>
      </w:tr>
      <w:tr>
        <w:trPr>
          <w:trHeight w:val="323"/>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6"/>
              </w:rPr>
              <w:t>•  file with the SEC and cause to become effective a registration statement relating to an</w:t>
            </w:r>
          </w:p>
        </w:tc>
      </w:t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rPr>
              <w:t>offer to exchange the Restricted Notes for the Exchange Notes; and</w:t>
            </w:r>
          </w:p>
        </w:tc>
      </w:tr>
      <w:tr>
        <w:trPr>
          <w:trHeight w:val="323"/>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6"/>
              </w:rPr>
              <w:t>•  consummate the exchange offer not later than 365 days after the consummation of the</w:t>
            </w:r>
          </w:p>
        </w:tc>
      </w:tr>
      <w:tr>
        <w:trPr>
          <w:trHeight w:val="230"/>
        </w:trPr>
        <w:tc>
          <w:tcPr>
            <w:tcW w:w="3320" w:type="dxa"/>
            <w:vAlign w:val="bottom"/>
          </w:tcPr>
          <w:p>
            <w:pPr>
              <w:spacing w:after="0"/>
              <w:rPr>
                <w:sz w:val="20"/>
                <w:szCs w:val="20"/>
                <w:color w:val="auto"/>
              </w:rPr>
            </w:pPr>
          </w:p>
        </w:tc>
        <w:tc>
          <w:tcPr>
            <w:tcW w:w="7700" w:type="dxa"/>
            <w:vAlign w:val="bottom"/>
          </w:tcPr>
          <w:p>
            <w:pPr>
              <w:ind w:left="1080"/>
              <w:spacing w:after="0"/>
              <w:rPr>
                <w:sz w:val="20"/>
                <w:szCs w:val="20"/>
                <w:color w:val="auto"/>
              </w:rPr>
            </w:pPr>
            <w:r>
              <w:rPr>
                <w:rFonts w:ascii="Arial" w:cs="Arial" w:eastAsia="Arial" w:hAnsi="Arial"/>
                <w:sz w:val="18"/>
                <w:szCs w:val="18"/>
                <w:color w:val="auto"/>
              </w:rPr>
              <w:t>Combination.</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If we do not complete the exchange offer on or prior to November 16, 2021 or if we fail to</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meet certain other conditions described under “Description of the Exchange Notes—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Registration Rights—Additional Interest,” the interest rate borne by the Restricted Notes</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4"/>
              </w:rPr>
              <w:t>will increase at a rate of 0.25% per annum every 90 days following the occurrence of such</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a registration default (but shall not exceed 0.50% per annum in total) until the condition</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which gave rise to the additional interest is cured.</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8"/>
              </w:rPr>
              <w:t>Under some circumstances set forth in the registration rights agreement, holders of the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7"/>
              </w:rPr>
              <w:t>Restricted Notes, including holders who are not permitted to participate in the exchange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5"/>
              </w:rPr>
              <w:t>offer, may require us to file, and cause to become effective, a shelf registration statement</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covering resales of the Restricted Notes by these holders.</w:t>
            </w:r>
          </w:p>
        </w:tc>
      </w:tr>
      <w:tr>
        <w:trPr>
          <w:trHeight w:val="445"/>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w w:val="93"/>
              </w:rPr>
              <w:t>A copy of the registration rights agreement is incorporated by reference as an exhibit to the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registration statement of which this prospectus forms a part. See “Description of the</w:t>
            </w:r>
          </w:p>
        </w:tc>
      </w:tr>
      <w:tr>
        <w:trPr>
          <w:trHeight w:val="230"/>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Arial" w:cs="Arial" w:eastAsia="Arial" w:hAnsi="Arial"/>
                <w:sz w:val="18"/>
                <w:szCs w:val="18"/>
                <w:color w:val="auto"/>
              </w:rPr>
              <w:t>Exchange Notes—Registration Rights.”</w:t>
            </w:r>
          </w:p>
        </w:tc>
      </w:tr>
      <w:tr>
        <w:trPr>
          <w:trHeight w:val="240"/>
        </w:trPr>
        <w:tc>
          <w:tcPr>
            <w:tcW w:w="332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spacing w:after="0"/>
              <w:rPr>
                <w:sz w:val="20"/>
                <w:szCs w:val="20"/>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1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2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Regulatory Requirements</w:t>
            </w:r>
          </w:p>
        </w:tc>
        <w:tc>
          <w:tcPr>
            <w:tcW w:w="780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5"/>
              </w:rPr>
              <w:t>We do not believe that the receipt of any material federal or state regulatory approval will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be necessary in connection with the exchange offer, other than the notice of effectiveness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under the Securities Act of the registration statement pursuant to which the exchange offer</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is being made.</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Material Tax Considerations</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The exchange of Restricted Notes for Exchange Notes pursuant to the exchange offer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generally will not be a taxable event for U.S. federal income tax purposes. You should</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2"/>
              </w:rPr>
              <w:t>consult your own tax advisor to determine the U.S. federal, state, Netherlands and other tax</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consequences of exchange of the Restricted Notes for the Exchange Notes. See “Material</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Tax Considerations.”</w:t>
            </w:r>
          </w:p>
        </w:tc>
      </w:tr>
      <w:tr>
        <w:trPr>
          <w:trHeight w:val="445"/>
        </w:trPr>
        <w:tc>
          <w:tcPr>
            <w:tcW w:w="32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Accounting Treatment</w:t>
            </w: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do not expect to recognize any gain or loss for accounting purposes upon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completion of the exchange offer. The expenses of the exchange offer that we pay will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 our deferred financing costs in accordance with U.S. GAAP. See “The Exchange</w:t>
            </w:r>
          </w:p>
        </w:tc>
      </w:tr>
      <w:tr>
        <w:trPr>
          <w:trHeight w:val="230"/>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Offer—Accounting Treatment.”</w:t>
            </w:r>
          </w:p>
        </w:tc>
      </w:tr>
      <w:tr>
        <w:trPr>
          <w:trHeight w:val="240"/>
        </w:trPr>
        <w:tc>
          <w:tcPr>
            <w:tcW w:w="3220" w:type="dxa"/>
            <w:vAlign w:val="bottom"/>
            <w:tcBorders>
              <w:left w:val="single" w:sz="8" w:color="auto"/>
              <w:bottom w:val="single" w:sz="8" w:color="auto"/>
            </w:tcBorders>
          </w:tcPr>
          <w:p>
            <w:pPr>
              <w:spacing w:after="0"/>
              <w:rPr>
                <w:sz w:val="20"/>
                <w:szCs w:val="20"/>
                <w:color w:val="auto"/>
              </w:rPr>
            </w:pPr>
          </w:p>
        </w:tc>
        <w:tc>
          <w:tcPr>
            <w:tcW w:w="7800" w:type="dxa"/>
            <w:vAlign w:val="bottom"/>
            <w:tcBorders>
              <w:bottom w:val="single" w:sz="8" w:color="auto"/>
              <w:right w:val="single" w:sz="8" w:color="auto"/>
            </w:tcBorders>
          </w:tcPr>
          <w:p>
            <w:pPr>
              <w:spacing w:after="0"/>
              <w:rPr>
                <w:sz w:val="20"/>
                <w:szCs w:val="20"/>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24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998970" cy="31242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Consequences of Not Exchanging Restricted Notes</w:t>
      </w:r>
    </w:p>
    <w:p>
      <w:pPr>
        <w:spacing w:after="0" w:line="229"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If you do not tender your Restricted Notes in the exchange offer or we do not accept the Restricted Notes you tender, your Restricted Notes will continue to be subject to the restrictions on transfer currently applicable to the Restricted Notes. To the extent Restricted Notes are tendered and accepted in exchange for Exchange Notes, the market for any remaining Restricted Notes will be adversely affected. See “Risk Factors—Risks Relating to the Exchange Offer and the Exchange Notes—Any Restricted Notes that are not exchanged will continue to be restricted securities and, following completion of the exchange offer, will have a less liquid trading market.”</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general, you may offer or sell your Restricted Notes only:</w:t>
      </w:r>
    </w:p>
    <w:p>
      <w:pPr>
        <w:spacing w:after="0" w:line="131"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they are offered or sold under an exemption from registration under the Securities Act and applicable state securities laws; or</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do not currently intend to register the Restricted Notes under the Securities Act. Under some circumstances, however, holders of the Restricted Notes, including holders who are not permitted to participate in the exchange offer or who may not freely resell the Exchange Notes received in the exchange offer, may require us to file, and to cause to become effective, a shelf registration statement covering resales of the Restricted Notes by these holders. For more information regarding the consequences of not tendering your Restricted Notes and our obligation to file a shelf registration statement, see “The Exchange Offer—Consequences of Exchanging or Failing to Exchange Restricted Notes” and “Description of the Exchange Notes—Registration Rights.”</w:t>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162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998970" cy="7162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Description of the Exchange Notes</w:t>
      </w:r>
    </w:p>
    <w:p>
      <w:pPr>
        <w:spacing w:after="0" w:line="229" w:lineRule="exact"/>
        <w:rPr>
          <w:sz w:val="20"/>
          <w:szCs w:val="20"/>
          <w:color w:val="auto"/>
        </w:rPr>
      </w:pPr>
    </w:p>
    <w:p>
      <w:pPr>
        <w:ind w:left="300" w:right="280" w:firstLine="426"/>
        <w:spacing w:after="0" w:line="257" w:lineRule="auto"/>
        <w:rPr>
          <w:sz w:val="20"/>
          <w:szCs w:val="20"/>
          <w:color w:val="auto"/>
        </w:rPr>
      </w:pPr>
      <w:r>
        <w:rPr>
          <w:rFonts w:ascii="Arial" w:cs="Arial" w:eastAsia="Arial" w:hAnsi="Arial"/>
          <w:sz w:val="18"/>
          <w:szCs w:val="18"/>
          <w:i w:val="1"/>
          <w:iCs w:val="1"/>
          <w:color w:val="auto"/>
        </w:rPr>
        <w:t>The summary below describes the principal terms of the Exchange Notes. Certain of the terms and conditions described below are subject to important limitations and exceptions. The 2022 Exchange Notes, the 2025 Exchange Notes, the 2027 Exchange Notes, the 2030 Exchange Notes, the 2040 Exchange Notes and the 2050 Exchange Notes are referred to herein as the Exchange Notes, and the Exchange Notes, together with the Restricted Notes, are referred to together as the Notes. The “Description of the Exchange Notes” section of this prospectus contains a more detailed description of the terms and conditions of the Exchange Notes.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Viatris Inc.</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Exchange Notes Offered</w:t>
            </w: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$1,000,000,000 in aggregate principal amount of Viatris Inc.’s 1.125%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2022.</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$750,000,000 in aggregate principal amount of Viatris Inc.’s 1.650%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2025.</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$750,000,000 in aggregate principal amount of Viatris Inc.’s 2.300%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2027.</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$1,450,000,000 in aggregate principal amount of Viatris Inc.’s 2.700%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2030.</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$1,500,000,000 in aggregate principal amount of Viatris Inc.’s 3.850%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2040.</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$2,000,000,000 in aggregate principal amount of Viatris Inc.’s 4.000% Senior Notes due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2050.</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940" w:type="dxa"/>
            <w:vAlign w:val="bottom"/>
          </w:tcPr>
          <w:p>
            <w:pPr>
              <w:ind w:left="1140"/>
              <w:spacing w:after="0"/>
              <w:rPr>
                <w:sz w:val="20"/>
                <w:szCs w:val="20"/>
                <w:color w:val="auto"/>
              </w:rPr>
            </w:pPr>
            <w:r>
              <w:rPr>
                <w:rFonts w:ascii="Arial" w:cs="Arial" w:eastAsia="Arial" w:hAnsi="Arial"/>
                <w:sz w:val="18"/>
                <w:szCs w:val="18"/>
                <w:color w:val="auto"/>
              </w:rPr>
              <w:t>The 2022 Exchange Notes will mature on June 22, 2022.</w:t>
            </w:r>
          </w:p>
        </w:tc>
      </w:tr>
      <w:tr>
        <w:trPr>
          <w:trHeight w:val="472"/>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2025 Exchange Notes will mature on June 22, 2025.</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2027 Exchange Notes will mature on June 22, 2027.</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2030 Exchange Notes will mature on June 22, 2030.</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2040 Exchange Notes will mature on June 22, 2040.</w:t>
            </w:r>
          </w:p>
        </w:tc>
      </w:tr>
      <w:tr>
        <w:trPr>
          <w:trHeight w:val="45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2050 Exchange Notes will mature on June 22, 2050.</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Interest on the Exchange Notes of each series will be payable semi-annually in arrears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June 22 and December 22, commencing on December 22, 2021.</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Interest on the Exchange Notes will accrue from the most recent date to which interest on</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Restricted Notes has been paid.</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Interest on the Restricted Notes accepted for exchange will cease to accrue upon the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issuance of the Exchange Notes. The Restricted</w:t>
            </w:r>
          </w:p>
        </w:tc>
      </w:tr>
      <w:tr>
        <w:trPr>
          <w:trHeight w:val="240"/>
        </w:trPr>
        <w:tc>
          <w:tcPr>
            <w:tcW w:w="308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tcPr>
          <w:p>
            <w:pPr>
              <w:spacing w:after="0"/>
              <w:rPr>
                <w:sz w:val="20"/>
                <w:szCs w:val="20"/>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8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Notes accepted for exchange will cease to accrue interest from and after the date of</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consummation of the exchange offer. Holders of the Exchange Notes will not receive any</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payment in respect of accrued interest on the Restricted Notes otherwise payable on any</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interest payment date, the record date for which occurs on or after the consummation of the</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exchange offer.</w:t>
            </w:r>
          </w:p>
        </w:tc>
      </w:tr>
      <w:tr>
        <w:trPr>
          <w:trHeight w:val="473"/>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Rates</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2022 Exchange Notes will bear interest at a rate of 1.125% per annum.</w:t>
            </w:r>
          </w:p>
        </w:tc>
      </w:tr>
      <w:tr>
        <w:trPr>
          <w:trHeight w:val="446"/>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2025 Exchange Notes will bear interest at a rate of 1.650%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2027 Exchange Notes will bear interest at a rate of 2.300%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2030 Exchange Notes will bear interest at a rate of 2.700%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2040 Exchange Notes will bear interest at a rate of 3.850% per annum.</w:t>
            </w:r>
          </w:p>
        </w:tc>
      </w:tr>
      <w:tr>
        <w:trPr>
          <w:trHeight w:val="459"/>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2050 Exchange Notes will bear interest at a rate of 4.000% per annum.</w:t>
            </w:r>
          </w:p>
        </w:tc>
      </w:tr>
      <w:tr>
        <w:trPr>
          <w:trHeight w:val="445"/>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The Exchange Notes will be guaranteed upon issuance by each of Utah Acquisition Sub</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Inc., Mylan II B.V. and Mylan Inc. In addition, if a subsidiary of Viatris becomes a</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guarantor or an obligor in respect of certain indebtedness after the issue date of the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Exchange Notes, such subsidiary will guarantee the Exchanges Notes on the terms and</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subject to the conditions set forth herein. Under certain circumstances, guarantors may be</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released from their guarantees without the consent of the holders of the Exchange Notes or</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upon receipt of the consent of the holders of a majority of the aggregate principal amount</w:t>
            </w:r>
          </w:p>
        </w:tc>
      </w:tr>
      <w:tr>
        <w:trPr>
          <w:trHeight w:val="216"/>
        </w:trPr>
        <w:tc>
          <w:tcPr>
            <w:tcW w:w="268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of the outstanding Notes of the applicable series. See “Description of the Exchange Notes</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—Note Guarantees.”</w:t>
            </w:r>
          </w:p>
        </w:tc>
      </w:tr>
      <w:tr>
        <w:trPr>
          <w:trHeight w:val="445"/>
        </w:trPr>
        <w:tc>
          <w:tcPr>
            <w:tcW w:w="2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The Exchange Notes of each series will be senior unsecured indebtedness of Viatris and</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will:</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 xml:space="preserv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Viatris’ existing and future senior</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w w:val="99"/>
              </w:rPr>
              <w:t>unsecured indebtedness that is not expressly subordinated to the Exchange Notes;</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6"/>
              </w:rPr>
              <w:t>•  rank senior in right of payment to all of Viatris’ existing and future indebtedness that is</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expressly subordinated to the Exchange Notes;</w:t>
            </w:r>
          </w:p>
        </w:tc>
      </w:tr>
      <w:tr>
        <w:trPr>
          <w:trHeight w:val="323"/>
        </w:trPr>
        <w:tc>
          <w:tcPr>
            <w:tcW w:w="2680" w:type="dxa"/>
            <w:vAlign w:val="bottom"/>
            <w:tcBorders>
              <w:left w:val="single" w:sz="8" w:color="auto"/>
            </w:tcBorders>
          </w:tcPr>
          <w:p>
            <w:pPr>
              <w:spacing w:after="0"/>
              <w:rPr>
                <w:sz w:val="24"/>
                <w:szCs w:val="24"/>
                <w:color w:val="auto"/>
              </w:rPr>
            </w:pPr>
          </w:p>
        </w:tc>
        <w:tc>
          <w:tcPr>
            <w:tcW w:w="834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5"/>
              </w:rPr>
              <w:t>•  be effectively subordinated to all of Viatris’ existing and future secured indebtedness to</w:t>
            </w:r>
          </w:p>
        </w:tc>
      </w:tr>
      <w:tr>
        <w:trPr>
          <w:trHeight w:val="230"/>
        </w:trPr>
        <w:tc>
          <w:tcPr>
            <w:tcW w:w="2680" w:type="dxa"/>
            <w:vAlign w:val="bottom"/>
            <w:tcBorders>
              <w:left w:val="single" w:sz="8" w:color="auto"/>
            </w:tcBorders>
          </w:tcPr>
          <w:p>
            <w:pPr>
              <w:spacing w:after="0"/>
              <w:rPr>
                <w:sz w:val="20"/>
                <w:szCs w:val="20"/>
                <w:color w:val="auto"/>
              </w:rPr>
            </w:pPr>
          </w:p>
        </w:tc>
        <w:tc>
          <w:tcPr>
            <w:tcW w:w="834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the extent of the value of the collateral securing such indebtedness; and</w:t>
            </w:r>
          </w:p>
        </w:tc>
      </w:tr>
      <w:tr>
        <w:trPr>
          <w:trHeight w:val="240"/>
        </w:trPr>
        <w:tc>
          <w:tcPr>
            <w:tcW w:w="2680" w:type="dxa"/>
            <w:vAlign w:val="bottom"/>
            <w:tcBorders>
              <w:left w:val="single" w:sz="8" w:color="auto"/>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r>
      <w:tr>
        <w:trPr>
          <w:trHeight w:val="361"/>
        </w:trPr>
        <w:tc>
          <w:tcPr>
            <w:tcW w:w="2680" w:type="dxa"/>
            <w:vAlign w:val="bottom"/>
          </w:tcPr>
          <w:p>
            <w:pPr>
              <w:spacing w:after="0"/>
              <w:rPr>
                <w:sz w:val="24"/>
                <w:szCs w:val="24"/>
                <w:color w:val="auto"/>
              </w:rPr>
            </w:pPr>
          </w:p>
        </w:tc>
        <w:tc>
          <w:tcPr>
            <w:tcW w:w="8340" w:type="dxa"/>
            <w:vAlign w:val="bottom"/>
          </w:tcPr>
          <w:p>
            <w:pPr>
              <w:ind w:left="27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  be structurally subordinated to all of the existing and future liabilities, including trade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payables, of the existing and future subsidiaries of Viatris that do not guarantee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Exchange Notes.</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guarantees will be senior unsecured obligations of each guarantor and will:</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 xml:space="preserve">•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senior unsecured obligations that are not expressly subordinated to such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guarantee of the Exchange Notes;</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  rank senior in right of payment to all existing and future obligations of such guarantor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that are expressly subordinated to such guarantor’s guarantee of the Exchange Notes;</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  be effectively subordinated to such guarantor’s existing and future secured obligations to</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extent of the value of the collateral securing such obligations; and</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  be structurally subordinated to all of the existing and future liabilities, including trade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payables, of the existing and future subsidiaries of such guarantor that do not guarantee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Exchange Notes.</w:t>
            </w:r>
          </w:p>
        </w:tc>
      </w:tr>
      <w:tr>
        <w:trPr>
          <w:trHeight w:val="459"/>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See “Description of the Exchange Notes—Ranking.”</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As of June 30, 2021, (i) the amount of senior unsecured indebtedness of Viatris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guarantors of the Exchange Notes upon issuance was approximately $23.8 billion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(ii) the total liabilities of our subsidiaries that will not be guarantors of the Exchange Notes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upon issuance, including trade payables, was approximately $18.1 billion.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w w:val="93"/>
              </w:rPr>
              <w:t xml:space="preserve">The 2022 Exchange Notes. </w:t>
            </w:r>
            <w:r>
              <w:rPr>
                <w:rFonts w:ascii="Arial" w:cs="Arial" w:eastAsia="Arial" w:hAnsi="Arial"/>
                <w:sz w:val="18"/>
                <w:szCs w:val="18"/>
                <w:color w:val="auto"/>
                <w:w w:val="93"/>
              </w:rPr>
              <w:t>At any time and from time to time, Viatris may redeem some or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all of the 2022 Exchange Notes, upon not less than 10 nor more than 60 days’ prior written</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notice, at a price equal to the greater of:</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  100% of the aggregate principal amount of the 2022 Exchange Notes being redeemed,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and</w:t>
            </w:r>
          </w:p>
        </w:tc>
      </w:tr>
      <w:tr>
        <w:trPr>
          <w:trHeight w:val="32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  the sum of the present values, as calculated by Viatris, of the remaining scheduled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payments of principal and interest on the 2022 Exchange Notes being redeemed, not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including accrued and unpaid interest thereon, if any, to, but excluding, the redemption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date, discounted to the redemption date on a semi-annual basis (assuming a 360-day year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consisting of twelve 30-day months) at the Treasury Rate (as defined herein) plus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basis points,</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plus, in each case, accrued and unpaid interest thereon if any, to, but excluding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date.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w w:val="93"/>
              </w:rPr>
              <w:t>The 2025 Exchange Notes, 2027 Exchange Notes, 2030 Exchange Notes, 2040 Exchange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i w:val="1"/>
                <w:iCs w:val="1"/>
                <w:color w:val="auto"/>
              </w:rPr>
              <w:t xml:space="preserve">Notes and 2050 Exchange Notes. </w:t>
            </w:r>
            <w:r>
              <w:rPr>
                <w:rFonts w:ascii="Arial" w:cs="Arial" w:eastAsia="Arial" w:hAnsi="Arial"/>
                <w:sz w:val="18"/>
                <w:szCs w:val="18"/>
                <w:color w:val="auto"/>
              </w:rPr>
              <w:t>At any time</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300"/>
        <w:spacing w:after="0" w:line="257" w:lineRule="auto"/>
        <w:rPr>
          <w:sz w:val="20"/>
          <w:szCs w:val="20"/>
          <w:color w:val="auto"/>
        </w:rPr>
      </w:pPr>
      <w:r>
        <w:rPr>
          <w:rFonts w:ascii="Arial" w:cs="Arial" w:eastAsia="Arial" w:hAnsi="Arial"/>
          <w:sz w:val="18"/>
          <w:szCs w:val="18"/>
          <w:color w:val="auto"/>
        </w:rPr>
        <w:t>and from time to time prior to the Applicable Par Call Date (as defined herein) for the Exchange Notes of the applicable series, Viatris may redeem some or all of the 2025 Exchange Notes, the 2027 Exchange Notes, the 2030 Exchange Notes, the 2040 Exchange Notes or the 2050 Exchange Notes, upon not less than 10 nor more than 60 days’ prior written notice, at a price equal to the greater of:</w:t>
      </w:r>
    </w:p>
    <w:p>
      <w:pPr>
        <w:spacing w:after="0" w:line="107" w:lineRule="exact"/>
        <w:rPr>
          <w:sz w:val="20"/>
          <w:szCs w:val="20"/>
          <w:color w:val="auto"/>
        </w:rPr>
      </w:pPr>
    </w:p>
    <w:p>
      <w:pPr>
        <w:ind w:left="4520" w:right="580" w:hanging="179"/>
        <w:spacing w:after="0" w:line="277" w:lineRule="auto"/>
        <w:tabs>
          <w:tab w:leader="none" w:pos="4500" w:val="left"/>
        </w:tabs>
        <w:rPr>
          <w:sz w:val="20"/>
          <w:szCs w:val="20"/>
          <w:color w:val="auto"/>
        </w:rPr>
      </w:pPr>
      <w:r>
        <w:rPr>
          <w:rFonts w:ascii="Arial" w:cs="Arial" w:eastAsia="Arial" w:hAnsi="Arial"/>
          <w:sz w:val="18"/>
          <w:szCs w:val="18"/>
          <w:color w:val="auto"/>
        </w:rPr>
        <w:t>•</w:t>
        <w:tab/>
        <w:t>100% of the aggregate principal amount of the Exchange Notes of such series being redeemed, and</w:t>
      </w:r>
    </w:p>
    <w:p>
      <w:pPr>
        <w:spacing w:after="0" w:line="76" w:lineRule="exact"/>
        <w:rPr>
          <w:sz w:val="20"/>
          <w:szCs w:val="20"/>
          <w:color w:val="auto"/>
        </w:rPr>
      </w:pPr>
    </w:p>
    <w:p>
      <w:pPr>
        <w:ind w:left="4520" w:right="240" w:hanging="179"/>
        <w:spacing w:after="0" w:line="293" w:lineRule="auto"/>
        <w:tabs>
          <w:tab w:leader="none" w:pos="4500" w:val="left"/>
        </w:tabs>
        <w:rPr>
          <w:sz w:val="20"/>
          <w:szCs w:val="20"/>
          <w:color w:val="auto"/>
        </w:rPr>
      </w:pPr>
      <w:r>
        <w:rPr>
          <w:rFonts w:ascii="Arial" w:cs="Arial" w:eastAsia="Arial" w:hAnsi="Arial"/>
          <w:sz w:val="16"/>
          <w:szCs w:val="16"/>
          <w:color w:val="auto"/>
        </w:rPr>
        <w:t>•</w:t>
        <w:tab/>
        <w:t>the sum of the present values, as calculated by Viatris, of the remaining scheduled payments of principal and interest on the Exchange Notes of such series being redeemed that would be due if the Exchange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70"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18"/>
                <w:szCs w:val="18"/>
                <w:color w:val="auto"/>
                <w:w w:val="95"/>
              </w:rPr>
              <w:t>•   in the case of any 2025 Exchange Notes being redeemed, 25 basis points,</w:t>
            </w:r>
          </w:p>
        </w:tc>
      </w:tr>
      <w:tr>
        <w:trPr>
          <w:trHeight w:val="338"/>
        </w:trPr>
        <w:tc>
          <w:tcPr>
            <w:tcW w:w="1980" w:type="dxa"/>
            <w:vAlign w:val="bottom"/>
            <w:gridSpan w:val="2"/>
          </w:tcPr>
          <w:p>
            <w:pPr>
              <w:spacing w:after="0"/>
              <w:rPr>
                <w:sz w:val="20"/>
                <w:szCs w:val="20"/>
                <w:color w:val="auto"/>
              </w:rPr>
            </w:pPr>
            <w:r>
              <w:rPr>
                <w:rFonts w:ascii="Arial" w:cs="Arial" w:eastAsia="Arial" w:hAnsi="Arial"/>
                <w:sz w:val="18"/>
                <w:szCs w:val="18"/>
                <w:color w:val="auto"/>
                <w:w w:val="94"/>
              </w:rPr>
              <w:t>•   in the case of any 2027</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30 basis points,</w:t>
            </w:r>
          </w:p>
        </w:tc>
      </w:tr>
      <w:tr>
        <w:trPr>
          <w:trHeight w:val="338"/>
        </w:trPr>
        <w:tc>
          <w:tcPr>
            <w:tcW w:w="1980" w:type="dxa"/>
            <w:vAlign w:val="bottom"/>
            <w:gridSpan w:val="2"/>
          </w:tcPr>
          <w:p>
            <w:pPr>
              <w:spacing w:after="0"/>
              <w:rPr>
                <w:sz w:val="20"/>
                <w:szCs w:val="20"/>
                <w:color w:val="auto"/>
              </w:rPr>
            </w:pPr>
            <w:r>
              <w:rPr>
                <w:rFonts w:ascii="Arial" w:cs="Arial" w:eastAsia="Arial" w:hAnsi="Arial"/>
                <w:sz w:val="18"/>
                <w:szCs w:val="18"/>
                <w:color w:val="auto"/>
                <w:w w:val="94"/>
              </w:rPr>
              <w:t>•   in the case of any 2030</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30 basis points,</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w w:val="90"/>
              </w:rPr>
              <w:t>in the case of any 2040</w:t>
            </w:r>
          </w:p>
        </w:tc>
        <w:tc>
          <w:tcPr>
            <w:tcW w:w="3880" w:type="dxa"/>
            <w:vAlign w:val="bottom"/>
          </w:tcPr>
          <w:p>
            <w:pPr>
              <w:ind w:left="20"/>
              <w:spacing w:after="0"/>
              <w:rPr>
                <w:sz w:val="20"/>
                <w:szCs w:val="20"/>
                <w:color w:val="auto"/>
              </w:rPr>
            </w:pPr>
            <w:r>
              <w:rPr>
                <w:rFonts w:ascii="Arial" w:cs="Arial" w:eastAsia="Arial" w:hAnsi="Arial"/>
                <w:sz w:val="18"/>
                <w:szCs w:val="18"/>
                <w:color w:val="auto"/>
                <w:w w:val="87"/>
              </w:rPr>
              <w:t>Exchange Notes being redeemed, 40 basis points, and</w:t>
            </w: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00"/>
              <w:spacing w:after="0"/>
              <w:rPr>
                <w:sz w:val="20"/>
                <w:szCs w:val="20"/>
                <w:color w:val="auto"/>
              </w:rPr>
            </w:pPr>
            <w:r>
              <w:rPr>
                <w:rFonts w:ascii="Arial" w:cs="Arial" w:eastAsia="Arial" w:hAnsi="Arial"/>
                <w:sz w:val="18"/>
                <w:szCs w:val="18"/>
                <w:color w:val="auto"/>
                <w:w w:val="90"/>
              </w:rPr>
              <w:t>in the case of any 2050</w:t>
            </w:r>
          </w:p>
        </w:tc>
        <w:tc>
          <w:tcPr>
            <w:tcW w:w="3880" w:type="dxa"/>
            <w:vAlign w:val="bottom"/>
          </w:tcPr>
          <w:p>
            <w:pPr>
              <w:ind w:left="20"/>
              <w:spacing w:after="0"/>
              <w:rPr>
                <w:sz w:val="20"/>
                <w:szCs w:val="20"/>
                <w:color w:val="auto"/>
              </w:rPr>
            </w:pPr>
            <w:r>
              <w:rPr>
                <w:rFonts w:ascii="Arial" w:cs="Arial" w:eastAsia="Arial" w:hAnsi="Arial"/>
                <w:sz w:val="18"/>
                <w:szCs w:val="18"/>
                <w:color w:val="auto"/>
                <w:w w:val="95"/>
              </w:rPr>
              <w:t>Exchange Notes being redeemed, 40 basis points,</w:t>
            </w:r>
          </w:p>
        </w:tc>
      </w:tr>
    </w:tbl>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plus, in each case, accrued and unpaid interest thereon, if any, to, but excluding, the</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redemption date.</w:t>
            </w:r>
          </w:p>
        </w:tc>
      </w:tr>
      <w:tr>
        <w:trPr>
          <w:trHeight w:val="445"/>
        </w:trPr>
        <w:tc>
          <w:tcPr>
            <w:tcW w:w="2860" w:type="dxa"/>
            <w:vAlign w:val="bottom"/>
          </w:tcPr>
          <w:p>
            <w:pPr>
              <w:spacing w:after="0"/>
              <w:rPr>
                <w:sz w:val="24"/>
                <w:szCs w:val="24"/>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6"/>
              </w:rPr>
              <w:t>On or after the Applicable Par Call Date for the Exchange Notes of the applicable series,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3"/>
              </w:rPr>
              <w:t>the 2025 Exchange Notes, the 2027 Exchange Notes, the 2030 Exchange Notes, the 2040</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4"/>
              </w:rPr>
              <w:t>Exchange Notes and the 2050 Exchange Notes will be redeemable in whole at any time or</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6"/>
              </w:rPr>
              <w:t>in part, from time to time, at Viatris’ option, upon not less than 10 nor more than 60 days’</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3"/>
              </w:rPr>
              <w:t>prior written notice sent to the registered holders of the Exchange Notes of such series, at a</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8"/>
              </w:rPr>
              <w:t>redemption price equal to 100% of the principal amount of the Exchange Notes of such</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series to be redeemed plus accrued and unpaid interest thereon, if any, to, but excluding,</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the redemption date.</w:t>
            </w:r>
          </w:p>
        </w:tc>
      </w:tr>
      <w:tr>
        <w:trPr>
          <w:trHeight w:val="459"/>
        </w:trPr>
        <w:tc>
          <w:tcPr>
            <w:tcW w:w="2860" w:type="dxa"/>
            <w:vAlign w:val="bottom"/>
          </w:tcPr>
          <w:p>
            <w:pPr>
              <w:spacing w:after="0"/>
              <w:rPr>
                <w:sz w:val="24"/>
                <w:szCs w:val="24"/>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See “Description of the Exchange Notes—Optional Redemption.”</w:t>
            </w:r>
          </w:p>
        </w:tc>
      </w:tr>
      <w:tr>
        <w:trPr>
          <w:trHeight w:val="445"/>
        </w:trPr>
        <w:tc>
          <w:tcPr>
            <w:tcW w:w="2860" w:type="dxa"/>
            <w:vAlign w:val="bottom"/>
          </w:tcPr>
          <w:p>
            <w:pPr>
              <w:ind w:left="180"/>
              <w:spacing w:after="0"/>
              <w:rPr>
                <w:sz w:val="20"/>
                <w:szCs w:val="20"/>
                <w:color w:val="auto"/>
              </w:rPr>
            </w:pPr>
            <w:r>
              <w:rPr>
                <w:rFonts w:ascii="Arial" w:cs="Arial" w:eastAsia="Arial" w:hAnsi="Arial"/>
                <w:sz w:val="18"/>
                <w:szCs w:val="18"/>
                <w:color w:val="auto"/>
              </w:rPr>
              <w:t>Change of Control</w:t>
            </w: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If a Change of Control Repurchase Event (as defined herein) occurs, Viatris must offer to</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2"/>
              </w:rPr>
              <w:t>purchase each series of the Exchange Notes from holders at purchase prices equal to 101%</w:t>
            </w:r>
          </w:p>
        </w:tc>
      </w:tr>
      <w:tr>
        <w:trPr>
          <w:trHeight w:val="216"/>
        </w:trPr>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w w:val="95"/>
              </w:rPr>
              <w:t>of their respective principal amounts, plus accrued and unpaid interest thereon, if any, to,</w:t>
            </w:r>
          </w:p>
        </w:tc>
      </w:tr>
      <w:tr>
        <w:trPr>
          <w:trHeight w:val="230"/>
        </w:trPr>
        <w:tc>
          <w:tcPr>
            <w:tcW w:w="2860" w:type="dxa"/>
            <w:vAlign w:val="bottom"/>
          </w:tcPr>
          <w:p>
            <w:pPr>
              <w:spacing w:after="0"/>
              <w:rPr>
                <w:sz w:val="20"/>
                <w:szCs w:val="20"/>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but</w:t>
            </w:r>
          </w:p>
        </w:tc>
      </w:tr>
      <w:tr>
        <w:trPr>
          <w:trHeight w:val="240"/>
        </w:trPr>
        <w:tc>
          <w:tcPr>
            <w:tcW w:w="286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1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excluding, the date of the purchase, unless it has exercised its right to redeem the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applicable series of Exchange Notes.</w:t>
            </w:r>
          </w:p>
        </w:tc>
      </w:tr>
      <w:tr>
        <w:trPr>
          <w:trHeight w:val="45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See “Description of the Exchange Notes—Purchase of Exchange Notes Upon a Change of</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Control Repurchase Event.”</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The Exchange Notes will be issued under an indenture containing covenants that, among</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other things, restrict Viatris’ ability and the ability of certain of Viatris’ subsidiaries to:</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  enter into sale and leaseback transactions;</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  create liens;</w:t>
            </w:r>
          </w:p>
        </w:tc>
      </w:tr>
      <w:tr>
        <w:trPr>
          <w:trHeight w:val="323"/>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  with respect to such subsidiaries only, guarantee certain of our outstanding obligations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without also guaranteeing the obligations of Viatris under the Exchange Notes, fully and</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unconditionally and on a senior basis; and</w:t>
            </w:r>
          </w:p>
        </w:tc>
      </w:tr>
      <w:tr>
        <w:trPr>
          <w:trHeight w:val="338"/>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  with respect to Viatris only, consolidate, merge or sell substantially all of Viatris’ assets.</w:t>
            </w:r>
          </w:p>
        </w:tc>
      </w:tr>
      <w:tr>
        <w:trPr>
          <w:trHeight w:val="445"/>
        </w:trPr>
        <w:tc>
          <w:tcPr>
            <w:tcW w:w="312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These covenants will be subject to a number of important exceptions and qualifications.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See “Description of the Exchange Notes—Certain Covenants” and “Description of the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Exchange Notes—Consolidation, Merger and Sale of Assets.”</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Trading Market</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Each series of Exchange Notes constitutes a new issue of securities, for which there is no</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existing trading market. In addition, Viatris does not intend to apply to list any of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Exchange Notes on any securities exchange or for quotation on any automated quotation</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system. Viatris cannot provide you with any assurance regarding whether trading markets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for any series of the Exchange Notes will develop, the ability of holders of the Exchange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Notes to sell their Exchange Notes or the prices at which holders may be able to sell their</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8"/>
              </w:rPr>
              <w:t>Exchange Notes. If no active trading markets develop, you may be unable to resell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Exchange Notes at their fair market value or at all. See “Risk Factors—Risks Relating to</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Exchange Offer and the Exchange Notes—There may not be any trading market for</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your Exchange Notes; many factors affect the trading and market value of your Exchange</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Notes.”</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7"/>
              </w:rPr>
              <w:t>The Exchange Notes of each series will be issued in minimum denominations of $2,000</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and integral multiples of $1,000 in excess thereof. The Exchange Notes will be book-entry</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only and registered in the name of a nominee of The Depository Trust Company.</w:t>
            </w:r>
          </w:p>
        </w:tc>
      </w:tr>
      <w:tr>
        <w:trPr>
          <w:trHeight w:val="445"/>
        </w:trPr>
        <w:tc>
          <w:tcPr>
            <w:tcW w:w="3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We will not receive any proceeds from issuance of the Exchange Notes in connection with</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the exchange offer. Any Restricted Notes that are properly tendered and exchanged</w:t>
            </w:r>
          </w:p>
        </w:tc>
      </w:tr>
      <w:tr>
        <w:trPr>
          <w:trHeight w:val="230"/>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pursuant to the exchange offer will be retired and cancelled. See “Use of Proceeds.”</w:t>
            </w:r>
          </w:p>
        </w:tc>
      </w:tr>
      <w:tr>
        <w:trPr>
          <w:trHeight w:val="240"/>
        </w:trPr>
        <w:tc>
          <w:tcPr>
            <w:tcW w:w="3120" w:type="dxa"/>
            <w:vAlign w:val="bottom"/>
            <w:tcBorders>
              <w:left w:val="single" w:sz="8" w:color="auto"/>
              <w:bottom w:val="single" w:sz="8" w:color="auto"/>
            </w:tcBorders>
          </w:tcPr>
          <w:p>
            <w:pPr>
              <w:spacing w:after="0"/>
              <w:rPr>
                <w:sz w:val="20"/>
                <w:szCs w:val="20"/>
                <w:color w:val="auto"/>
              </w:rPr>
            </w:pPr>
          </w:p>
        </w:tc>
        <w:tc>
          <w:tcPr>
            <w:tcW w:w="7900" w:type="dxa"/>
            <w:vAlign w:val="bottom"/>
            <w:tcBorders>
              <w:bottom w:val="single" w:sz="8" w:color="auto"/>
              <w:right w:val="single" w:sz="8" w:color="auto"/>
            </w:tcBorders>
          </w:tcPr>
          <w:p>
            <w:pPr>
              <w:spacing w:after="0"/>
              <w:rPr>
                <w:sz w:val="20"/>
                <w:szCs w:val="20"/>
                <w:color w:val="auto"/>
              </w:rPr>
            </w:pPr>
          </w:p>
        </w:tc>
      </w:tr>
      <w:tr>
        <w:trPr>
          <w:trHeight w:val="361"/>
        </w:trPr>
        <w:tc>
          <w:tcPr>
            <w:tcW w:w="3120" w:type="dxa"/>
            <w:vAlign w:val="bottom"/>
          </w:tcPr>
          <w:p>
            <w:pPr>
              <w:spacing w:after="0"/>
              <w:rPr>
                <w:sz w:val="24"/>
                <w:szCs w:val="24"/>
                <w:color w:val="auto"/>
              </w:rPr>
            </w:pPr>
          </w:p>
        </w:tc>
        <w:tc>
          <w:tcPr>
            <w:tcW w:w="7900" w:type="dxa"/>
            <w:vAlign w:val="bottom"/>
          </w:tcPr>
          <w:p>
            <w:pPr>
              <w:ind w:left="23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16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color w:val="auto"/>
                <w:w w:val="98"/>
              </w:rPr>
              <w:t>You should carefully consider the information set forth in the section of this prospectus</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entitled “Risk Factors” and the “Risk Factors” section in the Annual Report on Form 10-K</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of Viatris for the year ended December 31, 2020, as well as the other information included</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or incorporated by reference into this prospectus before deciding whether to invest in the</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Exchange Notes.</w:t>
            </w:r>
          </w:p>
        </w:tc>
      </w:tr>
      <w:tr>
        <w:trPr>
          <w:trHeight w:val="445"/>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Indenture</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The Exchange Notes will be issued under an indenture, dated as of June 22, 2020, between</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Viatris Inc. (formerly known as Upjohn Inc.), as issuer, and The Bank of New York</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Mellon, as trustee (as supplemented by the First Supplemental Indenture dated as of</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November 16, 2020, among Viatris Inc., Utah Acquisition Sub Inc., Mylan II B.V., Mylan</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Inc. and The Bank of New York Mellon, as trustee, the “indenture”).</w:t>
            </w:r>
          </w:p>
        </w:tc>
      </w:tr>
      <w:tr>
        <w:trPr>
          <w:trHeight w:val="459"/>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Consequences</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For a discussion of the material U.S. federal income, and the material Dutch income tax</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consequences of an exchange of the Restricted Notes for the Exchange Notes, see</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“Material Tax Considerations.” You should consult your own tax advisor to determine the</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U.S. federal income and other consequences of an exchange of the Restricted Notes for the</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Exchange Notes.</w:t>
            </w:r>
          </w:p>
        </w:tc>
      </w:tr>
      <w:tr>
        <w:trPr>
          <w:trHeight w:val="445"/>
        </w:trPr>
        <w:tc>
          <w:tcPr>
            <w:tcW w:w="2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The Exchange Notes, the indenture governing the Exchange Notes and the guarantees will</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be governed by, and will be construed in accordance with, the laws of the State of New</w:t>
            </w:r>
          </w:p>
        </w:tc>
      </w:tr>
      <w:tr>
        <w:trPr>
          <w:trHeight w:val="230"/>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York.</w:t>
            </w:r>
          </w:p>
        </w:tc>
      </w:tr>
      <w:tr>
        <w:trPr>
          <w:trHeight w:val="240"/>
        </w:trPr>
        <w:tc>
          <w:tcPr>
            <w:tcW w:w="2860" w:type="dxa"/>
            <w:vAlign w:val="bottom"/>
            <w:tcBorders>
              <w:left w:val="single" w:sz="8" w:color="auto"/>
              <w:bottom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spacing w:after="0"/>
              <w:rPr>
                <w:sz w:val="20"/>
                <w:szCs w:val="20"/>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Before tendering Restricted Notes in exchange for the Exchange Notes, you should consider carefully the information under the heading “Risk Factors” in the Annual Report on Form 10-K of Viatris for the fiscal year ended December 31, 2020 and the following risk factors. You should also carefully consider the other information included in this prospectus and other information incorporated by reference herein. Each of the risks described in the Annual Report on Form 10-K of Viatris and below could result in a decrease in the value of the Exchange Notes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Exchange Notes. The information contained in, and incorporated by reference, into this prospectus includes forward-looking statements that involve risks and uncertainties, and we refer you to the “Cautionary Language Regarding Forward-Looking Statements” section in this prospectus.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Below is a summary of some of the more significant risks and uncertainties we face. This summary is not exhaustive and is qualified by reference to the full set of risk factors included in the Annual Report on Form 10-K of Viatris for the fiscal year ended December 31, 2020 and the risk factors contained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Combination Risks</w:t>
      </w:r>
    </w:p>
    <w:p>
      <w:pPr>
        <w:spacing w:after="0" w:line="131" w:lineRule="exact"/>
        <w:rPr>
          <w:sz w:val="20"/>
          <w:szCs w:val="20"/>
          <w:color w:val="auto"/>
        </w:rPr>
      </w:pPr>
    </w:p>
    <w:p>
      <w:pPr>
        <w:ind w:left="540" w:right="66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integration of the Upjohn Business with Mylan following the Combination, as well as our global restructuring program, may present significant challenges.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Viatris may not realize the anticipated benefits from the Combination or its global restructuring program.</w:t>
      </w:r>
    </w:p>
    <w:p>
      <w:pPr>
        <w:spacing w:after="0" w:line="130" w:lineRule="exact"/>
        <w:rPr>
          <w:rFonts w:ascii="Arial" w:cs="Arial" w:eastAsia="Arial" w:hAnsi="Arial"/>
          <w:sz w:val="18"/>
          <w:szCs w:val="18"/>
          <w:color w:val="auto"/>
        </w:rPr>
      </w:pPr>
    </w:p>
    <w:p>
      <w:pPr>
        <w:jc w:val="both"/>
        <w:ind w:left="540" w:right="60" w:hanging="316"/>
        <w:spacing w:after="0" w:line="31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Strategic Risks</w:t>
      </w:r>
    </w:p>
    <w:p>
      <w:pPr>
        <w:spacing w:after="0" w:line="131"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strategic initiatives, including our strategic alliances, may not achieve all intended benefits.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significant operations globally, which exposes us to the risks inherent in conducting our business internationally.</w:t>
      </w:r>
    </w:p>
    <w:p>
      <w:pPr>
        <w:spacing w:after="0" w:line="130"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Charges to earnings resulting from acquisitions could have a material adverse effect on our business, financial condition, results of operations, cash flows, ability to pay dividends and/or stock price.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Operational Risks</w:t>
      </w:r>
    </w:p>
    <w:p>
      <w:pPr>
        <w:spacing w:after="0" w:line="131" w:lineRule="exact"/>
        <w:rPr>
          <w:sz w:val="20"/>
          <w:szCs w:val="20"/>
          <w:color w:val="auto"/>
        </w:rPr>
      </w:pPr>
    </w:p>
    <w:p>
      <w:pPr>
        <w:ind w:left="540" w:right="180" w:hanging="316"/>
        <w:spacing w:after="0" w:line="34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and changing economic conditions may adversely affect our industry, business, partners and suppliers.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6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pharmaceutical industry is heavily regulated, and we face significant costs and uncertainties associated with our efforts to comply with applicable laws and regulations.</w:t>
      </w:r>
    </w:p>
    <w:p>
      <w:pPr>
        <w:spacing w:after="0" w:line="75" w:lineRule="exact"/>
        <w:rPr>
          <w:rFonts w:ascii="Arial" w:cs="Arial" w:eastAsia="Arial" w:hAnsi="Arial"/>
          <w:sz w:val="18"/>
          <w:szCs w:val="18"/>
          <w:color w:val="auto"/>
        </w:rPr>
      </w:pPr>
    </w:p>
    <w:p>
      <w:pPr>
        <w:ind w:left="540" w:right="260" w:hanging="316"/>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are unable to successfully introduce new products in a timely manner, our future revenue and profitability may be adversely affected.</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expend a significant amount of resources on R&amp;D efforts that may not lead to successful product introductions.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Even if our products in development receive regulatory approval, such products may not achieve expected levels of market acceptance.</w:t>
      </w:r>
    </w:p>
    <w:p>
      <w:pPr>
        <w:spacing w:after="0" w:line="142" w:lineRule="exact"/>
        <w:rPr>
          <w:rFonts w:ascii="Arial" w:cs="Arial" w:eastAsia="Arial" w:hAnsi="Arial"/>
          <w:sz w:val="17"/>
          <w:szCs w:val="17"/>
          <w:color w:val="auto"/>
        </w:rPr>
      </w:pPr>
    </w:p>
    <w:p>
      <w:pPr>
        <w:ind w:left="540" w:right="160" w:hanging="31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29" w:lineRule="exact"/>
        <w:rPr>
          <w:rFonts w:ascii="Arial" w:cs="Arial" w:eastAsia="Arial" w:hAnsi="Arial"/>
          <w:sz w:val="16"/>
          <w:szCs w:val="16"/>
          <w:color w:val="auto"/>
        </w:rPr>
      </w:pPr>
    </w:p>
    <w:p>
      <w:pPr>
        <w:ind w:left="540" w:right="180" w:hanging="31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29"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limited number of manufacturing facilities and certain third-party suppliers produce a substantial portion of our API and products, some of which require a highly exacting and complex manufacturing process.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Compliance Risks</w:t>
      </w:r>
    </w:p>
    <w:p>
      <w:pPr>
        <w:spacing w:after="0" w:line="131" w:lineRule="exact"/>
        <w:rPr>
          <w:sz w:val="20"/>
          <w:szCs w:val="20"/>
          <w:color w:val="auto"/>
        </w:rPr>
      </w:pPr>
    </w:p>
    <w:p>
      <w:pPr>
        <w:ind w:left="540" w:right="68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75" w:lineRule="exact"/>
        <w:rPr>
          <w:rFonts w:ascii="Arial" w:cs="Arial" w:eastAsia="Arial" w:hAnsi="Arial"/>
          <w:sz w:val="18"/>
          <w:szCs w:val="18"/>
          <w:color w:val="auto"/>
        </w:rPr>
      </w:pPr>
    </w:p>
    <w:p>
      <w:pPr>
        <w:ind w:left="540" w:right="120" w:hanging="316"/>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92"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involved in various legal proceedings and certain government inquiries and may experience unfavorable outcomes of such proceedings or inquiries.</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comply with our corporate integrity agreement, we could be subject to substantial penalties and exclusion from participation in federal healthcare programs.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increasingly dependent on IT and our systems and infrastructure face certain risks, including cybersecurity and data leakage risks.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Finance Risks</w:t>
      </w:r>
    </w:p>
    <w:p>
      <w:pPr>
        <w:spacing w:after="0" w:line="131"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Viatris’ future dividend payments cannot be guaranteed.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maintain competitive financial flexibility and our corporate tax rate which could adversely affect us and our shareholders</w:t>
      </w:r>
    </w:p>
    <w:p>
      <w:pPr>
        <w:spacing w:after="0" w:line="153" w:lineRule="exact"/>
        <w:rPr>
          <w:rFonts w:ascii="Arial" w:cs="Arial" w:eastAsia="Arial" w:hAnsi="Arial"/>
          <w:sz w:val="16"/>
          <w:szCs w:val="16"/>
          <w:color w:val="auto"/>
        </w:rPr>
      </w:pPr>
    </w:p>
    <w:p>
      <w:pPr>
        <w:ind w:left="540" w:right="580" w:hanging="316"/>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hanging="316"/>
        <w:spacing w:after="0" w:line="31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Viatris could suffer additional losses due to asset impairment charges.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incorporates by reference the risk factors contained in the Annual Report on Form 10-K of Viatris, filed on March 1, 2021 with the SEC. Investors should carefully consider the risk factors contained in the documents incorporated by reference into this prospectus in addition to the risk factors below before deciding to invest in the notes.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the Exchange Offer and the Exchange Notes</w:t>
      </w:r>
    </w:p>
    <w:p>
      <w:pPr>
        <w:spacing w:after="0" w:line="33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governing the Exchange Notes and the terms of the Exchange Notes will not provide protection against significant events that could adversely impact your investment in the Exchange Notes.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Exchange Notes does not:</w:t>
      </w:r>
    </w:p>
    <w:p>
      <w:pPr>
        <w:spacing w:after="0" w:line="131" w:lineRule="exact"/>
        <w:rPr>
          <w:sz w:val="20"/>
          <w:szCs w:val="20"/>
          <w:color w:val="auto"/>
        </w:rPr>
      </w:pPr>
    </w:p>
    <w:p>
      <w:pPr>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does not protect holders of the Exchange Notes in the event that we experience significant adverse changes in our financial condition or results of operations;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incur indebtedness;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structurally senior to our equity interests in our subsidiaries;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ability to repurchase or prepay our other securities;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 our or our subsidiaries’ ability to make investments or to repurchase or pay dividends or make other payments in respect of our common stock or other securities ranking junior to the Exchange Notes.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the definition of “Change of Control Repurchase Event” in the indenture governing the Exchange Notes will contain only limited protections. We and our subsidiaries could engage in many types of transactions, such as certain acquisitions, refinancings or recapitalizations that could substantially affect our capital structure and the value of the Exchange Notes and your investment therein. The indenture will also permit us and our subsidiaries to incur additional indebtedness, including secured indebtedness, that could effectively rank senior to the Exchange Notes, and to engage in sale-leaseback transactions, subject to certain limits.</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a result of the foregoing, when evaluating the terms of the Exchange Notes, you should be aware that the terms of the indenture and the Exchange Notes will not restrict our ability to engage in, or otherwise be a party to, a variety of corporate transactions, circumstances and events that could have an adverse impact on your investment in the Exchange Notes.</w:t>
      </w:r>
    </w:p>
    <w:p>
      <w:pPr>
        <w:spacing w:after="0" w:line="2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Notes and the guarantees will be unsecured and will be effectively subordinated to our and the guarantors’ existing and future secured indebtedness.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and the guarantors’ respective obligations under the Exchange Notes and the guarantees will not be secured by any of our or their respective assets or any of our or their existing or future subsidiaries’ assets.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addition, the indenture governing the Exchange Notes will permit us and our subsidiaries to incur additional indebtedness, which may be secured. As a result, the Exchange Notes and the guarantees will be effectively subordinated to all of our and the guarantors’ existing and future secured indebtedness and other obligations to the extent of the value of the assets securing such obligations. As of June 30, 2021, the amount of secured indebtedness of Viatris and the guarantors was $600 million. If we or any of the guarantors were to become insolvent or otherwise fail to make payments on the Exchange Notes or the guarantees, as applicable, holders of our and the guarantors’ secured obligations would be paid first and would receive payments from the assets securing such obligations before the holders of the Exchange Notes would receive any payments. Holders of the Exchange Notes will participate ratably with all holders of our unsecured indebtedness (and, if applicable, all holders of the guarantors’ unsecured indebtedness) deemed to be of the same class as the Exchange Notes, and potentially with all of our and their other general creditors, based upon the respective amounts owed to each holder or creditor, in our or their remaining assets. However, under Dutch law, certain of Mylan II B.V.’s creditors (including secured creditors) may have preference over other creditors with respect to claims against certain of our assets. You may, therefore, not be fully repaid in the event we become insolvent or otherwise fail to make payments on the Exchange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Exchange Notes and the guarantees will be structurally subordinated to indebtedness and other liabilities of our non-guarantor subsidiaries.</w:t>
      </w:r>
    </w:p>
    <w:p>
      <w:pPr>
        <w:spacing w:after="0" w:line="15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Exchange Notes will be guaranteed upon issuance only by Utah Acquisition Sub Inc., Mylan II B.V. and Mylan Inc. As a result, the Exchange Notes will be structurally subordinated to the indebtedness and other liabilities of Viatris’ non-guarantor subsidiaries, and holders of the Exchange Notes will not have any claim as a creditor against any such non-guarantor subsidiaries. Accordingly, claims of holders of the Exchange Notes will be structurally subordinated to the claims of creditors of Viatris’ non-guarantor subsidiaries, including trade creditors. All obligations of Viatris’ non-guarantor subsidiaries will have to be satisfied before any of the assets of such non-guarantor subsidiaries would be available for distribution, upon a liquidation or otherwise, to us or the guarantors, as the case may be. In addition, the indenture governing the Exchange Notes will not prohibit such non-guarantor subsidiaries from incurring additional indebtedness.</w:t>
      </w:r>
    </w:p>
    <w:p>
      <w:pPr>
        <w:spacing w:after="0" w:line="17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June 30, 2021, (i) the amount of senior unsecured indebtedness of Viatris and the guarantors was approximately $23.8 billion and (ii) the total liabilities of our subsidiaries that will not be guarantors of the Exchange Notes upon issuance, including trade payables, was approximately $18.1 billion.</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indenture governing the Exchange Notes contains covenants that impose restrictions on us and certain of our subsidiaries, which may adversely affect the conduct of our current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indenture governing the Exchange Notes contains covenants imposing financial and operating restrictions on our business. These restrictions may affect our ability to operate our business, may limit our ability to take advantage of potential business opportunities as they arise and may adversely affect the conduct of our current business. The covenants in the indenture governing the Exchange Notes place restrictions, among other things, on our ability and the ability of certain of our subsidiaries to create liens and enter into sale-leaseback transactions and on our ability to consolidate, merge or sell substantially all of our assets. A failure by us or our subsidiaries to comply with the covenants in the indenture could result in an event of default under such indebtedness, which could adversely affect our ability to respond to changes in our business and manage our operations.</w:t>
      </w:r>
    </w:p>
    <w:p>
      <w:pPr>
        <w:spacing w:after="0" w:line="2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An event of default under our outstanding indebtedness could materially and adversely affect our results of operations and our financial condition and may cause an event of default to occur under the indenture governing the Exchange Notes.</w:t>
      </w:r>
    </w:p>
    <w:p>
      <w:pPr>
        <w:spacing w:after="0" w:line="6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Upon the occurrence of an event of default under any of the agreements governing our outstanding indebtedness, the applicable lenders or noteholders could elect to declare all amounts outstanding thereunder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 due and payable immediately and exercise other remedies as set forth in the applicable agreements. We cannot assure you that our assets or cash flow would be sufficient to fully repay borrowings under our outstanding debt instruments if the obligations thereunder are accelerated upon an event of default. Further, if we are unable to repay, refinance or restructure our secured debt, the holders of such debt could proceed against the collateral securing that indebtedness. Any event of default or declaration of acceleration under one debt instrument could also result in an event of default under additional outstanding debt instruments. In addition, upon a payment event of default under or acceleration of our or certain of our subsidiaries’ indebtedness, an event of default would occur under the indenture governing the Exchange Notes if the principal amount of such indebtedness were in excess of $250.0 million and such payment event of default were not cured, such declaration of acceleration rescinded or such indebtedness repaid within 20 days. If any of our indebtedness were to be accelerated, there can be no assurance that our assets would be sufficient to repay all such indebtedness in full, which could have a material adverse effect on our ability to continue to operate as a going concern and on the value of the Exchange Notes and your investment therein.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repay the Exchange Notes at maturity.</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At maturity, the entire outstanding principal amount of each series of Exchange Notes, together with accrued and unpaid interest thereon, will become due and payable. We may not have the funds to fulfill these obligations or the ability to refinance these obligations. If any of the maturity dates occur at a time when other arrangements prohibit us from repaying the applicable series of Exchange Notes, we would try to obtain waivers of such prohibitions from the lenders and holders under those arrangements, or we could attempt to refinance the borrowings that contain the restrictions. If we could not obtain the waivers or refinance these borrowings, we would be unable to repay such series of the Exchange Notes.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financial failure by us or the guarantors may hinder the receipt of payment on the Exchange Notes.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 investment in the Exchange Notes involves insolvency and bankruptcy considerations that investors should carefully consider. If we or a guarantor becomes a debtor subject to insolvency proceedings under the bankruptcy code, it is likely to result in delays in the payment of the Exchange Notes and in the exercise of enforcement of remedies under the Exchange Notes or the applicable guarantee. Provisions under the bankruptcy code or general principles of equity that could result in the impairment of your rights include the automatic stay, voidance of preferential transfers by a trustee or debtor-in-possession, substantive consolidation, limitations on collectability of unmatured interest or attorneys’ fees and forced restructuring of the Exchange Notes.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 certain circumstances, a court could cancel the Exchange Notes and the guarantees under fraudulent conveyance laws.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issuance of the Exchange Notes and the guarantees may be subject to further review under federal or state fraudulent transfer and conveyance laws. If either we or a guarantor become a debtor in a case under the U.S. Bankruptcy Code or encounter other financial difficulty, a court might void (that is, cancel) such debtor’s obligations under the Exchange Notes or such guarantee, as applicable. The court might do so if it found that, when the Exchange Notes or such guarantee were issued, (i) we or such guarantor, as applicable, received less than reasonably equivalent value or fair consideration and (ii) we or such guarantor (1) were rendered insolvent, (2) were left with inadequate capital to conduct our business or (3) believed or reasonably should have believed that we or such guarantor, as applicable, would incur debts beyond our ability to pay. The court could also void the Exchange Notes or such guarantee, without regard to factors (i) and (ii), if it found that we or such guarantor issued the Exchange Notes or such guarantee, as applicable, with actual intent to hinder, delay or defraud our creditors.</w:t>
      </w:r>
    </w:p>
    <w:p>
      <w:pPr>
        <w:spacing w:after="0" w:line="178"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If a court were to find that the issuance of the Exchange Notes or a guarantee was a fraudulent conveyance, the court could void the payment obligations under the Exchange Notes or such guarantee and require the return of any payment or the return of any realized value with respect to the Exchange Notes or such guarantee.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 under the circumstances described above, a court could subordinate rather than void obligations under the Exchange Notes or such guarantee.</w:t>
      </w:r>
    </w:p>
    <w:p>
      <w:pPr>
        <w:spacing w:after="0" w:line="24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under Dutch law, and in each case subject to certain further conditions, the guarantees to be provided by Mylan II B.V. may be voided if (i) such guarantee was provided without an obligation to do so (</w:t>
      </w:r>
      <w:r>
        <w:rPr>
          <w:rFonts w:ascii="Arial" w:cs="Arial" w:eastAsia="Arial" w:hAnsi="Arial"/>
          <w:sz w:val="17"/>
          <w:szCs w:val="17"/>
          <w:i w:val="1"/>
          <w:iCs w:val="1"/>
          <w:color w:val="auto"/>
        </w:rPr>
        <w:t>onverplicht</w:t>
      </w:r>
      <w:r>
        <w:rPr>
          <w:rFonts w:ascii="Arial" w:cs="Arial" w:eastAsia="Arial" w:hAnsi="Arial"/>
          <w:sz w:val="17"/>
          <w:szCs w:val="17"/>
          <w:color w:val="auto"/>
        </w:rPr>
        <w:t>), (ii) one or more other creditors are prejudiced in their means of recovery as a consequence of the guarantee, and (iii) at the time of the granting of the guarantee, both Mylan II B.V. and the benefiting party knew or should have known that one or more creditors (existing or future) would be prejudiced in their means of recovery, unless the act was entered into for no consideration (</w:t>
      </w:r>
      <w:r>
        <w:rPr>
          <w:rFonts w:ascii="Arial" w:cs="Arial" w:eastAsia="Arial" w:hAnsi="Arial"/>
          <w:sz w:val="17"/>
          <w:szCs w:val="17"/>
          <w:i w:val="1"/>
          <w:iCs w:val="1"/>
          <w:color w:val="auto"/>
        </w:rPr>
        <w:t>om niet</w:t>
      </w:r>
      <w:r>
        <w:rPr>
          <w:rFonts w:ascii="Arial" w:cs="Arial" w:eastAsia="Arial" w:hAnsi="Arial"/>
          <w:sz w:val="17"/>
          <w:szCs w:val="17"/>
          <w:color w:val="auto"/>
        </w:rPr>
        <w:t>) in which case such knowledge of the counterparty is not necessary for a successful challenge on the grounds of fraudulent conveyance. In addition, in case of a bankruptcy of Mylan II B.V., the bankruptcy trustee may avoid the performance of due and payable obligations (including, without limitation, the obligation to issue the guarantee) if (i) the benefiting party knew that an application for Mylan II B.V.’s bankruptcy was filed at the moment of guaranteeing the Exchange Notes or (ii) Mylan II B.V. engaged with the benefiting party in guaranteeing the Exchange Notes acting in concert in order to prejudice other creditors.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test for determining solvency for purposes of the foregoing will vary depending on the law of the jurisdiction being applied in any proceeding to determine whether a fraudulent transfer has occurred. In general, a court would consider an entity insolvent either if the sum of its debts, including contingent liabilities, was greater than the fair value of all of its assets; the present fair saleable value of its assets was less than the amount that would be required to pay the probable liability on its existing debts, including contingent liabilities, as they become absolute and mature; or it could not pay its debts as they become due. For this analysis, “debts” includes contingent and unliquidated debts.</w:t>
      </w:r>
    </w:p>
    <w:p>
      <w:pPr>
        <w:spacing w:after="0" w:line="176"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If a court voided our or a guarantor’s obligations under the Exchange Notes or the guarantees, as applicable, you would cease to be our or such guarantor’s creditor and would likely have no source from which to recover amounts due under the Exchange Notes or such guarantee, as applicable.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a holding company and will depend on the business of our subsidiaries to satisfy our obligations under the Exchange Notes.</w:t>
      </w:r>
    </w:p>
    <w:p>
      <w:pPr>
        <w:spacing w:after="0" w:line="1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are a holding company, with our only material assets consisting of our ownership interests in our subsidiaries. Our subsidiaries will conduct substantially all of the operations necessary to fund our payment obligations on the Exchange Notes and our other indebtedness. Our ability to make payments on the Exchange Notes and our other indebtedness will depend on our subsidiaries’ cash flow and their payment of funds to us. Our subsidiaries’ ability to make payments to us will depend on:</w:t>
      </w:r>
    </w:p>
    <w:p>
      <w:pPr>
        <w:spacing w:after="0" w:line="9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covenants contained in our debt agreements and the debt agreements of our subsidiaries (including the indenture governing the Exchange Notes, the indentures governing the other notes we issue from time to time, the indentures governing the Mylan Notes and outstanding notes issued by Upjohn Finance B.V. and the agreements governing the 2021 Revolving Facility, the YEN Term Loan Facility, the Accounts Receivable Securitization Facility and the Note Securitization Facility);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applicable law, including state laws regulating the payment of dividends and distributions.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cannot assure you that the operating results of our subsidiaries at any given time will be sufficient to make distributions or other payments to us or that any distributions and/or payments will be adequate to pay principal and interest, and any other payments, on the Exchange Notes and our other indebtedness when due.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Downgrades or other changes in our credit ratings could affect our financial results and reduce the market values of the Exchange Notes.</w:t>
      </w:r>
    </w:p>
    <w:p>
      <w:pPr>
        <w:spacing w:after="0" w:line="14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credit ratings assigned to the Exchange Notes may not reflect the potential impact of all risks related to trading markets, if any, for, or trading values of, the Exchange Notes. A rating is not a recommendation to purchase, hold or sell our debt securities, since a rating does not predict the market price of a particular security or its suitability for a particular investor. Any rating organization may lower our rating or decide not to rate our securities in its sole discretion. The rating of our debt securities is based primarily on the rating organization’s assessment of the likelihood of timely payment of interest when due on our debt securities and the ultimate payment of principal of our debt securities on the final maturity date. Additionally, credit rating agencies evaluate the industries in which we operate as a whole and may change their credit rating for us based on their overall view of such industries. Any ratings downgrade could decrease the value of the Exchange Notes and your investment therein, increase our cost of borrowing or require certain actions to be performed to rectify such a situation. The reduction, suspension or withdrawal of the ratings of our debt securities will not, in and of itself, constitute an event of default under the indenture governing the Exchange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Under the terms of the indenture governing the Exchange Notes, we may from time to time without notice to, or the consent of, the holders of the Exchange Notes, create and issue additional notes of an existing series, which notes will be equal in rank to the Exchange Notes of that series in all material respects so that the new notes may be consolidated and form a single series with such Exchange Notes and have the same terms as to status, redemption or otherwise as such Exchange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Certain of our borrowings bear or will bear interest at floating rates that could rise significantly, increasing our expenses and reducing cash flow.</w:t>
      </w:r>
    </w:p>
    <w:p>
      <w:pPr>
        <w:spacing w:after="0" w:line="15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 significant part of our indebtedness, including any borrowings under the 2021 Revolving Facility, the YEN Term Loan Facility, the Accounts Receivable Securitization Facility and the Note Securitization Facility, bear interest at floating rates, such as LIBOR or EURIBOR, adjusted periodically, plus a spread. As of June 30, 2021, we had $2,800.5 million of floating rate indebtedness. A one percentage point increase in the average interest rate of this indebtedness would increase combined interest expense by approximately $28 million per year.</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 increase in interest rates would increase our interest expense associated with our floating rate indebtedness, reducing cash flow available for capital expenditures and hindering our and the guarantors’ ability to make payments on the Exchange Notes and the guarantees, and could have a material adverse effect on the value of the Exchange Notes and your investment therein.</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finance the change of control offer required by the indenture governing the Exchange Notes.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Upon the occurrence of a “Change of Control Repurchase Event” (as defined under “Description of the Exchange Notes”), we will be required to offer to repurchase each series of the Exchange Notes at 101% of the principal amount thereof plus accrued and unpaid interest thereon, if any, to, but excluding, the date of repurchase. Certain of the guarantors have substantially the same obligations under the indentures governing the Mylan Notes and the Euro Notes, respectively, and we expect to have the same obligations with respect to other notes we issue from time to time. It is possible that we will not have sufficient funds at the time of the Change of Control Repurchase Event to make the required repurchase of the Exchange Notes, particularly if the Change of Control Repurchase Event triggers a similar repurchase requirement for the Mylan Notes, the Euro Notes or our other then existing indebtedness. Our failure to repay holders tendering Exchange Notes upon a Change of Control Repurchase Event would result in an event of default under the indenture governing the Exchange Notes.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the agreements governing Viatris’ 2021 Revolving Facility, YEN Term Loan Facility, the Accounts Receivable Securitization Facility and the Note Securitization Facility provide for an event of default upon a Change in Control (as defined in each respective agreement), which obligates the applicable borrower to repay amounts outstanding under such indebtedness upon an acceleration of the indebtedness issued thereunder. If the lenders accelerate the indebtedness outstanding under any such agreement, a default under any such agreement may result in a default under the indenture governing the Exchange Notes, the indentures governing the Mylan Notes, the indenture governing the Euro Notes and the agreements governing the other indebtedness we incur from time to time.</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a Change of Control Repurchase Event were to occur, we cannot assure you that we would have sufficient funds to repay any securities that we would be required to offer to purchase or that become immediately due and payable as a result, or to satisfy our obligations under our other indebtedness. We may require additional financing from third parties to fund any such purchases, and we cannot assure you that we would be able to obtain financing on satisfactory terms or at all. See “Description of Exchange Notes—Purchase of Notes upon a Change of Control Repurchase Event.” Our failure to repurchase any Exchange Notes submitted in a change of control offer could constitute an event of default under our other indebtedness, even if the change of control itself would not cause a default under such indebtedness.</w:t>
      </w:r>
    </w:p>
    <w:p>
      <w:pPr>
        <w:spacing w:after="0" w:line="28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Holders of the Exchange Notes may not be able to determine when a Change of Control Repurchase Event giving rise to their right to have the Exchange Notes repurchased has occurred following a sale of “substantially all” of our assets.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Change of Control Repurchase Event will require us to make an offer to repurchase all outstanding Exchange Notes. A Change of Control Repurchase Event comprises a Change of Control and a Below Investment Grade Rating Event (each, as defined under “Description of the Exchange Notes”). The definition of Change of Control includes a phrase relating to the sale, lease or transfer of “all or substantially all” of our assets. There is no precise established definition of the phrase “substantially all” under applicable law. Accordingly, the ability of a holder of Exchange Notes to require us to repurchase its Exchange Notes as a result of a sale, lease or transfer of less than all our assets to another individual, group or entity may be uncertain.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prices of the Exchange Notes may be volatile, which could affect the value of your investment.</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It is impossible to predict whether the prices of the Exchange Notes will rise or fall. Trading prices of the Exchange Notes will be influenced by our operating results and prospects and by economic, financial, regulatory and other factors. In general, as market interest rates rise, notes bearing interest at a fixed rate generally decline in value because the premium, if any, over market interest rates will decline. General market conditions, including investors’ expectations of changes in interest rates, will also have an impact. We cannot predict the future level of market interest rates.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may not be any trading market for your Exchange Notes; many factors affect the trading and market value of your Exchange Notes.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Exchange Notes are a new issue of securities and, upon issuance, your Exchange Notes will not have an established trading market. We do not intend to apply for listing or quotation of the Exchange Notes on any securities exchange or on any automated quotation system. We cannot assure you a trading market for your Exchange Notes will ever develop or be maintained if developed. Furthermore, we cannot assure you as to the liquidity of any trading market that may develop for any of the Exchange Notes, or whether you will be able to sell the Exchange Notes. In addition to our creditworthiness, many factors will affect the trading market for, and trading value of, your Exchange Notes, or the prices at which you may be able to sell the Exchange Notes. These factors include the risk factors described and referred to elsewhere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and the following:</w:t>
      </w:r>
    </w:p>
    <w:p>
      <w:pPr>
        <w:spacing w:after="0" w:line="70"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interest rate on the Exchange Notes;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remaining on the maturity date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outstanding amount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features of the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perceptions of the level, direction and volatility of interest rates generally;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value of comparable securities.</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There may be a limited number of buyers when you decide to sell your Exchange Notes. This may affect the price you receive for your Exchange Notes or your ability to sell your Exchange Notes at all. You should not purchase the Exchange Notes unless you understand and know you can bear all the investment risks involving your Exchange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Dutch insolvency laws to which Mylan II B.V. is or may be subject may not be as favorable to you as United States or other insolvency laws.</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Mylan II B.V. is incorporated under the laws of the Netherlands and consequently any insolvency proceedings in relation to Mylan II B.V. may be commenced in the Netherlands and be based on Dutch insolvency laws, subject to applicable EU insolvency regulations. Dutch insolvency proceedings differ significantly from, or conflict with, insolvency proceedings in the United States and may not be as favorable to your interests as creditors as the laws of the United States or other jurisdictions with which you may be familiar.</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See “Certain Insolvency Law Considerations” for a discussion of Dutch insolvency laws and certain other limitations on the enforceability of Mylan II B.V.’s obligations under the guarantees.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guarantees of the Exchange Notes will be released under certain circumstances.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guarantees of the guarantors may be released under certain circumstances without the consent of the holders of an applicable series of Exchange Notes, including upon a sale or disposition of such guarantor in a transaction that complies with the indenture or, upon such guarantor no longer being an issuer or guarantor in respect of certain other indebtedness in excess of $500.0 million, and may also be released with respect to any series of Exchange Notes upon the receipt of the consent of the holders of a majority of the aggregate principal amount of the outstanding Notes of such series.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Mylan II B.V. is a company incorporated under Dutch law, and it may be difficult for holders of the Exchange Notes to obtain or enforce judgments against Mylan II B.V.</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Mylan II B.V. is incorporated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the laws of the Netherlands. Certain of Mylan II B.V.’s directors and authorized officers may reside outside the United States, and certain of its or such persons’ assets are or may be located outside the United States. As a result, it may not be possible for investors to effect service of process, including judgments, upon Mylan II B.V. or such persons outside of the Netherlands or within the United States. It may also be difficult for investors to enforce against Mylan II B.V. judgments obtained in courts other than Netherlands courts.</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w:t>
      </w:r>
      <w:r>
        <w:rPr>
          <w:rFonts w:ascii="Arial" w:cs="Arial" w:eastAsia="Arial" w:hAnsi="Arial"/>
          <w:sz w:val="17"/>
          <w:szCs w:val="17"/>
          <w:color w:val="auto"/>
        </w:rPr>
        <w:t xml:space="preserve"> </w:t>
      </w:r>
      <w:r>
        <w:rPr>
          <w:rFonts w:ascii="Arial" w:cs="Arial" w:eastAsia="Arial" w:hAnsi="Arial"/>
          <w:sz w:val="17"/>
          <w:szCs w:val="17"/>
          <w:i w:val="1"/>
          <w:iCs w:val="1"/>
          <w:color w:val="auto"/>
        </w:rPr>
        <w:t>orde</w:t>
      </w:r>
      <w:r>
        <w:rPr>
          <w:rFonts w:ascii="Arial" w:cs="Arial" w:eastAsia="Arial" w:hAnsi="Arial"/>
          <w:sz w:val="17"/>
          <w:szCs w:val="17"/>
          <w:color w:val="auto"/>
        </w:rPr>
        <w:t>) of the Netherlands and (iv) such judgment was not incompatible with a judgment given between the same parties by a Dutch court or with a prior</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given between the same parties by a foreign court in a dispute concerning the same subject matter and based on the same cause of action, provided such prior judgment is recognizable in the Netherlands.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Enforcing your rights as an investor in the Exchange Notes or under the guarantees across multiple jurisdictions may be difficult.</w:t>
      </w:r>
    </w:p>
    <w:p>
      <w:pPr>
        <w:spacing w:after="0" w:line="1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Exchange Notes will be issued by Viatris and will be guaranteed upon issuance by Utah Acquisition Sub Inc., Mylan II B.V. and Mylan Inc. Each of Viatris and Utah Acquisition Sub Inc. is incorporated under the laws of Delaware, Mylan II B.V. is organized under the laws of the Netherlands and Mylan Inc. is incorporated under the laws of Pennsylvania. In the event of bankruptcy, insolvency or a similar event, proceedings could be initiated in any of these jurisdictions or in the jurisdiction of organization of other future guarantors. Your rights under the Exchange Notes and the guarantees will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bankruptcy, insolvency, foreign exchange, administration and other laws of the Netherlands may be materially different from or in conflict with those of the United States, including in respect of creditors’ rights, priority of creditors, the ability to obtain post-petition interest and the duration of the insolvency proceeding. The consequences of the multiple jurisdictions involved in the transaction could trigger disputes over which jurisdiction’s law should apply and choice of law disputes which could adversely affect your ability to enforce your rights and to collect payment in full under the Exchange Notes and the guarantees.</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Any Restricted Notes that are not exchanged will continue to be restricted securities and, following completion of the exchange offer, will have a less liquid trading market.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do not exchange your Restricted Notes for the Exchange Notes in the exchange offer, you will continue to be subject to the restrictions on transfer applicable to the Restricted Notes. The restrictions on transfer of your Restricted Notes arise because Viatris issued the Restricted Notes under exemptions from, or in transactions not subject to, the registration requirements of the Securities Act and applicable state securities laws. In general, you may only offer or sell the Restricted Notes if they are registered under the Securities Act and applicable state securities laws, or offered and sold under an exemption from these requirements. Viatris does not plan to register the Restricted Notes under the Securities Act. For further information regarding the consequences of tendering your Restricted Notes in the exchange offer, see the discussion below under the caption “The Exchange Offer— Consequences of Exchanging or Failing to Exchange Restricted Notes.”</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Because Viatris anticipates that most holders of Restricted Notes will elect to exchange their Restricted Notes, Viatris expects that the liquidity of the market for any Restricted Notes remaining after the completion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exchange offer will be substantially limited. Any Restricted Notes tendered and exchanged in the exchange offer will reduce the aggregate principal amount of the Restricted Notes outstanding. Following the exchange offer, if you do not tender your Restricted Notes, you generally will not have any further registration rights, and your Restricted Notes will continue to be subject to certain transfer restrictions. Accordingly, the liquidity of the market for the Restricted Notes could be adversely affected by the exchange offer.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ability of a broker-dealer to transfer the Exchange Notes may be restricted.</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 broker-dealer that acquired the Restricted Notes for its own account as a result of market-making activities or other trading activities must comply with the prospectus delivery requirements of the Securities Act in connection with any resale of the Exchange Notes. Our obligation to make this prospectus available to broker-dealers is limited. Consequently, we cannot guarantee that a proper prospectus will be available to broker-dealers wishing to resell their Exchange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Exchange Notes.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Delivery of the Exchange Notes in exchange for the Restricted Notes tendered and accepted for exchange pursuant to the exchange offer will be made only after timely receipt by the exchange agent of the following:</w:t>
      </w:r>
    </w:p>
    <w:p>
      <w:pPr>
        <w:spacing w:after="0" w:line="76" w:lineRule="exact"/>
        <w:rPr>
          <w:sz w:val="20"/>
          <w:szCs w:val="20"/>
          <w:color w:val="auto"/>
        </w:rPr>
      </w:pPr>
    </w:p>
    <w:p>
      <w:pPr>
        <w:ind w:left="1080" w:right="3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certificates for Restricted Notes or a book-entry confirmation of a book-entry transfer of Restricted Notes into the exchange agent’s account at DTC, New York, New York as depository, including an agent’s message (as defined herein) if the tendering holder does not deliver a letter of transmittal;</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completed and signed letter of transmittal (or facsimile thereof), with any required signature guarantees, or an agent’s message in lieu of the letter of transmittal;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Therefore, holders of Restricted Notes who would like to tender Restricted Notes in exchange for Exchange Notes should allow enough time for the Restricted Notes to be delivered on time. We are not required to notify you of defects or irregularities in tenders of the Restricted Notes for exchange. The Restricted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“The Exchange Offer—Procedures for Tendering Restricted Notes” and “The Exchange Offer—Consequences of Exchanging or Failing to Exchange Restricted Notes.”</w:t>
      </w:r>
    </w:p>
    <w:p>
      <w:pPr>
        <w:spacing w:after="0" w:line="286"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Some holders who exchange their Restricted Notes may be deemed to be underwriters, and these holders will be required to comply with the registration and prospectus delivery requirements in connection with any resale transaction.</w:t>
      </w:r>
    </w:p>
    <w:p>
      <w:pPr>
        <w:spacing w:after="0" w:line="3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you exchange your Restricted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 OF VIATRIS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THE UPJOHN BUSINESS</w:t>
      </w:r>
    </w:p>
    <w:p>
      <w:pPr>
        <w:spacing w:after="0" w:line="21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November 16, 2020, Viatris, Mylan and Pfizer announced that they had consummated the previously announced combination of Mylan with the Upjohn Business through a Reverse Morris Trust transaction. In accordance with the terms and conditions of a Business Combination Agreement, dated as of July 29, 2019, as amended (the “BCA”), among Viatris, Mylan, Pfizer and certain of their affiliates, and a Separation and Distribution Agreement, dated as of July 29, 2019, as amended (the “SDA”) between Viatris and Pfizer,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the time at which the Distribution occurred, the “Distribution Time”), and (3) immediately following the Distribution, Viatris and Mylan engaged in a strategic business combination transaction (the “Combination”). In addition, pursuant to the SDA and immediately prior to the Distribution, Viatris made a cash payment to Pfizer equal to $12 billion (the “Cash Distribution”)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 In connection with the Combination, on November 16, 2020, Mylan merged with and into Mylan II B.V., a company incorporated under the laws of the Netherlands and an indirect wholly owned subsidiary of Viatris, pursuant to and in accordance with the BCA. As a result of such merger, Mylan ceased to exist as a separate legal entity.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combine the historical audited consolidated statement of operations of Viatris for the year ended December 31, 2020 and the historical unaudited condensed combined statement of income for the Upjohn Business for the period from January 1, 2020 through November 15, 2020, giving effect to the Combination as if it had been consummated on January 1, 2020. A pro forma condensed combined balance sheet is not required as the acquisition has already been reflected in the historical balance sheet as of December 31, 2020, included in Viatris’ Annual Report on Form 10-K, filed with the SEC on March 1, 2021, as amended on April 30, 2021.</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The unaudited pro forma condensed combined financial information was prepared in accordance with U.S. GAAP using the acquisition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Mylan considered the accounting acquirer of the Upjohn Business. Under the acquisition method of accounting, the purchase price is allocated to the underlying tangible and intangible assets acquired and liabilities assumed based on their respective fair market values with any excess purchase price allocated to goodwill. The unaudited pro forma condensed combined financial information is for informational purposes only and does not purport to indicate the results that would have actually been attained had the Combination been completed on the assumed date or for the periods presented, or which may be realized in the future. The unaudited pro forma condensed combined financial information does not reflect potential expenses, cost savings, operating synergies, or revenue enhancements or the costs necessary to achieve cost savings, operating synergies, and revenue enhancements. Furthermore, Viatris expects to incur additional reorganization and restructuring expenses as well as potential cost savings, operating synergies, or revenue enhancements as a result of the Combination. The unaudited pro forma condensed combined financial information presented herein reflects only the pro forma transaction accounting adjustments that reflect the accounting for the transaction in accordance with U.S. GAAP.</w:t>
      </w:r>
    </w:p>
    <w:p>
      <w:pPr>
        <w:spacing w:after="0" w:line="18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BCA provides that Viatris will pay Pfizer for certain losses arising out of certain third-party actions following the closing date. See Note 3: “Purchase Price” below for more information on the litigation matters for which Viatris has agreed to pay Pfizer for a certain amount of losses. At December 31, 2020, Viatris has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estimated or accrued any amounts related to such contingency. Any such amount will be considered additional purchase price in the form of contingent consideration. At this time, Viatris does not have sufficient information available to make a preliminary estimate of the fair value of any contingent consideration.</w:t>
      </w:r>
    </w:p>
    <w:p>
      <w:pPr>
        <w:spacing w:after="0" w:line="184"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 the following materials:</w:t>
      </w:r>
    </w:p>
    <w:p>
      <w:pPr>
        <w:spacing w:after="0" w:line="131"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 and</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Viatris’ historical audited consolidated financial statements and related notes contained in Viatris’ Annual Report on Form 10-K, as amended, as of and for the year ended December 31, 2020, which were filed with the SEC on March 1,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960"/>
        <w:spacing w:after="0" w:line="282" w:lineRule="auto"/>
        <w:rPr>
          <w:sz w:val="20"/>
          <w:szCs w:val="20"/>
          <w:color w:val="auto"/>
        </w:rPr>
      </w:pPr>
      <w:r>
        <w:rPr>
          <w:rFonts w:ascii="Arial" w:cs="Arial" w:eastAsia="Arial" w:hAnsi="Arial"/>
          <w:sz w:val="18"/>
          <w:szCs w:val="18"/>
          <w:b w:val="1"/>
          <w:bCs w:val="1"/>
          <w:color w:val="auto"/>
        </w:rPr>
        <w:t>Viatris—Unaudited Pro Forma Condensed Combined Statement of Operations For the year ended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4"/>
          </w:tcPr>
          <w:p>
            <w:pPr>
              <w:jc w:val="right"/>
              <w:ind w:right="184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Viatris</w:t>
            </w:r>
          </w:p>
        </w:tc>
        <w:tc>
          <w:tcPr>
            <w:tcW w:w="4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Upjohn Business After</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the year</w:t>
            </w:r>
          </w:p>
        </w:tc>
        <w:tc>
          <w:tcPr>
            <w:tcW w:w="420" w:type="dxa"/>
            <w:vAlign w:val="bottom"/>
          </w:tcPr>
          <w:p>
            <w:pPr>
              <w:spacing w:after="0"/>
              <w:rPr>
                <w:sz w:val="12"/>
                <w:szCs w:val="12"/>
                <w:color w:val="auto"/>
              </w:rPr>
            </w:pPr>
          </w:p>
        </w:tc>
        <w:tc>
          <w:tcPr>
            <w:tcW w:w="2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Reclassifications (Note 5)</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5"/>
              </w:rPr>
              <w:t>For the period from</w:t>
            </w:r>
          </w:p>
        </w:tc>
        <w:tc>
          <w:tcPr>
            <w:tcW w:w="144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Note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2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 2020 through</w:t>
            </w:r>
          </w:p>
        </w:tc>
        <w:tc>
          <w:tcPr>
            <w:tcW w:w="144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for per share data)</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November 15, 2020</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Reference</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11,820</w:t>
            </w:r>
          </w:p>
        </w:tc>
        <w:tc>
          <w:tcPr>
            <w:tcW w:w="20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6,481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(143)</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6d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18,158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925</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6a</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11,954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1,177</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6f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6e</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4,771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(2,237)</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3,345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Litigation settlements and other</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contingencies, net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operations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(2,237)</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(96)</w:t>
            </w:r>
          </w:p>
        </w:tc>
        <w:tc>
          <w:tcPr>
            <w:tcW w:w="62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(Loss) earnings before income tax and</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(721)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2,625</w:t>
            </w:r>
          </w:p>
        </w:tc>
        <w:tc>
          <w:tcPr>
            <w:tcW w:w="2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(2,141)</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(246)</w:t>
            </w: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6b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Net (loss) earnings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(1,895)</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Net (loss) earnings attributable to ordinary</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(670)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2,326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(1,895)</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(Loss) earnings per share applicable to</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shareholders: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(1.11)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(2.75)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4"/>
              </w:rPr>
              <w:t>6c</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1,291.1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94"/>
              </w:rPr>
              <w:t>6c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6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General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unaudited pro forma condensed combined financial information was prepared in accordance with U.S. GAAP using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with Mylan considered to be the accounting acquirer of the Upjohn Business. The historical financial information has been adjusted to give effect to pro forma transaction accounting adjustments that reflect the accounting for the transaction in accordance with U.S. GAAP.</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Assumptions and estimates underlying the pro forma adjustments are described in Notes 3 through 6.</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presented for informational purposes only and does not purport to indicate the results that would have actually been attained had the Combination been completed on the assumed date or for the periods presented, or which may be realized in the future.</w:t>
      </w:r>
    </w:p>
    <w:p>
      <w:pPr>
        <w:spacing w:after="0" w:line="29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Basis of Presentation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“Management’s Discussion and Analysis of Financial Condition and Results of Operations” contained in Viatris’ Annual Report on Form 10-K, as amended, for the year ended December 31, 2020, that were previously filed with the SEC.</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Combination has been accounted for using Viatris’ historical information and accounting policies and combining the assets and liabilities of the Upjohn Business at their respective estimated fair values. The assets and liabilities of the Upjohn Business have been measured at fair value based on various estimates using assumptions that Mylan’s management believes are reasonable utilizing information currently available. Use of different estimates and judgments could yield materially different results. The total purchase price has been measured using the closing market price of Mylan ordinary shares as of November 13, 2020 (which was the final trading day of Mylan shares prior to the closing of the Combination).</w:t>
      </w:r>
    </w:p>
    <w:p>
      <w:pPr>
        <w:spacing w:after="0" w:line="16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5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Acquisition-related transaction costs, such as investment banker, advisory, legal, valuation, and other professional fees are not included as a component of consideration transferred but are expensed as incurred. Transaction costs incurred by Viatris totaled $603 million for the year ended December 31, 2020. These costs are included in the results of operations.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potential cost savings, operating synergies, or revenue enhancements that Viatris may achieve as a result of the Combination or the costs to combine the operations of Mylan and the Upjohn Business or the costs necessary to achieve these cost savings, operating synergies, and revenue enhancements.</w:t>
      </w:r>
    </w:p>
    <w:p>
      <w:pPr>
        <w:spacing w:after="0" w:line="29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Purchase Price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purchase price of $10.3 billion, net of cash received of $0.4 billion, consists of the issuance of approximately 689.9 million Viatris shares of common stock at a fair value of approximately $10.7 billion based on the closing price of Mylan’s ordinary shares on November 13, 2020, as reported by the NASDAQ.</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BCA provides that Viatris will pay Pfizer following the closing date an amount equal to 57% of any losses actually incurred or suffered by Mylan, Viatris or their respective subsidiaries, after the date of the BCA, arising out of third-party actions relating to the manufacture, distribution, marketing, promotion or sale of opioids by or on behalf of Mylan or its subsidiaries.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December 31, 2020, management has not estimated or accrued any amounts related to such contingency. Any such amount will be considered additional purchase price in the form of contingent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Financing Adjustments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16, 2020, Viatris entered into a delayed draw term loan credit agreement (the “Upjohn Term Loan Credit Agreement”), by and among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Viatris, Mizuho Bank, Ltd. and MUFG Bank, Ltd., as administrative agent. The Upjohn Term Loan Credit Agreement provided for an 18-month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$600.0 million principal amount delayed draw senior unsecured term loan facility (the “Upjohn Term Loan Credit Facility”). The $600.0 million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borrowed in connection with the closing of the Separation, Distribution and Combination in November 2020 to complete the transactions. In July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Viatris entered into (i) a ¥40 billion term loan credit agreement (the “YEN Term Loan”) and (ii) a $4.0 billion revolving credit agreement (the “2021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Revolving Facility”) with various syndicates of banks. Proceeds from the YEN Term Loan and a portion of the proceeds from the 2021 Revolving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Facility were used to repay the Upjohn Term Loan Credit Facility in full and the Upjohn Term Loan Credit Facility was terminated.</w:t>
      </w:r>
    </w:p>
    <w:p>
      <w:pPr>
        <w:spacing w:after="0" w:line="21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On June 22, 2020, Viatris completed a private offering of $7.45 billion aggregate principal amount of Viatris’ senior, U.S. dollar-denominated notes (the “Upjohn U.S. Dollar Notes”) and on June 23, 2020, Upjohn Finance B.V. (“Finco”), a wholly-owned financing subsidiary of Viatris, completed a private offering of €3.60 billion aggregate principal amount of Finco’s senior, euro-denominated notes (the “Upjohn Euro Notes” and, together with the Upjohn U.S. Dollar Notes, the “Upjohn Notes”), which are guaranteed on a senior unsecured basis by Viatris. Viatris utilized the net proceeds from the offerings of the Upjohn Notes, together with the net proceeds from the Upjohn Term Loan Credit Facility, to fund in full the Cash Distribution and related transaction fees and expenses.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Adjustments to pro forma interest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Pro forma adjustment to interest expense of $96 million for the period from January 1, 2020 through November 15, 2020 represents the elimination of the historical interest expense incurred by the Upjohn Business of $286 million, partially offset by (i) interest expense of $200 million for the Upjohn U.S. Dollar Notes and Upjohn Term Loan Credit Facility using a weighted average interest rate of 2.84%, reduced by $29 million of premium amortization, and (ii) interest expense of $49 million for the Upjohn Euro Notes using a weighted average interest rate of 1.37%, reduced by $30 million of premium amortization.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Pro Forma Reclassification Adjustments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reclassifications have been recorded to the Upjohn Business’ historical combined financial information to conform to Viatris’ presentation,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7"/>
          </w:tcPr>
          <w:p>
            <w:pPr>
              <w:jc w:val="center"/>
              <w:ind w:left="493"/>
              <w:spacing w:after="0"/>
              <w:rPr>
                <w:sz w:val="20"/>
                <w:szCs w:val="20"/>
                <w:color w:val="auto"/>
              </w:rPr>
            </w:pPr>
            <w:r>
              <w:rPr>
                <w:rFonts w:ascii="Arial" w:cs="Arial" w:eastAsia="Arial" w:hAnsi="Arial"/>
                <w:sz w:val="14"/>
                <w:szCs w:val="14"/>
                <w:b w:val="1"/>
                <w:bCs w:val="1"/>
                <w:color w:val="auto"/>
                <w:w w:val="93"/>
              </w:rPr>
              <w:t>For the period from January 1, 2020 through</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2"/>
              </w:rPr>
              <w:t>November 15, 2020</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3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Upjohn Business</w:t>
            </w:r>
          </w:p>
        </w:tc>
        <w:tc>
          <w:tcPr>
            <w:tcW w:w="460" w:type="dxa"/>
            <w:vAlign w:val="bottom"/>
          </w:tcPr>
          <w:p>
            <w:pPr>
              <w:spacing w:after="0"/>
              <w:rPr>
                <w:sz w:val="10"/>
                <w:szCs w:val="10"/>
                <w:color w:val="auto"/>
              </w:rPr>
            </w:pPr>
          </w:p>
        </w:tc>
        <w:tc>
          <w:tcPr>
            <w:tcW w:w="182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0"/>
              </w:rPr>
              <w:t>Reclassification</w:t>
            </w:r>
          </w:p>
        </w:tc>
        <w:tc>
          <w:tcPr>
            <w:tcW w:w="200" w:type="dxa"/>
            <w:vAlign w:val="bottom"/>
          </w:tcPr>
          <w:p>
            <w:pPr>
              <w:spacing w:after="0"/>
              <w:rPr>
                <w:sz w:val="10"/>
                <w:szCs w:val="10"/>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After</w:t>
            </w:r>
          </w:p>
        </w:tc>
        <w:tc>
          <w:tcPr>
            <w:tcW w:w="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Before</w:t>
            </w:r>
          </w:p>
        </w:tc>
        <w:tc>
          <w:tcPr>
            <w:tcW w:w="4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Reclassification</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Reclassification</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8"/>
              </w:rPr>
              <w:t>Ref</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5a</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1,526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1,711</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5c</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Selling, informational and administrative expenses</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1,483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5d</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1,483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1,443</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5e</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5c</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66</w:t>
            </w:r>
          </w:p>
        </w:tc>
        <w:tc>
          <w:tcPr>
            <w:tcW w:w="300" w:type="dxa"/>
            <w:vAlign w:val="bottom"/>
          </w:tcPr>
          <w:p>
            <w:pPr>
              <w:jc w:val="center"/>
              <w:spacing w:after="0"/>
              <w:rPr>
                <w:sz w:val="20"/>
                <w:szCs w:val="20"/>
                <w:color w:val="auto"/>
              </w:rPr>
            </w:pPr>
            <w:r>
              <w:rPr>
                <w:rFonts w:ascii="Arial" w:cs="Arial" w:eastAsia="Arial" w:hAnsi="Arial"/>
                <w:sz w:val="18"/>
                <w:szCs w:val="18"/>
                <w:color w:val="auto"/>
              </w:rPr>
              <w:t>5f</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(income)/deductions -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126</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5g</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5a</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5h</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286</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5h</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46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has reclassified royalty-related income from other (income)/deductions, net to other revenues in accordance with Viatris’ grouping of accounts.</w:t>
      </w:r>
    </w:p>
    <w:p>
      <w:pPr>
        <w:spacing w:after="0" w:line="75"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has reclassified amortization of intangible assets expense to cost of sales in accordance with Viatris’ grouping of accounts. The amount reclassified was $127 million for the period from January 1, 2020 through November 15, 2020.</w:t>
      </w:r>
    </w:p>
    <w:p>
      <w:pPr>
        <w:spacing w:after="0" w:line="75" w:lineRule="exact"/>
        <w:rPr>
          <w:rFonts w:ascii="Arial" w:cs="Arial" w:eastAsia="Arial" w:hAnsi="Arial"/>
          <w:sz w:val="18"/>
          <w:szCs w:val="18"/>
          <w:color w:val="auto"/>
        </w:rPr>
      </w:pPr>
    </w:p>
    <w:p>
      <w:pPr>
        <w:ind w:left="540" w:right="180" w:hanging="424"/>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Viatris has reclassified shipping and handling costs from selling, general and administrative expenses to cost of sales in accordance with Viatris’ grouping of accounts. The amount reclassified was $58 million for the period from January 1, 2020 through November 15, 2020.</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informational and administrative expenses were reclassified to selling, general and administrative.</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has reclassified restructuring charges to selling, general and administrative expenses in accordance with Viatris’ grouping of accounts. The amount reclassified was $18 million for the period from January 1, 2020 through November 15, 2020.</w:t>
      </w:r>
    </w:p>
    <w:p>
      <w:pPr>
        <w:spacing w:after="0" w:line="75" w:lineRule="exact"/>
        <w:rPr>
          <w:rFonts w:ascii="Arial" w:cs="Arial" w:eastAsia="Arial" w:hAnsi="Arial"/>
          <w:sz w:val="18"/>
          <w:szCs w:val="18"/>
          <w:color w:val="auto"/>
        </w:rPr>
      </w:pPr>
    </w:p>
    <w:p>
      <w:pPr>
        <w:ind w:left="540" w:right="8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has reclassified expenses for certain legal matters included in other (income)/deductions, net to litigation settlements and other contingencies, net in accordance with Viatris’ grouping of accounts. The amount reclassified was $66 million for the period from January 1, 2020 through November 15, 2020.</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(income)/deductions—net was reclassified to other expense (income), net.</w:t>
      </w:r>
    </w:p>
    <w:p>
      <w:pPr>
        <w:spacing w:after="0" w:line="130" w:lineRule="exact"/>
        <w:rPr>
          <w:rFonts w:ascii="Arial" w:cs="Arial" w:eastAsia="Arial" w:hAnsi="Arial"/>
          <w:sz w:val="18"/>
          <w:szCs w:val="18"/>
          <w:color w:val="auto"/>
        </w:rPr>
      </w:pPr>
    </w:p>
    <w:p>
      <w:pPr>
        <w:ind w:left="540" w:right="60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Viatris has reclassified interest expense and net interest expense-allocated included in other (income)/deductions, net to interest expense in accordance with Viatris’ grouping of accounts. The amount reclassified was $286 million for the period from January 1, 2020 through November 15,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Unaudited Pro Forma Condensed Combined Statement of Operations Adjustments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Adjustments included in the accompanying unaudited pro forma condensed combined statement of operations are represented by the following:</w:t>
      </w:r>
    </w:p>
    <w:p>
      <w:pPr>
        <w:spacing w:after="0" w:line="264" w:lineRule="exact"/>
        <w:rPr>
          <w:sz w:val="20"/>
          <w:szCs w:val="20"/>
          <w:color w:val="auto"/>
        </w:rPr>
      </w:pPr>
    </w:p>
    <w:p>
      <w:pPr>
        <w:ind w:left="5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 increase in amortization expense associated with fair value adjustments to the carrying value of intangible assets for the period from January 1, 2020 through November 15, 2020. The increase in amortization expense is recorded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Useful</w:t>
            </w:r>
          </w:p>
        </w:tc>
        <w:tc>
          <w:tcPr>
            <w:tcW w:w="5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2020 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gridSpan w:val="4"/>
          </w:tcPr>
          <w:p>
            <w:pPr>
              <w:jc w:val="center"/>
              <w:ind w:left="339"/>
              <w:spacing w:after="0" w:line="149" w:lineRule="exact"/>
              <w:rPr>
                <w:sz w:val="20"/>
                <w:szCs w:val="20"/>
                <w:color w:val="auto"/>
              </w:rPr>
            </w:pPr>
            <w:r>
              <w:rPr>
                <w:rFonts w:ascii="Arial" w:cs="Arial" w:eastAsia="Arial" w:hAnsi="Arial"/>
                <w:sz w:val="14"/>
                <w:szCs w:val="14"/>
                <w:b w:val="1"/>
                <w:bCs w:val="1"/>
                <w:color w:val="auto"/>
                <w:w w:val="93"/>
              </w:rPr>
              <w:t>November 15,</w:t>
            </w:r>
          </w:p>
        </w:tc>
        <w:tc>
          <w:tcPr>
            <w:tcW w:w="0" w:type="dxa"/>
            <w:vAlign w:val="bottom"/>
          </w:tcPr>
          <w:p>
            <w:pPr>
              <w:spacing w:after="0"/>
              <w:rPr>
                <w:sz w:val="1"/>
                <w:szCs w:val="1"/>
                <w:color w:val="auto"/>
              </w:rPr>
            </w:pPr>
          </w:p>
        </w:tc>
      </w:tr>
      <w:tr>
        <w:trPr>
          <w:trHeight w:val="171"/>
        </w:trPr>
        <w:tc>
          <w:tcPr>
            <w:tcW w:w="6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Rights</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15 years</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$18,040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Historical Amortization Expense of the Upjohn Business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estimated weighted-average useful life of the product rights acquired is 15 years. A five percent (5%) increase or decrease in the fair value of the product rights would increase or decrease amortization by approximately $53 million for the period from January 1, 2020 through November 15, 2020.</w:t>
      </w:r>
    </w:p>
    <w:p>
      <w:pPr>
        <w:spacing w:after="0" w:line="89" w:lineRule="exact"/>
        <w:rPr>
          <w:sz w:val="20"/>
          <w:szCs w:val="20"/>
          <w:color w:val="auto"/>
        </w:rPr>
      </w:pPr>
    </w:p>
    <w:p>
      <w:pPr>
        <w:ind w:left="540" w:right="80" w:hanging="424"/>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income tax effect of pro forma adjustments using an estimated weighted average statutory tax rate of 11.5% based upon the jurisdictions in which the adjustments are expected to occur. The total effective tax rate of the combined company could be significantly different depending on the post-acquisition geographical mix of income and other factors.</w:t>
      </w:r>
    </w:p>
    <w:p>
      <w:pPr>
        <w:spacing w:after="0" w:line="89" w:lineRule="exact"/>
        <w:rPr>
          <w:rFonts w:ascii="Arial" w:cs="Arial" w:eastAsia="Arial" w:hAnsi="Arial"/>
          <w:sz w:val="18"/>
          <w:szCs w:val="18"/>
          <w:color w:val="auto"/>
        </w:rPr>
      </w:pPr>
    </w:p>
    <w:p>
      <w:pPr>
        <w:ind w:left="540" w:right="100" w:hanging="424"/>
        <w:spacing w:after="0" w:line="286"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Adjustment to increase shares of Viatris common stock outstanding after the closing of the Combination. As detailed below, Pfizer stockholders received approximately 689.9 million shares of Viatris common stock as consideration for the Upjohn Business representing 57% of fully diluted outstanding shares and with former Mylan shareholders holding 43% of fully diluted outstanding shares.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Mylan ordinary shares issued at November 16, 2020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541,545,055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treasury shares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(24,598,074)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Mylan ordinary shares outstanding at November 16, 2020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516,946,981</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impact of Mylan equity awards under the BCA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5,659,227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Fully dilutive Mylan shares exchanged in the Combination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Exchange Ratio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Viatris shares issued to Mylan shareholders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Mylan shareholders’ ownership percentage of Viatris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Viatris shares outstanding at the Combination date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1,215,363,274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Pfizer Viatris shares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692,757,066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Pfizer stockholders’ ownership percentage of Viatris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Awards reserved for employee share based compensation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(2,883,019)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Viatris shares issued to Pfizer stockholders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689,874,047</w:t>
            </w:r>
          </w:p>
        </w:tc>
        <w:tc>
          <w:tcPr>
            <w:tcW w:w="0" w:type="dxa"/>
            <w:vAlign w:val="bottom"/>
          </w:tcPr>
          <w:p>
            <w:pPr>
              <w:spacing w:after="0"/>
              <w:rPr>
                <w:sz w:val="1"/>
                <w:szCs w:val="1"/>
                <w:color w:val="auto"/>
              </w:rPr>
            </w:pPr>
          </w:p>
        </w:tc>
      </w:tr>
      <w:tr>
        <w:trPr>
          <w:trHeight w:val="365"/>
        </w:trPr>
        <w:tc>
          <w:tcPr>
            <w:tcW w:w="6120" w:type="dxa"/>
            <w:vAlign w:val="bottom"/>
            <w:gridSpan w:val="2"/>
          </w:tcPr>
          <w:p>
            <w:pPr>
              <w:jc w:val="right"/>
              <w:ind w:right="219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8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net sales and gross profit impact for the divestment of a number of products from Mylan and the Upjohn Business as required by certain regulatory authorities. An adjustment totaling $143 million and $45 million was recorded to net sales and cost of sales, respectively, to eliminate the impact of these products for the period from January 1, 2020 through November 15, 2020.</w:t>
      </w:r>
    </w:p>
    <w:p>
      <w:pPr>
        <w:spacing w:after="0" w:line="70" w:lineRule="exact"/>
        <w:rPr>
          <w:rFonts w:ascii="Arial" w:cs="Arial" w:eastAsia="Arial" w:hAnsi="Arial"/>
          <w:sz w:val="17"/>
          <w:szCs w:val="17"/>
          <w:color w:val="auto"/>
        </w:rPr>
      </w:pPr>
    </w:p>
    <w:p>
      <w:pPr>
        <w:ind w:left="540" w:right="100" w:hanging="424"/>
        <w:spacing w:after="0" w:line="25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 adjustment to increase depreciation expense associated with fair value adjustments to the carrying value of property, plant and equipment for the period from January 1, 2020 through November 15, 2020. The estimated fair value is being depreciated over the estimated useful lives of the assets, generally on a straight-line basis. The weighted average useful lives of all fixed assets have been estimated to be 12 years. An adjustment totaling $37 million was recorded to cost of sales to account for the additional depreciation of the assets for the period from January 1, 2020 through November 15, 2020.</w:t>
      </w:r>
    </w:p>
    <w:p>
      <w:pPr>
        <w:spacing w:after="0" w:line="93"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 adjustment to increase inventory step-up amortization expense associated with fair value adjustments to the carrying value of inventory. An adjustment totaling $1.18 billion was recorded to cost of sales to account for the remaining amortization of the inventory step-up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Comparative Per Share Information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sets forth selected historical share information of Viatris and unaudited pro forma share information of Viatris after giving effect to the Combination. Per share information for the Upjohn Business is not presented because the Upjohn Business did not have outstanding capital stock since its historical combined financial statements have been prepared on a carve-out basis.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for per share data)</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earnings per share applicable to ordinary shareholders: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Basic</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8"/>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1,291.1</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601.2</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4100"/>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exchange offer is intended to satisfy our obligations under the registration rights agreement entered into in connection with the issuance of the Restricted Notes. We will not receive any proceeds from the issuance of Exchange Notes in connection with the exchange offer. In consideration for issuing the Exchange Notes, we will receive the Restricted Notes from you in like principal amount. The Restricted Notes surrendered in exchange for the Exchange Notes will be retired and cancelled and cannot be reissued. Accordingly, issuance of the Exchange Notes will not result in any change in our indebtedness other than to the extent that we incur any indebtedness in connection with the payment of expenses to be incurred in connection with the exchange offer, including the fees and expenses of the exchange agent and accounting and legal fees.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When we issued the Restricted Notes on June 22, 2020, we entered into a registration rights agreement with the representatives of the initial purchasers of the Restricted Notes. Under the terms of the registration rights agreement, we agreed to use commercially reasonable efforts to:</w:t>
      </w:r>
    </w:p>
    <w:p>
      <w:pPr>
        <w:spacing w:after="0" w:line="29" w:lineRule="exact"/>
        <w:rPr>
          <w:sz w:val="20"/>
          <w:szCs w:val="20"/>
          <w:color w:val="auto"/>
        </w:rPr>
      </w:pPr>
    </w:p>
    <w:p>
      <w:pPr>
        <w:ind w:left="1080" w:right="5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with the SEC and cause to become effective a registration statement relating to an offer to exchange the Restricted Notes for the Exchange Notes;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consummate the exchange offer not later than 365 days after the consummation of the Combination.</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we do not complete the exchange offer on or prior to November 16, 2021 or if we fail to meet certain other conditions described under “Description of the Exchange Notes—Registration Rights—Additional Interest,” the interest rate borne by the Restricted Notes will increase at a rate of 0.25% per annum every 90 days following the occurrence of such a registration default (but shall not exceed 0.50% per annum in total) until the condition which gave rise to the additional interest is cured.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some circumstances set forth in the registration rights agreement, holders of the Restricted Notes, including holders who are not permitted to participate in the exchange offer, may require us to file, and cause to become effective, a shelf registration statement covering resales of the Restricted Notes by these holders.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making the exchange offer in reliance on the position of the SEC as described in previous no-action letters issued to third parties, including in Exxon Capital Holdings Corporation (April 13, 1988), Morgan Stanley &amp; Co., Inc. (June 5, 1991), Shearman &amp; Sterling (July 2, 1993) and similar no-action letters. However, we have not sought our own no-action letter. Based upon these interpretations by the SEC, we believe that a holder who exchanges Restricted Notes for Exchange Notes in the exchange offer generally may offer the Exchange Notes for resale, sell the Exchange Notes and otherwise transfer the Exchange Notes without further registration under the Securities Act and without delivery of a prospectus that satisfies the requirements of Section 10 of the Securities Act. The preceding sentence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as defined in the Securities Act, of the Exchange Notes. We have not entered into any arrangement or understanding with any person who will receive Exchange Notes in the exchange offer to distribute such Exchange Notes following completion of the exchange offer, and, to the best of our information and belief, we are not aware of any person that will participate in the exchange offer with a view to distribute the Exchange Notes. A holder who exchanges Restricted Notes for Exchange Notes in the exchange offer for the purpose of distributing such Exchange Notes cannot rely on the interpretations of the staff of the SEC in the aforementioned no-action letters, must comply with the registration and prospectus delivery requirements of the Securities Act in connection with any secondary resale of the Exchange Notes and must be identified as an underwriter in the prospectus.</w:t>
      </w:r>
    </w:p>
    <w:p>
      <w:pPr>
        <w:spacing w:after="0" w:line="16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that meets the requirements of the Securities Act in connection with any resale of the Exchange Notes and that it has not entered into any agreement or understanding with us or any of our “affiliates,” as defined in Rule 405 under the Securities Act, to participate in a “distribution,” as defined under the Securities Act, of the Exchange Notes. By so acknowledging and by delivering a prospectus, a broker-dealer will not be deemed to admit that it is an “underwriter” within the meaning of the Securities Act. See “Plan of Distribution.”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summary herein of certain provisions of the registration rights agreement does not purport to be complete, and is qualified in its entirety by reference to, all the provisions of the registration rights agreement, a copy of which is incorporated by reference as an exhibit to the registration statement of which this prospectus forms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Subject to the terms and the satisfaction or waiver of the conditions detailed in this prospectus, we will accept for exchange the Restricted Notes which are properly tendered on or prior to the expiration date and not validly withdrawn as permitted below. As used herein, the term “expiration date” means 5:00 p.m., New York City time, on October 28, 2021. We may, however, in our sole discretion, extend the period of time during which the exchange offer is open. The term “expiration date” means the latest time and date to which the exchange offer is extended.</w:t>
      </w:r>
    </w:p>
    <w:p>
      <w:pPr>
        <w:spacing w:after="0" w:line="17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the date of this prospectus, $7.45 billion aggregate principal amount of the Restricted Notes are outstanding. This prospectus, together with the letter of transmittal, is first being sent on or about the date hereof to all holders of the Restricted Notes known to us.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expressly reserve the right, at any time prior to the expiration of the exchange offer, to extend the period of time during which the exchange offer is open and delay acceptance for exchange of any Restricted Notes, by giving oral or written notice of such extension to holders thereof as described below. During any such extension, all the Restricted Notes previously tendered will remain subject to the exchange offer and may be accepted for exchange by us. Any Restricted Notes not accepted for exchange for any reason will be returned without expense to an account maintained with DTC promptly upon expiration or termination of the exchange offer.</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Restricted Notes tendered in the exchange offer must be in denominations of principal amount of $2,000 and any integral multiple of $1,000 in excess thereof.</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expressly reserve the right to amend or terminate the exchange offer, and not to accept for exchange any Restricted Notes, upon the occurrence of any of the conditions of the exchange offer specified under “—Conditions to the Exchange Offer.” We will give oral or written notice of any extension, amendment, non-acceptance or termination to the holders of the Restricted Notes as promptly as practicable. Such notice, in the case of any extension, will be issued by means of a press release or other public announcement no later than 9:00 a.m., New York City time, on the next business day after the previously scheduled expiration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Restricted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tender to us of Restricted Notes by you as set forth below and our acceptance of the Restricted Notes will constitute a binding agreement between us and you upon the terms and subject to the conditions set forth in this prospectus and in the accompanying letter of transmittal. Except as set forth below, to tender Restricted Notes for exchange pursuant to the exchange offer, you must transmit a properly completed and duly executed letter of transmittal, including all other documents required by such letter of transmittal or, in the case of a book-entry transfer, an agent’s message in lieu of such letter of transmittal, to The Bank of New York Mellon, as exchange agent, at the address set forth below under “—Exchange Agent” on or prior to the expiration date. In addition, either:</w:t>
      </w:r>
    </w:p>
    <w:p>
      <w:pPr>
        <w:spacing w:after="0" w:line="98"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certificates for such Restricted Notes must be received by the exchange agent along with the letter of transmittal; or</w:t>
      </w:r>
    </w:p>
    <w:p>
      <w:pPr>
        <w:spacing w:after="0" w:line="130"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timely confirmation of a book-entry transfer (a “book-entry confirmation”) of such Restricted Notes, if such procedure is available, into the exchange agent’s account at DTC pursuant to the procedure for book-entry transfer must be received by the exchange agent, prior to the expiration date, with the letter of transmittal or an agent’s message in lieu of such letter of transmittal.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transfer, which states that DTC has received an express acknowledgment from the tendering participant stating that such participant has received and agrees to be bound by the letter of transmittal.</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method of delivery of Restricted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Restricted Notes should be sent to us.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Restricted Notes surrendered for exchange are tendered:</w:t>
      </w:r>
    </w:p>
    <w:p>
      <w:pPr>
        <w:spacing w:after="0" w:line="76" w:lineRule="exact"/>
        <w:rPr>
          <w:sz w:val="20"/>
          <w:szCs w:val="20"/>
          <w:color w:val="auto"/>
        </w:rPr>
      </w:pPr>
    </w:p>
    <w:p>
      <w:pPr>
        <w:ind w:left="1080" w:right="4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 holder of the Restricted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(each such entity being hereinafter referred to as an “eligible institution”). If Restricted Notes are registered in the name of a person other than the signer of the letter of transmittal, the Restricted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78" w:lineRule="exact"/>
        <w:rPr>
          <w:sz w:val="20"/>
          <w:szCs w:val="20"/>
          <w:color w:val="auto"/>
        </w:rPr>
      </w:pPr>
    </w:p>
    <w:p>
      <w:pPr>
        <w:jc w:val="both"/>
        <w:ind w:left="120" w:right="260" w:firstLine="440"/>
        <w:spacing w:after="0" w:line="34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Restricted Notes, such Restricted Notes must be endorsed or accompanied by powers of attorney signed exactly as the name(s) of the registered holder(s) that appear on the Restricted Notes.</w:t>
      </w:r>
    </w:p>
    <w:p>
      <w:pPr>
        <w:spacing w:after="0" w:line="12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the letter of transmittal or any Restricted Notes or powers of attorney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are a beneficial owner whose Restricted Notes are registered in the name of a broker, dealer, commercial bank, trust company or other nominee and wish to tender your Restricted Notes, you should promptly instruct the registered holder to tender such Restricted Notes on your behalf. Any registered holder that is a participant in DTC’s book-entry transfer facility system may make book-entry delivery of the Restricted Notes by causing DTC to transfer the Restricted Notes into the exchange agent’s account.</w:t>
      </w:r>
    </w:p>
    <w:p>
      <w:pPr>
        <w:spacing w:after="0" w:line="18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If you wish to tender your Restricted Notes in the exchange offer on your own behalf, prior to completing and executing the letter of transmittal and delivering your Restricted Notes, you must either make appropriate arrangements to register ownership of the Restricted Notes in your name with DTC or obtain a properly completed note power from the person in whose name the Restricted Notes are registered.</w:t>
      </w:r>
    </w:p>
    <w:p>
      <w:pPr>
        <w:spacing w:after="0" w:line="165"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We or the exchange agent, in our sole discretion, will make a final and binding determination on all questions as to the validity, form, eligibility (including time of receipt) and acceptance of the Restricted Notes tendered for exchange. We reserve the absolute right to reject any and all tenders not properly tendered or to not accept any tender which acceptance might, in our judgment or our counsel’s, be unlawful. We also reserve the absolute right to waive any defects or irregularities or conditions of the exchange offer as to any individual tender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the expiration date (including the right to waive the ineligibility of any holder who seeks to tender the Restricted Notes in the exchange offer). Our or the exchange agent’s interpretation of the terms and conditions of the exchange offer (including the letter of transmittal and the instructions thereto) as to any particular tender either before or after the expiration date will be final and binding on all parties. Unless waived, any defects or irregularities in connection with tenders of the Restricted Notes for exchange must be cured within a reasonable period of time, as we determine. We are not nor is the exchange agent or any other person under any duty to notify you of any defect or irregularity with respect to your tender of the Restricted Notes for exchange, and no one will be liable for failing to provide such notification.</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By tendering the Restricted Notes, you represent to us that: (i) you are not our “affiliate,” as defined in Rule 405 under the Securities Act, (ii) you are not participating, and do not intend to participate, and have no arrangement or understanding with any person to participate, in a “distribution,” as defined in the Securities Act, of the Exchange Notes to be issued in the exchange offer, (iii) you are acquiring the Exchange Notes in your ordinary course of business and (iv) if you are a broker-dealer, you will receive the Exchange Notes for your own account in exchange for the Restricted Notes that were acquired by you as a result of your market-making or other trading activities, you will deliver a prospectus that meets the requirements of the Securities Act in connection with any resale of the Exchange Notes you receive and you have not entered into any agreement or understanding with us or any of our “affiliates,” as defined in Rule 405 under the Securities Act, to participate in a “distribution,” as defined in the Securities Act, of the Exchange Notes. For further information regarding resales of the Exchange Notes by participating broker-dealers, see the discussion under the caption “Plan of Distribution.”</w:t>
      </w:r>
    </w:p>
    <w:p>
      <w:pPr>
        <w:spacing w:after="0" w:line="18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any holder or other person is an “affiliate” of ours, as defined in Rule 405 under the Securities Act, or is participating, or intends to participate, or has an arrangement or understanding with any person to participate, in a “distribution,” as defined in the Securities Act, of the Exchange Notes, that holder or other person cannot rely on the applicable interpretations of the staff of the SEC, may not tender its Restricted Notes in the exchange offer and must comply with the registration and prospectus delivery requirements of the Securities Act in connection with any resale transaction.</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that meets the requirements of the Securities Act in connection with any resale of the Exchange Notes. By so acknowledging and by delivering a prospectus, a broker-dealer will not be deemed to admit that it is an “underwriter” within the meaning of the Securities Act (other than in connection with a resale of an unsold allotment from the original sale of the Restricted Notes).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Furthermore, any broker-dealer that acquired any of its Restricted Notes directly from us:</w:t>
      </w:r>
    </w:p>
    <w:p>
      <w:pPr>
        <w:spacing w:after="0" w:line="131" w:lineRule="exact"/>
        <w:rPr>
          <w:sz w:val="20"/>
          <w:szCs w:val="20"/>
          <w:color w:val="auto"/>
        </w:rPr>
      </w:pPr>
    </w:p>
    <w:p>
      <w:pPr>
        <w:jc w:val="both"/>
        <w:ind w:left="1080" w:right="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SEC staff’s position contained in Exxon Capital Holdings Corp., SEC no-action letter (April 13, 1988), Morgan, Stanley &amp; Co. Inc., SEC no-action letter (June 5, 1991) and Shearman &amp; Sterling, SEC no-action letter (July 2, 1993);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By delivering a letter of transmittal or an agent’s message, a holder or a beneficial owner (whose Restricted Notes are registered in the name of a broker, dealer, commercial bank, trust company or other nominee) will have or will be deemed to have irrevocably appointed the exchange agent as its agent and attorney-in-fact (with full knowledge that the exchange agent is also acting as an agent for us in connection with the exchange offer) with respect to the Restricted Notes, with full power of substitution (such power of attorney being deemed to be an irrevocable power coupled with an interest subject only to the right of withdrawal described in this prospectus), to receive for our account all benefits and otherwise exercise all rights of beneficial ownership of such Restricted Notes, in accordance with the terms and conditions of the exchange offer.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holder or beneficial owner will also have or be deemed to have represented and warranted to us that it has authority to tender, exchange, sell, assign and transfer the Restricted Notes it tenders and that, when the same are accepted for exchange, we will acquire good, marketable and unencumbered title to such Restricted Notes, free and clear of all liens, restrictions, charges and encumbrances, and that the Restricted Notes tendered are not subject to any adverse claims or proxies. Each holder and beneficial owner, by tendering its Restricted Notes, also agrees that it will comply with its obligations under the registration rights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Restricted Notes for Exchange; Delivery of Exchange Notes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Upon satisfaction or waiver of all of the conditions to the exchange offer, we will accept, promptly upon the expiration date, all the Restricted Notes properly tendered and will issue the Exchange Notes promptly after acceptance of the Restricted Notes. See “—Conditions to the Exchange Offer.” For purposes of the exchange offer, we will be deemed to have accepted properly tendered the Restricted Notes for exchange if and when we give oral (confirmed in writing) or written notice to the exchange agent.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holder of each Restricted Note accepted for exchange will receive an Exchange Note in an amount equal to the principal amount of the surrendered Restricted Note. Holders of the Exchange Notes on the relevant record date for the first interest payment date following the consummation of the exchange offer will receive interest accruing from the most recent date to which interest has been paid on the Restricted Notes. Holders of the Exchange Notes will not receive any payment in respect of accrued interest on the Restricted Notes otherwise payable on any interest payment date, the record date for which occurs on or after the consummation of the exchange offer. Interest on the Restricted Notes accepted for exchange will cease to accrue upon the issuance of the Exchange Notes.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all cases, issuance of the Exchange Notes for the Restricted Notes that are accepted for exchange will be made only after timely receipt by the exchange agent of an agent’s message and a timely confirmation of book-entry transfer of the Restricted Notes into the exchange agent’s account at DTC.</w:t>
      </w:r>
    </w:p>
    <w:p>
      <w:pPr>
        <w:spacing w:after="0" w:line="184" w:lineRule="exact"/>
        <w:rPr>
          <w:sz w:val="20"/>
          <w:szCs w:val="20"/>
          <w:color w:val="auto"/>
        </w:rPr>
      </w:pPr>
    </w:p>
    <w:p>
      <w:pPr>
        <w:jc w:val="both"/>
        <w:ind w:left="120" w:right="320" w:firstLine="440"/>
        <w:spacing w:after="0" w:line="257" w:lineRule="auto"/>
        <w:rPr>
          <w:sz w:val="20"/>
          <w:szCs w:val="20"/>
          <w:color w:val="auto"/>
        </w:rPr>
      </w:pPr>
      <w:r>
        <w:rPr>
          <w:rFonts w:ascii="Arial" w:cs="Arial" w:eastAsia="Arial" w:hAnsi="Arial"/>
          <w:sz w:val="18"/>
          <w:szCs w:val="18"/>
          <w:color w:val="auto"/>
        </w:rPr>
        <w:t>If any tendered Restricted Notes are not accepted for any reason set forth in the terms and conditions of the exchange offer or if the Restricted Notes are submitted for a greater principal amount than the holder desires to exchange, such unaccepted or non-exchanged Restricted Notes will be returned without expense to the holder or, in the case of Restricted Notes tendered by book-entry transfer into the exchange agent’s account at DTC pursuant to the book-entry procedures described below, an account maintained by the holder or on the holder’s behalf with DTC promptly upon the expiration or termination of the exchange offer.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Transfers</w:t>
      </w:r>
    </w:p>
    <w:p>
      <w:pPr>
        <w:spacing w:after="0" w:line="12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exchange agent will make a request to establish an account for the Restricted Notes at DTC for purposes of the exchange offer within two business days after the date of this prospectus. Any financial institution that is a participant in DTC’s systems may make book-entry delivery of the Restricted Notes by causing DTC to transfer those Restricted Notes into the exchange agent’s account at DTC in accordance with DTC’s procedure for transfer. This participant should transmit its acceptance to DTC on or prior to the expiration date. DTC will verify this acceptance, execute a book-entry transfer of the tendered Restricted Notes into the exchange agent’s account at DTC and then send to the exchange agent confirmation of this book-entry transfer. A tender of Restricted Notes through a book-entry transfer into the exchange agent’s account will only be effective if an agent’s message or the letter of transmittal with any required signature guarantees and any other required documents are transmitted to and received or confirmed by the exchange agent at the address set forth below under the caption “—Exchange Agent,” prior to 5:00 p.m., New York City time, on the expiration date. Delivery of documents to DTC in accordance with its procedures does not constitute delivery to the exchange agent.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withdrawal of a tender of the Restricted Notes to be effective, the exchange agent must either:</w:t>
      </w:r>
    </w:p>
    <w:p>
      <w:pPr>
        <w:spacing w:after="0" w:line="131" w:lineRule="exact"/>
        <w:rPr>
          <w:sz w:val="20"/>
          <w:szCs w:val="20"/>
          <w:color w:val="auto"/>
        </w:rPr>
      </w:pPr>
    </w:p>
    <w:p>
      <w:pPr>
        <w:ind w:left="1080" w:right="60" w:hanging="424"/>
        <w:spacing w:after="0" w:line="286"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 a valid withdrawal request through the DTC’s Automated Tender Offer Program system from the tendering DTC participant before the expiration date. Any such request for withdrawal must include the VOI number of the tender to be withdrawn and the name of the ultimate beneficial owner of the related Restricted Notes in order that such Restricted Notes may be withdrawn; or</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deliver a written notice of withdrawal to the exchange agent at one of the addresses set forth under “—Exchange Agent” that specifies</w:t>
      </w:r>
    </w:p>
    <w:p>
      <w:pPr>
        <w:spacing w:after="0" w:line="34" w:lineRule="exact"/>
        <w:rPr>
          <w:rFonts w:ascii="Arial" w:cs="Arial" w:eastAsia="Arial" w:hAnsi="Arial"/>
          <w:sz w:val="17"/>
          <w:szCs w:val="17"/>
          <w:color w:val="auto"/>
        </w:rPr>
      </w:pPr>
    </w:p>
    <w:p>
      <w:pPr>
        <w:ind w:left="1080"/>
        <w:spacing w:after="0" w:line="252" w:lineRule="auto"/>
        <w:rPr>
          <w:rFonts w:ascii="Arial" w:cs="Arial" w:eastAsia="Arial" w:hAnsi="Arial"/>
          <w:sz w:val="17"/>
          <w:szCs w:val="17"/>
          <w:color w:val="auto"/>
        </w:rPr>
      </w:pPr>
      <w:r>
        <w:rPr>
          <w:rFonts w:ascii="Arial" w:cs="Arial" w:eastAsia="Arial" w:hAnsi="Arial"/>
          <w:sz w:val="18"/>
          <w:szCs w:val="18"/>
          <w:color w:val="auto"/>
        </w:rPr>
        <w:t>(i) the name of the person having tendered the Restricted Notes to be withdrawn; (ii) the Restricted Notes to be withdrawn (including the aggregate principal amount of such Restricted Notes); and (iii) where certificates for the Restricted Notes have been transmitted, the name in which such Restricted Notes are registered, if different from that of the withdrawing holder. If certificates for Restricted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institution, unless such holder is an eligible institution.</w:t>
      </w:r>
    </w:p>
    <w:p>
      <w:pPr>
        <w:spacing w:after="0" w:line="19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Properly withdrawn Restricted Notes may be re-tendered by following the procedures described under “—Procedures for Tendering Restricted Notes” above at any time on or before 5:00 p.m., New York City time, on the expiration date.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notices of withdrawal. Any Restricted Notes so withdrawn will be deemed not to have been validly tendered for exchange. No Exchange Notes will be issued unless the Restricted Notes so withdrawn are validly re-tendered.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the Exchange Notes in exchange for, any Restricted Notes and may terminate or amend the exchange offer, if any of the following events occur prior to the expiration date:</w:t>
      </w:r>
    </w:p>
    <w:p>
      <w:pPr>
        <w:spacing w:after="0" w:line="16" w:lineRule="exact"/>
        <w:rPr>
          <w:sz w:val="20"/>
          <w:szCs w:val="20"/>
          <w:color w:val="auto"/>
        </w:rPr>
      </w:pPr>
    </w:p>
    <w:p>
      <w:pPr>
        <w:ind w:left="1220" w:hanging="241"/>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 or</w:t>
      </w:r>
    </w:p>
    <w:p>
      <w:pPr>
        <w:spacing w:after="0" w:line="117" w:lineRule="exact"/>
        <w:rPr>
          <w:rFonts w:ascii="Arial" w:cs="Arial" w:eastAsia="Arial" w:hAnsi="Arial"/>
          <w:sz w:val="18"/>
          <w:szCs w:val="18"/>
          <w:color w:val="auto"/>
        </w:rPr>
      </w:pPr>
    </w:p>
    <w:p>
      <w:pPr>
        <w:ind w:left="560" w:right="40" w:firstLine="419"/>
        <w:spacing w:after="0" w:line="277" w:lineRule="auto"/>
        <w:tabs>
          <w:tab w:leader="none" w:pos="12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is threatened, instituted or pending any action or proceeding before, or any injunction, order or decree has been issued by, any court or governmental agency or other governmental regulatory or administrative agency or commission,</w:t>
      </w:r>
    </w:p>
    <w:p>
      <w:pPr>
        <w:spacing w:after="0" w:line="62" w:lineRule="exact"/>
        <w:rPr>
          <w:rFonts w:ascii="Arial" w:cs="Arial" w:eastAsia="Arial" w:hAnsi="Arial"/>
          <w:sz w:val="18"/>
          <w:szCs w:val="18"/>
          <w:color w:val="auto"/>
        </w:rPr>
      </w:pPr>
    </w:p>
    <w:p>
      <w:pPr>
        <w:ind w:left="1100" w:right="280" w:firstLine="408"/>
        <w:spacing w:after="0" w:line="277" w:lineRule="auto"/>
        <w:tabs>
          <w:tab w:leader="none" w:pos="1756"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seeking to restrain or prohibit the making or consummation of the exchange offer or any other transaction contemplated by the exchange offer, or assessing or seeking any damages as a result thereof, or</w:t>
      </w:r>
    </w:p>
    <w:p>
      <w:pPr>
        <w:spacing w:after="0" w:line="62" w:lineRule="exact"/>
        <w:rPr>
          <w:rFonts w:ascii="Arial" w:cs="Arial" w:eastAsia="Arial" w:hAnsi="Arial"/>
          <w:sz w:val="18"/>
          <w:szCs w:val="18"/>
          <w:color w:val="auto"/>
        </w:rPr>
      </w:pPr>
    </w:p>
    <w:p>
      <w:pPr>
        <w:ind w:left="1100" w:right="160" w:firstLine="408"/>
        <w:spacing w:after="0" w:line="277" w:lineRule="auto"/>
        <w:tabs>
          <w:tab w:leader="none" w:pos="1756"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resulting in a material delay in our ability to accept for exchange or exchange some or all of the Exchange Notes pursuant to the exchange offer;</w:t>
      </w:r>
    </w:p>
    <w:p>
      <w:pPr>
        <w:spacing w:after="0" w:line="62"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or any statute, rule, regulation, order or injunction has been sought, proposed, introduced, enacted, promulgated or deemed applicable to the exchange offer or any of the transactions contemplated by the exchange offer by any government or governmental authority, domestic or foreign, or any action has been taken, proposed or threatened, by any government, governmental authority, agency or court, domestic or foreign, that in our sole judgment might, directly or indirectly, result in any of the consequences referred to in clauses (1) or (2) above or, in our reasonable judgment, might result in the holders of the Exchange Notes having obligations with respect to resales and transfers of the Exchange Notes which are greater than those described in the interpretation of the SEC referred to in “—Procedures for Tendering Restricted Notes,” or would otherwise make it inadvisable to proceed with the exchange offer;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20" w:hanging="241"/>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not obtained any governmental approval which we deem necessary for the consummation of the exchange offer;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has occurred:</w:t>
      </w:r>
    </w:p>
    <w:p>
      <w:pPr>
        <w:spacing w:after="0" w:line="117" w:lineRule="exact"/>
        <w:rPr>
          <w:rFonts w:ascii="Arial" w:cs="Arial" w:eastAsia="Arial" w:hAnsi="Arial"/>
          <w:sz w:val="18"/>
          <w:szCs w:val="18"/>
          <w:color w:val="auto"/>
        </w:rPr>
      </w:pPr>
    </w:p>
    <w:p>
      <w:pPr>
        <w:ind w:left="1100" w:right="220" w:firstLine="408"/>
        <w:spacing w:after="0" w:line="277"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or in the over-the-counter market,</w:t>
      </w:r>
    </w:p>
    <w:p>
      <w:pPr>
        <w:spacing w:after="0" w:line="62" w:lineRule="exact"/>
        <w:rPr>
          <w:rFonts w:ascii="Arial" w:cs="Arial" w:eastAsia="Arial" w:hAnsi="Arial"/>
          <w:sz w:val="18"/>
          <w:szCs w:val="18"/>
          <w:color w:val="auto"/>
        </w:rPr>
      </w:pPr>
    </w:p>
    <w:p>
      <w:pPr>
        <w:ind w:left="1100" w:right="660" w:firstLine="408"/>
        <w:spacing w:after="0" w:line="277"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limitation by a governmental agency or authority which may adversely affect our ability to complete the transactions contemplated by the exchange offer,</w:t>
      </w:r>
    </w:p>
    <w:p>
      <w:pPr>
        <w:spacing w:after="0" w:line="62" w:lineRule="exact"/>
        <w:rPr>
          <w:rFonts w:ascii="Arial" w:cs="Arial" w:eastAsia="Arial" w:hAnsi="Arial"/>
          <w:sz w:val="18"/>
          <w:szCs w:val="18"/>
          <w:color w:val="auto"/>
        </w:rPr>
      </w:pPr>
    </w:p>
    <w:p>
      <w:pPr>
        <w:ind w:left="1100" w:firstLine="408"/>
        <w:spacing w:after="0" w:line="277"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United States or any limitation by any governmental agency or authority which adversely affects the extension of credit, or</w:t>
      </w:r>
    </w:p>
    <w:p>
      <w:pPr>
        <w:spacing w:after="0" w:line="62" w:lineRule="exact"/>
        <w:rPr>
          <w:rFonts w:ascii="Arial" w:cs="Arial" w:eastAsia="Arial" w:hAnsi="Arial"/>
          <w:sz w:val="18"/>
          <w:szCs w:val="18"/>
          <w:color w:val="auto"/>
        </w:rPr>
      </w:pPr>
    </w:p>
    <w:p>
      <w:pPr>
        <w:jc w:val="both"/>
        <w:ind w:left="1100" w:right="300" w:firstLine="408"/>
        <w:spacing w:after="0" w:line="263" w:lineRule="auto"/>
        <w:tabs>
          <w:tab w:leader="none" w:pos="17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commencement of a war, armed hostilities or other similar international calamity directly or indirectly involving the United States or, in the case of any of the foregoing existing at the time of the commencement of the exchange offer, a material acceleration or worsening thereof; or</w:t>
      </w:r>
    </w:p>
    <w:p>
      <w:pPr>
        <w:spacing w:after="0" w:line="75" w:lineRule="exact"/>
        <w:rPr>
          <w:rFonts w:ascii="Arial" w:cs="Arial" w:eastAsia="Arial" w:hAnsi="Arial"/>
          <w:sz w:val="18"/>
          <w:szCs w:val="18"/>
          <w:color w:val="auto"/>
        </w:rPr>
      </w:pPr>
    </w:p>
    <w:p>
      <w:pPr>
        <w:ind w:left="560" w:firstLine="419"/>
        <w:spacing w:after="0" w:line="259" w:lineRule="auto"/>
        <w:tabs>
          <w:tab w:leader="none" w:pos="12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has occurred or is threatened in our business, properties, assets, liabilities, financial condition, operations, results of operations or prospects and our subsidiaries taken as a whole that, in our reasonable judgment, is or may be adverse to us, or we have become aware of facts that, in our reasonable judgment, have or may have adverse significance with respect to the value of the Restricted Notes or the Exchange Notes;</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which, in each case, and regardless of the circumstances (including any action by us) giving rise to any such condition, makes it inadvisable, in our reasonable judgment, to proceed with the exchange offer, such acceptance for exchange or such exchange.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foregoing conditions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we will not accept for exchange any Restricted Notes tendered, and no Exchange Notes will be issued in exchange for any such Restricted Notes, if at such time any stop order is threatened or in effect with respect to the registration statement of which this prospectus constitutes a part or the qualification of the indenture under the Trust Indenture Act of 1939, as amended.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have appointed The Bank of New York Mellon as the exchange agent for the exchange offer. Questions and requests for assistance, requests for additional copies of this prospectus, the letter of transmittal or other documents should be directed to the exchange agent addressed as follows: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BNY Mellon, Exchange Agent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By Registered or Certified Mail, Overnight Delivery: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 BNY Mellon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Corporate Trust Operations – Reorganization Unit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2001 Bryan Street,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Tiffany Castor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For Information Call: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315-414-3034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For Facsimile Transmission (for Eligible Institutions only):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(732) 667-9408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Confirm by E-mail: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CT_REORG_UNIT_INQUIRIES@bnymellon.com</w:t>
      </w:r>
    </w:p>
    <w:p>
      <w:pPr>
        <w:spacing w:after="0" w:line="221"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will pay the exchange agent customary fees for its services, reimburse the exchange agent for its reasonable out-of-pocket expenses incurred in connection with the provision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 to our independent certified public accountants. We will not make any payment to brokers, dealers or others soliciting acceptances of the exchange offer.</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This solicitation is being made primarily by electronic means. Additional solicitation may be made by telephone, facsimile or in person by our and our affiliates’ officers and regular employees and by persons so engaged by the exchange agent.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record the Exchange Notes at the same carrying value as the Restricted Notes, as reflected in our accounting records on the date of the exchange. Accordingly, we will not recognize any gain or loss for accounting purposes. Fees paid to third parties will be expensed and any fees paid to creditors will be treated as debt issuance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You will not be obligated to pay any transfer taxes in connection with the tender of the Restricted Notes in the exchange offer unless you instruct us to register the Exchange Notes in the name of, or request that the Restricted Notes not tendered or not accepted in the exchange offer be returned to, a person other than the registered tendering holder or unless a transfer tax is imposed for any reason other than the exchange of Restricted Notes in connection with the exchange offer. In those cases, the tendering holder will be responsible for the payment of any applicable transfer tax. If the tendering holder does not submit satisfactory evidence of payment of such taxes or exemption therefrom with the letter of transmittal, the amount of such transfer taxes will be billed directly to the tendering holder.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Exchanging or Failing to Exchange Restricted Notes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below concerning specific interpretations of, and positions taken by, the staff of the SEC is not intended to constitute legal advice, and prospective purchasers should consult their own legal advisors with respect to those matters.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you do not exchange your Restricted Notes for the Exchange Notes in the exchange offer, your Restricted Notes will continue to be subject to the provisions of the indenture governing the Restricted Notes regarding transfer and exchange of the Restricted Notes and the restrictions on transfer of the Restricted Notes imposed by the Securities Act and state securities law. These transfer restrictions are required because the Restricted Notes were issued under an exemption from, or in a transaction not subject to, the registration requirements of the Securities Act and applicable state securities laws. In general, the Restricted Notes may not be offered or sold unless registered under the Securities Act, except under an exemption from, or in a transaction not subject to, the Securities Act and applicable state securities laws. We do not plan to register the Restricted Notes under the Securities Act.</w:t>
      </w:r>
    </w:p>
    <w:p>
      <w:pPr>
        <w:spacing w:after="0" w:line="16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Based on interpretations by the staff of the SEC, as detailed in a series of no-action letters issued to third parties, we believe that the Exchange Notes issued in the exchange offer may be offered for resale, resold or otherwise transferred by you without compliance with the registration and prospectus delivery requirements of the Securities Act as long as:</w:t>
      </w:r>
    </w:p>
    <w:p>
      <w:pPr>
        <w:spacing w:after="0" w:line="8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not an “affiliate,” as defined in Rule 405 under the Securities Act, of ours; and</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not participating, do not intend to participate and have no arrangement or understanding with any person to participate, in a “distribution,” as defined in the Securities Act, of the Exchange Notes.</w:t>
      </w:r>
    </w:p>
    <w:p>
      <w:pPr>
        <w:spacing w:after="0" w:line="170"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If you are an “affiliate,” as defined in Rule 405 under the Securities Act, of ours, or are participating, or intend to participate, or have any arrangement or understanding with any person to participate, in a “distribution,” as defined in the Securities Act, of the Exchange Notes:</w:t>
      </w:r>
    </w:p>
    <w:p>
      <w:pPr>
        <w:spacing w:after="0" w:line="2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not be entitled to participate in the exchange offer;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you must comply with the registration and prospectus delivery requirements of the Securities Act in connection with any resale transaction.</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Each holder of the Restricted Notes who wishes to exchange such Restricted Notes for the related Exchange Notes in the exchange offer represents that:</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acquiring the Exchange Notes in its ordinary course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not our “affiliate,” as defined in Rule 405 under the Securities Act;</w:t>
      </w:r>
    </w:p>
    <w:p>
      <w:pPr>
        <w:spacing w:after="0" w:line="130" w:lineRule="exact"/>
        <w:rPr>
          <w:rFonts w:ascii="Arial" w:cs="Arial" w:eastAsia="Arial" w:hAnsi="Arial"/>
          <w:sz w:val="18"/>
          <w:szCs w:val="18"/>
          <w:color w:val="auto"/>
        </w:rPr>
      </w:pPr>
    </w:p>
    <w:p>
      <w:pPr>
        <w:ind w:left="1080" w:right="46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not participating, and does not intend to participate, and has no arrangement or understanding with any person to participate, in a “distribution,” as defined in the Securities Act, of the Exchange Notes to be issued in the exchange offer; and</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it is a broker-dealer, it will receive the Exchange Notes for its own account in exchange for the Restricted Notes that were acquired by it as a result of its market-making or other trading activities, that it will deliver a prospectus meeting the requirements of the Securities Act in connection with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resale of the Exchange Notes it receives and it has not entered into any agreement or understanding with us or any of our “affiliates,” as defined in Rule 405 under the Securities Act, to participate in a “distribution,” as defined in the Securities Act, of the Exchange Notes. For further information regarding resales of the Exchange Notes by participating broker-dealers, see the discussion under the caption “Plan of Distribution.”</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discussed above, in connection with resales of the Exchange Notes, any participating broker-dealer must deliver a prospectus meeting the requirements of the Securities Act. The staff of the SEC has taken the position that participating broker-dealers may fulfill their prospectus delivery requirements with respect to the Exchange Notes, other than a resale of an unsold allotment from the original sale of the Restricted Notes, with the prospectus contained in the exchange offer registration statement. Under the registration rights agreement, we have agreed, for a period of 90 days following the expiration of the exchange offer, to make available a prospectus meeting the requirements of the Securities Act to any participating broker-dealer for use in connection with any resale of any Exchange Notes acquired in the exchange offer.</w:t>
      </w:r>
    </w:p>
    <w:p>
      <w:pPr>
        <w:spacing w:after="0" w:line="17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7"/>
          <w:szCs w:val="17"/>
          <w:b w:val="1"/>
          <w:bCs w:val="1"/>
          <w:color w:val="auto"/>
        </w:rPr>
        <w:t>Neither we nor our board of directors make any recommendation to holders of the Restricted Notes as to whether to tender or refrain from tendering all or any portion of their Restricted Notes pursuant to the exchange offer. Moreover, no one has been authorized to make any such recommendation. Holders of the Restricted Notes must make their own decision whether to tender pursuant to the exchange offer and, if so, the aggregate amount of the Restricted Notes to tender, after reading this prospectus and the letter of transmittal and consulting with their advisors, if any, based on their own financial position and requirements.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It does not restate that agreement in its entirety. We urge you to read the indenture because it contains additional information that may be of importance to you. A copy of the indenture is available upon request to Viatris at the address indicated under the section entitled “Incorporation by Reference.” The indenture contains provisions that define your rights under the applicable series of Exchange Notes. In addition, the indenture governs the obligations of each of the Guarantors (as defined below) under the Exchange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You can find the definitions of certain terms used in this description under the caption “—Certain Definitions.” Capitalized terms used in this description but not defined below under the caption “—Certain Definitions” or elsewhere in this description have the meanings assigned to them in the indenture. In this description, the “</w:t>
      </w:r>
      <w:r>
        <w:rPr>
          <w:rFonts w:ascii="Arial" w:cs="Arial" w:eastAsia="Arial" w:hAnsi="Arial"/>
          <w:sz w:val="17"/>
          <w:szCs w:val="17"/>
          <w:i w:val="1"/>
          <w:iCs w:val="1"/>
          <w:color w:val="auto"/>
        </w:rPr>
        <w:t>Company</w:t>
      </w:r>
      <w:r>
        <w:rPr>
          <w:rFonts w:ascii="Arial" w:cs="Arial" w:eastAsia="Arial" w:hAnsi="Arial"/>
          <w:sz w:val="17"/>
          <w:szCs w:val="17"/>
          <w:color w:val="auto"/>
        </w:rPr>
        <w:t>” refers only to Viatris Inc., a Delaware corporation, and not any of its Subsidiaries.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22, 2020, the Company completed a private offering of $1,000,000,000 in aggregate principal amount of 1.125% Senior Notes due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“2022 Restricted Notes”</w:t>
      </w:r>
      <w:r>
        <w:rPr>
          <w:rFonts w:ascii="Arial" w:cs="Arial" w:eastAsia="Arial" w:hAnsi="Arial"/>
          <w:sz w:val="17"/>
          <w:szCs w:val="17"/>
          <w:color w:val="auto"/>
        </w:rPr>
        <w:t xml:space="preserve">), $750,000,000 in aggregate principal amount of 1.650% Senior Notes due 2025 (the </w:t>
      </w:r>
      <w:r>
        <w:rPr>
          <w:rFonts w:ascii="Arial" w:cs="Arial" w:eastAsia="Arial" w:hAnsi="Arial"/>
          <w:sz w:val="17"/>
          <w:szCs w:val="17"/>
          <w:i w:val="1"/>
          <w:iCs w:val="1"/>
          <w:color w:val="auto"/>
        </w:rPr>
        <w:t>“2025 Restricted Notes”</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$750,000,000 in aggregate principal amount of 2.300% Senior Notes due 2027 (the </w:t>
      </w:r>
      <w:r>
        <w:rPr>
          <w:rFonts w:ascii="Arial" w:cs="Arial" w:eastAsia="Arial" w:hAnsi="Arial"/>
          <w:sz w:val="16"/>
          <w:szCs w:val="16"/>
          <w:i w:val="1"/>
          <w:iCs w:val="1"/>
          <w:color w:val="auto"/>
        </w:rPr>
        <w:t>“2027 Restricted Notes”</w:t>
      </w:r>
      <w:r>
        <w:rPr>
          <w:rFonts w:ascii="Arial" w:cs="Arial" w:eastAsia="Arial" w:hAnsi="Arial"/>
          <w:sz w:val="16"/>
          <w:szCs w:val="16"/>
          <w:color w:val="auto"/>
        </w:rPr>
        <w:t>), $1,450,000,000 in aggregate principal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amount of 2.700% Senior Notes due 2030 (the </w:t>
      </w:r>
      <w:r>
        <w:rPr>
          <w:rFonts w:ascii="Arial" w:cs="Arial" w:eastAsia="Arial" w:hAnsi="Arial"/>
          <w:sz w:val="16"/>
          <w:szCs w:val="16"/>
          <w:i w:val="1"/>
          <w:iCs w:val="1"/>
          <w:color w:val="auto"/>
        </w:rPr>
        <w:t>“2030 Restricted Notes”</w:t>
      </w:r>
      <w:r>
        <w:rPr>
          <w:rFonts w:ascii="Arial" w:cs="Arial" w:eastAsia="Arial" w:hAnsi="Arial"/>
          <w:sz w:val="16"/>
          <w:szCs w:val="16"/>
          <w:color w:val="auto"/>
        </w:rPr>
        <w:t>), $1,500,000,000 in aggregate principal amount of 3.850% Senior Notes due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2040 (the </w:t>
      </w:r>
      <w:r>
        <w:rPr>
          <w:rFonts w:ascii="Arial" w:cs="Arial" w:eastAsia="Arial" w:hAnsi="Arial"/>
          <w:sz w:val="16"/>
          <w:szCs w:val="16"/>
          <w:i w:val="1"/>
          <w:iCs w:val="1"/>
          <w:color w:val="auto"/>
        </w:rPr>
        <w:t>“2040 Restricted Notes”</w:t>
      </w:r>
      <w:r>
        <w:rPr>
          <w:rFonts w:ascii="Arial" w:cs="Arial" w:eastAsia="Arial" w:hAnsi="Arial"/>
          <w:sz w:val="16"/>
          <w:szCs w:val="16"/>
          <w:color w:val="auto"/>
        </w:rPr>
        <w:t xml:space="preserve">) and $2,000,000,000 in aggregate principal amount of 4.000% Senior Notes due 2050 (the </w:t>
      </w:r>
      <w:r>
        <w:rPr>
          <w:rFonts w:ascii="Arial" w:cs="Arial" w:eastAsia="Arial" w:hAnsi="Arial"/>
          <w:sz w:val="16"/>
          <w:szCs w:val="16"/>
          <w:i w:val="1"/>
          <w:iCs w:val="1"/>
          <w:color w:val="auto"/>
        </w:rPr>
        <w:t>“2050 Restricted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together with the 2022 Restricted Notes, the 2025 Restricted Notes, the 2027 Restricted Notes, the 2030 Restricted Notes and the 2040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Notes, the </w:t>
      </w:r>
      <w:r>
        <w:rPr>
          <w:rFonts w:ascii="Arial" w:cs="Arial" w:eastAsia="Arial" w:hAnsi="Arial"/>
          <w:sz w:val="16"/>
          <w:szCs w:val="16"/>
          <w:i w:val="1"/>
          <w:iCs w:val="1"/>
          <w:color w:val="auto"/>
        </w:rPr>
        <w:t>“Restricted Notes”</w:t>
      </w:r>
      <w:r>
        <w:rPr>
          <w:rFonts w:ascii="Arial" w:cs="Arial" w:eastAsia="Arial" w:hAnsi="Arial"/>
          <w:sz w:val="16"/>
          <w:szCs w:val="16"/>
          <w:color w:val="auto"/>
        </w:rPr>
        <w:t>). As part of that offering, the Company entered into a registration rights agreement with the representatives of the initial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purchasers of those Restricted Notes, pursuant to which the Company agreed, among other things, to complete an offer to exchange such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for new notes registered under the Securities Act, with terms substantially identical to the terms of the Restricted Notes. The new notes will be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2022 Exchange Notes, the 2025 Exchange Notes, the 2027 Exchange Notes, the 2030 Exchange Notes, the 2040 Exchange Notes and the 2050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Exchange Notes, which we collectively refer to as the “</w:t>
      </w:r>
      <w:r>
        <w:rPr>
          <w:rFonts w:ascii="Arial" w:cs="Arial" w:eastAsia="Arial" w:hAnsi="Arial"/>
          <w:sz w:val="16"/>
          <w:szCs w:val="16"/>
          <w:i w:val="1"/>
          <w:iCs w:val="1"/>
          <w:color w:val="auto"/>
        </w:rPr>
        <w:t>Exchange Notes</w:t>
      </w:r>
      <w:r>
        <w:rPr>
          <w:rFonts w:ascii="Arial" w:cs="Arial" w:eastAsia="Arial" w:hAnsi="Arial"/>
          <w:sz w:val="16"/>
          <w:szCs w:val="16"/>
          <w:color w:val="auto"/>
        </w:rPr>
        <w:t>” or the “</w:t>
      </w:r>
      <w:r>
        <w:rPr>
          <w:rFonts w:ascii="Arial" w:cs="Arial" w:eastAsia="Arial" w:hAnsi="Arial"/>
          <w:sz w:val="16"/>
          <w:szCs w:val="16"/>
          <w:i w:val="1"/>
          <w:iCs w:val="1"/>
          <w:color w:val="auto"/>
        </w:rPr>
        <w:t>notes.</w:t>
      </w:r>
      <w:r>
        <w:rPr>
          <w:rFonts w:ascii="Arial" w:cs="Arial" w:eastAsia="Arial" w:hAnsi="Arial"/>
          <w:sz w:val="16"/>
          <w:szCs w:val="16"/>
          <w:color w:val="auto"/>
        </w:rPr>
        <w:t>” Each of the 2022 Exchange Notes, the 2025 Exchange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2027 Exchange Notes, the 2030 Exchange Notes, the 2040 Exchange Notes and the 2050 Exchange Notes are hereinafter sometimes referred to as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of notes.</w:t>
      </w:r>
    </w:p>
    <w:p>
      <w:pPr>
        <w:spacing w:after="0" w:line="21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Exchange Notes will be issued under the indenture, dated as of June 22, 2020, between the Company and The Bank of New York Mellon, as trustee (the “</w:t>
      </w:r>
      <w:r>
        <w:rPr>
          <w:rFonts w:ascii="Arial" w:cs="Arial" w:eastAsia="Arial" w:hAnsi="Arial"/>
          <w:sz w:val="17"/>
          <w:szCs w:val="17"/>
          <w:i w:val="1"/>
          <w:iCs w:val="1"/>
          <w:color w:val="auto"/>
        </w:rPr>
        <w:t>Trustee</w:t>
      </w:r>
      <w:r>
        <w:rPr>
          <w:rFonts w:ascii="Arial" w:cs="Arial" w:eastAsia="Arial" w:hAnsi="Arial"/>
          <w:sz w:val="17"/>
          <w:szCs w:val="17"/>
          <w:color w:val="auto"/>
        </w:rPr>
        <w:t>”), as amended and supplemented from time to time, including by the first supplemental indenture, dated as of November 16, 2020, among the Company, Utah Acquisition Sub Inc., Mylan II B.V., Mylan Inc. and the Trustee (the “</w:t>
      </w:r>
      <w:r>
        <w:rPr>
          <w:rFonts w:ascii="Arial" w:cs="Arial" w:eastAsia="Arial" w:hAnsi="Arial"/>
          <w:sz w:val="17"/>
          <w:szCs w:val="17"/>
          <w:i w:val="1"/>
          <w:iCs w:val="1"/>
          <w:color w:val="auto"/>
        </w:rPr>
        <w:t>indenture</w:t>
      </w:r>
      <w:r>
        <w:rPr>
          <w:rFonts w:ascii="Arial" w:cs="Arial" w:eastAsia="Arial" w:hAnsi="Arial"/>
          <w:sz w:val="17"/>
          <w:szCs w:val="17"/>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2022 Restricted Notes were initially issued in an aggregate principal amount of $1,000,000,000. The 2025 Restricted Notes were initially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issued in an aggregate principal amount of $750,000,000. The 2027 Restricted Notes were initially issued in an aggregate principal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$750,000,000. The 2030 Restricted Notes were initially issued in an aggregate principal amount of $1,450,000,000. The 2040 Restricted Notes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initially issued in an aggregate principal amount of $1,500,000,000. The 2050 Restricted Notes were initially issued in an aggregate principal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$2,000,000,000.</w:t>
      </w:r>
    </w:p>
    <w:p>
      <w:pPr>
        <w:spacing w:after="0" w:line="21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2022 Exchange Notes will initially be issued in an aggregate principal amount of up to $1,000,000,000. The 2025 Exchange Notes will initially be issued in an aggregate principal amount of up to $750,000,000. The 2027 Exchange Notes will initially be issued in an aggregate principal amount of up to $750,000,000. The 2030 Exchange Notes will initially be issued in an aggregate principal amount of up to $1,450,000,000. The 2040 Exchange Notes will initially be issued in an aggregate principal amount of up to $1,500,000,000. The 2050 Exchange Notes will initially be issued in an aggregate principal amount of $2,000,000,000.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 xml:space="preserve">For each series of notes, the Company may issue additional notes of that series in an unlimited aggregate principal amount at any time and from time to time under the same indenture. These additional notes of any series will have substantially the same terms as the notes of such series offered hereby in all respects so that the additional notes of such series may be consolidated and form a single series with the other outstanding notes of such series and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have the same CUSIP, ISIN or other identifying number as the outstanding notes of a series must be fungible with the outstanding notes of that series for U.S. federal income tax purposes.</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will issue the Exchange Notes only in fully registered form, without coupons, in denominations of $2,000 and integral multiples of $1,000 in excess thereof. The Trustee will initially act as paying agent and registrar for the Exchange Notes. The Exchange Notes may be presented for registration of transfer and exchange at the offices of the registrar, which initially will be the Trustee’s corporate trust office, which office, as of the date of this prospectus, is located at 500 Ross Street, 6th Floor—Suite 685, Pittsburgh, Pennsylvania 15262, Attention: Corporate Trust Administration. The Company may change any paying agent or registrar without notice to holders of the Exchange Notes, and the Company may act as paying agent or registrar.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Exchange Notes will not be subject to a sinking fund provision.</w:t>
      </w:r>
    </w:p>
    <w:p>
      <w:pPr>
        <w:spacing w:after="0" w:line="22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Any Restricted Notes of a series that remain outstanding after the completion of the exchange offer, together with the corresponding Exchange Notes of such series issued in connection with the exchange offer, will be treated as a single class of securities under the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Notes Versus Restricted Notes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terms of the Exchange Notes are identical in all material respects to those of the outstanding Restricted Notes, except that the Exchange Notes are registered under the Securities Act, and the transfer restrictions, registration rights and additional interest provisions relating to the Restricted Notes do not apply to the Exchange Notes. The Exchange Notes of a given series will evidence the same debt as the Restricted Notes of such series and will be issued under the same indenture and be entitled to the same benefits under the indenture as the Restricted Notes being exchanged. In addition, the Exchange Notes bear different CUSIP numbers than the corresponding series of Restricted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2022 Exchange Notes will mature on June 22, 2022. The 2025 Exchange Notes will mature on June 22, 2025. The 2027 Exchange Notes will mature on June 22, 2027. The 2030 Exchange Notes will mature on June 22, 2030. The 2040 Exchange Notes will mature on June 22, 2040. The 2050 Exchange Notes will mature on June 22, 2050.</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2022 Exchange Notes will bear interest at a rate of 1.125% per annum. The 2025 Exchange Notes will bear interest at a rate of 1.650% per annum. The 2027 Exchange Notes will bear interest at a rate of 2.300% per annum. The 2030 Exchange Notes will bear interest at a rate of 2.700% per annum. The 2040 Exchange Notes will bear interest at a rate of 3.850% per annum. The 2050 Exchange Notes will bear interest at a rate of 4.000% per annum.</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Interest on the Exchange Notes of each series will be payable semi-annually in arrears on June 22 and December 22, commencing on December 22, 2021, and will be computed on the basis of a 360-day year of twelve 30-day months. Interest on the Exchange Notes of each series will accrue from the most recent date to which interest on the corresponding series of Restricted Notes has been paid. The Company will pay interest to those persons who were holders of record of the applicable series of Exchange Notes on the June 7 and December 7, as the case may be, immediately preceding each interest payment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Restricted Notes accepted for exchange will cease to accrue interest from and after the date of consummation of the exchange offer. Holders of Restricted Notes whose Restricted Notes are accepted for exchange will not receive any payment in respect of accrued interest on such Restricted Notes otherwise payable on any interest payment date the record date for which occurs on or after the consummation of the exchange offer.</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any interest payment date for the notes falls on a day that is not a Business Day, then payment of interest may be made on the next succeeding Business Day and no interest will accrue because of such delayed payment. Additional interest may accrue on the notes in certain circumstances pursuant to the registration rights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Payments on the notes will be made by wire transfer of immediately available funds to the accounts specified by the holders of the notes issued in definitive form, in the case of a holder holding an aggregate principal amount of notes of any series of $1,000,000 or more, or, if no such account is specified or in the case of a holder holding an aggregate principal amount of notes of any series of less than $1,000,000,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payments of principal, premium, if any, and interest with respect to notes represented by one or more global notes registered in the name of or held by The Depository Trust Company or its nominee will be made by wire transfer of immediately available funds to the accounts specified by the holder or holders thereof.</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of each series will be senior unsecured Indebtedness of the Company and will:</w:t>
      </w:r>
    </w:p>
    <w:p>
      <w:pPr>
        <w:spacing w:after="0" w:line="131" w:lineRule="exact"/>
        <w:rPr>
          <w:sz w:val="20"/>
          <w:szCs w:val="20"/>
          <w:color w:val="auto"/>
        </w:rPr>
      </w:pPr>
    </w:p>
    <w:p>
      <w:pPr>
        <w:ind w:left="1080" w:right="4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Company’s existing and future senior unsecured Indebtedness that is not expressly subordinated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rank senior in right of payment to all of the Company’s existing and future Indebtedness that is expressly subordinated to the notes;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effectively subordinated to all of the Company’s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structurally subordinated to all of the existing and future liabilities, including trade payables, of the existing and future Subsidiaries of the Company that are not Guarantors.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be senior unsecured Indebtedness of each Guarantor and will:</w:t>
      </w:r>
    </w:p>
    <w:p>
      <w:pPr>
        <w:spacing w:after="0" w:line="131" w:lineRule="exact"/>
        <w:rPr>
          <w:sz w:val="20"/>
          <w:szCs w:val="20"/>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such Guarantor’s existing and future senior unsecured Indebtedness that is not expressly subordinated to such Guarantor’s Guarantee of the Company’s Indenture Obligations;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rank senior in right of payment to all existing and future Indebtedness of such Guarantor that is expressly subordinated to such Guarantor’s Guarantee of the Company’s Indenture Obligations;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effectively subordinated to such Guarantor’s existing and future secured Indebtedness to the extent of the value of the collateral securing such Indebtedness;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structurally subordinated to all of the existing and future liabilities, including trade payables, of the existing and future Subsidiaries of such Guarantor (other than the Company) that are not Guarantors.</w:t>
      </w:r>
    </w:p>
    <w:p>
      <w:pPr>
        <w:spacing w:after="0" w:line="170"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As of June 30, 2021, (i) the amount of senior unsecured indebtedness of the Company and the Guarantors of the notes upon issuance, was approximately $23.8 billion and (ii) the total liabilities of our subsidiaries that will not be Guarantors of the notes upon issuance, including trade payables, was approximately $18.1 billion.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Guarantees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Upon issuance, the notes will be guaranteed by each of Utah Acquisition Sub Inc., Mylan II B.V. and Mylan Inc., fully and unconditionally and on a senior unsecured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 long as any Upjohn Finance B.V. Indebtedness remains outstanding, if Upjohn Finance B.V. acquires and holds any material assets, other than</w:t>
      </w:r>
    </w:p>
    <w:p>
      <w:pPr>
        <w:spacing w:after="0" w:line="46" w:lineRule="exact"/>
        <w:rPr>
          <w:sz w:val="20"/>
          <w:szCs w:val="20"/>
          <w:color w:val="auto"/>
        </w:rPr>
      </w:pPr>
    </w:p>
    <w:p>
      <w:pPr>
        <w:ind w:left="120" w:right="120" w:hanging="4"/>
        <w:spacing w:after="0" w:line="252"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intercompany notes or receivables or (ii) any proceeds from any Indebtedness issued by Upjohn Finance B.V., within 10 Business Days of such event, the Company shall cause Upjohn Finance B.V. to enter into a supplemental indenture pursuant to which Upjohn Finance B.V.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Upjohn Finance B.V.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4" w:lineRule="exact"/>
        <w:rPr>
          <w:sz w:val="20"/>
          <w:szCs w:val="20"/>
          <w:color w:val="auto"/>
        </w:rPr>
      </w:pPr>
    </w:p>
    <w:p>
      <w:pPr>
        <w:ind w:left="120" w:right="360" w:firstLine="440"/>
        <w:spacing w:after="0" w:line="293" w:lineRule="auto"/>
        <w:rPr>
          <w:sz w:val="20"/>
          <w:szCs w:val="20"/>
          <w:color w:val="auto"/>
        </w:rPr>
      </w:pPr>
      <w:r>
        <w:rPr>
          <w:rFonts w:ascii="Arial" w:cs="Arial" w:eastAsia="Arial" w:hAnsi="Arial"/>
          <w:sz w:val="16"/>
          <w:szCs w:val="16"/>
          <w:color w:val="auto"/>
        </w:rPr>
        <w:t xml:space="preserve">In addition, if any Subsidiary of the Company that is not a Guarantor of the notes (other than Upjohn Finance B.V.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unsecured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Guarantee will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See “Risk Factors—Risks Related to the Exchange Offer and the Exchange Notes—Under certain circumstances, a court could cancel the Exchange Notes and guarantees under fraudulent conveyance laws.”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Notwithstanding the foregoing, the Guarantee by any Guarantor will be automatically and unconditionally terminated and released, without any action on the part of the Trustee, any holder of the notes or any other person:</w:t>
      </w:r>
    </w:p>
    <w:p>
      <w:pPr>
        <w:spacing w:after="0" w:line="76" w:lineRule="exact"/>
        <w:rPr>
          <w:sz w:val="20"/>
          <w:szCs w:val="20"/>
          <w:color w:val="auto"/>
        </w:rPr>
      </w:pPr>
    </w:p>
    <w:p>
      <w:pPr>
        <w:ind w:left="1080" w:right="4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a sale or disposition of such Guarantor in a transaction that complies with the indenture such that such Guarantor ceases to be a Subsidiary of the Company;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any series of notes, if the Company exercises its Legal Defeasance option or its Covenant Defeasance option with respect to such series of notes as described below under the caption “—Defeasance” or if the Company’s obligations under the indenture are discharged with respect to such series of notes in accordance with the terms of the indenture;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in the case of any Guarantee by Upjohn Finance B.V., upon Upjohn Finance B.V. no longer holding any material assets, other than</w:t>
      </w:r>
    </w:p>
    <w:p>
      <w:pPr>
        <w:spacing w:after="0" w:line="46" w:lineRule="exact"/>
        <w:rPr>
          <w:rFonts w:ascii="Arial" w:cs="Arial" w:eastAsia="Arial" w:hAnsi="Arial"/>
          <w:sz w:val="16"/>
          <w:szCs w:val="16"/>
          <w:color w:val="auto"/>
        </w:rPr>
      </w:pPr>
    </w:p>
    <w:p>
      <w:pPr>
        <w:jc w:val="both"/>
        <w:ind w:left="1080" w:right="40" w:firstLine="8"/>
        <w:spacing w:after="0" w:line="281"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intercompany notes or receivables or (ii) any proceeds from any Indebtedness issued by Upjohn Finance B.V. and (b) in the case of any Guarantee by any Guarantor other than Upjohn Finance B.V., upon such Guarantor no longer being an issuer or guarantor in respect of</w:t>
      </w:r>
    </w:p>
    <w:p>
      <w:pPr>
        <w:spacing w:after="0" w:line="1" w:lineRule="exact"/>
        <w:rPr>
          <w:rFonts w:ascii="Arial" w:cs="Arial" w:eastAsia="Arial" w:hAnsi="Arial"/>
          <w:sz w:val="16"/>
          <w:szCs w:val="16"/>
          <w:color w:val="auto"/>
        </w:rPr>
      </w:pPr>
    </w:p>
    <w:p>
      <w:pPr>
        <w:ind w:left="1080" w:right="400" w:firstLine="8"/>
        <w:spacing w:after="0" w:line="260" w:lineRule="auto"/>
        <w:tabs>
          <w:tab w:leader="none" w:pos="12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Mylan Notes that have an aggregate principal amount in excess of $500.0 million or (ii) any Triggering Indebtedness, in each case, other than in respect of Indebtedness or guarantees, as applicable, that are being concurrently released;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2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any series of notes, upon receipt of the consent of the holders of a majority of the aggregate principal amount of the outstanding notes of such series in accordance with the provisions described below under the caption “—Modification and Waiver.”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2022 Exchange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any time and from time to time, the Company may redeem some or all of the 2022 Exchange Notes, upon not less than 10 nor more than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60 days’ prior written notice, at a price equal to the greater of:</w:t>
      </w:r>
    </w:p>
    <w:p>
      <w:pPr>
        <w:spacing w:after="0" w:line="11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 of the aggregate principal amount of the 2022 Exchange Notes being redeemed, and</w:t>
      </w:r>
    </w:p>
    <w:p>
      <w:pPr>
        <w:spacing w:after="0" w:line="130"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sum of the present values, as calculated by the Company, of the remaining scheduled payments of principal and interest on the 2022 Exchange Notes being redeemed, not including accrued and unpaid interest thereon, if any, to, but excluding, the redemption date, discounted to the redemption date on a semi-annual basis (assuming a 360-day year consisting of twelve 30-day months) at the Treasury Rate plus 15 basis points,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plus, in each case,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Optional Redemption for the 2025 Exchange Notes, the 2027 Exchange Notes, the 2030 Exchange Notes, the 2040 Exchange Notes and the 2050 Exchange Notes</w:t>
      </w:r>
    </w:p>
    <w:p>
      <w:pPr>
        <w:spacing w:after="0" w:line="6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At any time and from time to time prior to the Applicable Par Call Date for the notes of the applicable series, the Company may redeem some or all of the 2025 Exchange Notes, the 2027 Exchange Notes, the 2030 Exchange Notes, the 2040 Exchange Notes or the 2050 Exchange Notes, upon not less than 10 nor more than 60 days’ prior written notice, at a price equal to the greater of:</w:t>
      </w:r>
    </w:p>
    <w:p>
      <w:pPr>
        <w:spacing w:after="0" w:line="8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of such series being redeemed, and</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sum of the present values, as calculated by the Company, of the remaining scheduled payments of principal and interest on the notes of such series being redeemed that would be due if the notes of such series matured on the Applicable Par Call Date, not including accrued and unpaid interest thereon, if any, to, but excluding, the redemption date, discounted to the redemption date on a semi-annual basis (assuming a 360-day year consisting of twelve 30-day months) at the Treasury Rate plus,</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2025 Exchange Notes being redeemed, 25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2027 Exchange Notes being redeemed, 30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2030 Exchange Notes being redeemed, 30 basis points,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2040 Exchange Notes being redeemed, 40 basis points,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2050 Exchange Notes being redeemed, 40 basis points,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plus, in each case,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On or after the Applicable Par Call Date for the notes of the applicable series, the 2025 Exchange Notes, the 2027 Exchange Notes, the 2030 Exchange Notes, the 2040 Exchange Notes and the 2050 Exchange Notes will be redeemable in whole at any time or in part, from time to time, at the Company’s option, upon not less than 10 nor more than 60 days’ prior written notice sent to the registered holders of the notes of such series, at a redemption price equal to 100% of the principal amount of the notes of such series to be redeemed plus accrued and unpaid interest thereon, if any, to, but excluding, the redemption date. If the redemption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redemption by the Company.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Applicable Par Call Date</w:t>
      </w:r>
      <w:r>
        <w:rPr>
          <w:rFonts w:ascii="Arial" w:cs="Arial" w:eastAsia="Arial" w:hAnsi="Arial"/>
          <w:sz w:val="18"/>
          <w:szCs w:val="18"/>
          <w:color w:val="auto"/>
        </w:rPr>
        <w:t>” means,</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2025 Exchange Notes, the date that is one month prior to the maturity date for the 2025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2027 Exchange Notes, the date that is two months prior to the maturity date for the 2027 Exchange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 respect to the 2030 Exchange Notes, the date that is three months prior to the maturity date for the 2030 Exchange Notes,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with respect to the 2040 Exchange Notes, the date that is six months prior to the maturity date for the 2040 Exchange Notes,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2050 Exchange Notes, the date that is six months prior to the maturity date for the 2050 Exchange Notes.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notes being redeemed (assuming that such notes matured on the Par Call Date applicable thereto) that would be utilized, at the time of selection and in accordance with customary financial practice, in pricing new issues of corporate debt securities of a comparable maturity to the remaining term of such notes (assuming that such notes matured on the Par Call Date applicable thereto).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w:t>
      </w:r>
    </w:p>
    <w:p>
      <w:pPr>
        <w:spacing w:after="0" w:line="131" w:lineRule="exact"/>
        <w:rPr>
          <w:sz w:val="20"/>
          <w:szCs w:val="20"/>
          <w:color w:val="auto"/>
        </w:rPr>
      </w:pPr>
    </w:p>
    <w:p>
      <w:pPr>
        <w:ind w:left="1080" w:right="26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average of the Reference Treasury Dealer Quotations provided to the Independent Investment Banker from four Reference Treasury Dealers selected by the Company for the redemption date, after excluding the highest and lowest such Reference Treasury Dealer Quotations, or</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Independent Investment Banker obtains fewer than four Reference Treasury Dealer Quotations, the average of all Reference Treasury Dealer Quotations for the redemption date so obtained.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the Company.</w:t>
      </w:r>
    </w:p>
    <w:p>
      <w:pPr>
        <w:spacing w:after="0" w:line="225"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(A) each of Goldman Sachs &amp; Co. LLC, BofA Securities, Inc., Citigroup Global Markets Inc., Morgan Stanley &amp; Co. LLC and Mizuho Securities USA LLC (or their affiliates and their respective successors) to the extent such entity is a primary United States government securities dealer as of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of these Reference Treasury Dealers resigns or shall cease to be a primary United States government securities dealer, then we will substitute another primary United States government securities dealer and (B) any other primary United States government securities dealer selected by the Company.</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a Reference Treasury Dealer and any redemption date, the average, as determined by such Reference Treasury Dealer, of the bid and asked prices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for the Comparable Treasury Issue, expressed in each case as a percentage of its principal amount, quoted in writing to the Company by such Reference Treasury Dealer at approximately 3:30 p.m., New York City time, on the third Business Day preceding such redemption date.</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of a series called for redemption on the applicable redemption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If the Company elects to redeem less than all of the notes of any series at any time, in the case of notes issued in definitive form, the Trustee will select notes of such series by lot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in the case of notes issued in global form as described below under the caption “Book-Entry, Delivery and Form,” the notes will be selected in accordance with the applicable procedures of the relevant depositary) unless an alternative method of selection is otherwise required by law or applicable stock exchange or depositary requirements.</w:t>
      </w:r>
    </w:p>
    <w:p>
      <w:pPr>
        <w:spacing w:after="0" w:line="17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will redeem notes of $2,000 or less in whole and not in part. The Company will cause notices of redemption to be sent to the Trustee at least 10 but not more than 60 days before the redemption date, and the Trustee will then promptly forward such notice by first-class mail (or otherwise delivered in accordance with the procedures of the depositary) to each holder of notes to be redeemed at its registered address. The Company may provide in the notice that payment of the redemption price and performance of the Company’s obligations with respect to the redemption or purchase may be performed by another person. Any notice may, at the Company’s discretion, be subject to the satisfaction of one or more conditions precedent.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series of notes is to be redeemed in part only, the notice of redemption that relates to that series of notes will state the portion of the principal amount thereof that is to be redeemed. The Company will issue a new note of the applicable series in a principal amount equal to the unredeemed portion of the original note in the name of the holder upon cancellation of the original note. Notes called for redemption become due on the date fixed for redemption. Unless the Company defaults in the payment of the redemption price, interest will cease to accrue on the notes of a series or portions thereof called for redemption on the applicable redemption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Notes upon a Change of Control Repurchase Event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 Change of Control Repurchase Event occurs with respect to a series of notes, each holder of notes of such series will have the right to require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the Company purchase all or any part (in denominations of $2,000 and integral multiples of $1,000 in excess thereof) of such holder’s notes of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pursuant to a Change of Control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on the terms set forth in the indenture. In the Change of Control Offer,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will offer to purchase all of the notes of such series at a purchase price (the “</w:t>
      </w:r>
      <w:r>
        <w:rPr>
          <w:rFonts w:ascii="Arial" w:cs="Arial" w:eastAsia="Arial" w:hAnsi="Arial"/>
          <w:sz w:val="16"/>
          <w:szCs w:val="16"/>
          <w:i w:val="1"/>
          <w:iCs w:val="1"/>
          <w:color w:val="auto"/>
        </w:rPr>
        <w:t>Change of Control Purchase Price</w:t>
      </w:r>
      <w:r>
        <w:rPr>
          <w:rFonts w:ascii="Arial" w:cs="Arial" w:eastAsia="Arial" w:hAnsi="Arial"/>
          <w:sz w:val="16"/>
          <w:szCs w:val="16"/>
          <w:color w:val="auto"/>
        </w:rPr>
        <w:t>”) in cash in an amount equal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101% of the principal amount of such series of notes, plus accrued and unpaid interest thereon, if any, to, but excluding, the date of purchase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Purchase Date</w:t>
      </w:r>
      <w:r>
        <w:rPr>
          <w:rFonts w:ascii="Arial" w:cs="Arial" w:eastAsia="Arial" w:hAnsi="Arial"/>
          <w:sz w:val="16"/>
          <w:szCs w:val="16"/>
          <w:color w:val="auto"/>
        </w:rPr>
        <w:t>”). If the Change of Control Purchase Date, however, is on or after a regular record date and on or before the related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payment date, the accrued and unpaid interest thereon, if any, will be paid to the person in whose name the note is registered at the close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on such regular record date, and no additional interest will be payable to holders whose notes are subject to purchase by the Company.</w:t>
      </w:r>
    </w:p>
    <w:p>
      <w:pPr>
        <w:spacing w:after="0" w:line="22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Within 30 days after any Change of Control Repurchase Event with respect to a series of notes or, at the Company’s option, prior to such Change of Control but after it is publicly announced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definitive agreement is in place for such Change of Control), the Company must cause written notice of the Change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Control Repurchase Event to be distributed to the Trustee, and the Trustee will then promptly forward such notice to each holder of notes of such series, by first-class mail, postage prepaid, at its address appearing in the security register or otherwise in accordance with the procedures of the depositary. The notice must state, among other things:</w:t>
      </w:r>
    </w:p>
    <w:p>
      <w:pPr>
        <w:spacing w:after="0" w:line="89"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that a Change of Control Repurchase Event has occurred or may occur with respect to such series of notes and the date of such event;</w:t>
      </w:r>
    </w:p>
    <w:p>
      <w:pPr>
        <w:spacing w:after="0" w:line="153" w:lineRule="exact"/>
        <w:rPr>
          <w:rFonts w:ascii="Arial" w:cs="Arial" w:eastAsia="Arial" w:hAnsi="Arial"/>
          <w:sz w:val="16"/>
          <w:szCs w:val="16"/>
          <w:color w:val="auto"/>
        </w:rPr>
      </w:pPr>
    </w:p>
    <w:p>
      <w:pPr>
        <w:jc w:val="both"/>
        <w:ind w:left="1080" w:right="6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fixed by the Company on a Business Day no earlier than 10 days nor later than 60 days from the date the notice is sent, or such later date as is necessary to comply with requirements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date may not occur prior to the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Purchase Price, any notes accepted for payment pursuant to the Change of Control Offer shall cease to accrue interest after the Change of Control Purchase Date;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procedures that a holder of notes of such series must follow to accept a Change of Control Offer or to withdraw acceptance of the Change of Control Offer.</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Certain of the Guarantors have substantially the same obligations under the indentures governing the Mylan Notes and the Euro Notes (as defined in “Summary—Our Structure”), respectively, and we expect to have substantially the same obligations with respect to other notes we may issue from time to time. If a Change of Control Offer is made, the Company may not have available funds sufficient to pay the Change of Control Purchase Price for all of the notes that might be delivered by holders of the notes seeking to accept the Change of Control Offer. The Company’s failure to make or consummate the Change of Control Offer or pay the Change of Control Purchase Price when due will give the Trustee and the holders of the notes the rights described under “—Events of Default.”</w:t>
      </w:r>
    </w:p>
    <w:p>
      <w:pPr>
        <w:spacing w:after="0" w:line="19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the agreements governing the Newco Revolving Credit Agreement, the YEN Term Loan Facility, the Accounts Receivable Securitization Facility and the Note Securitization Facility (each, as defined in “Summary—Our Structure”) provide for an event of default upon a Change in Control (as defined in each respective agreement), which obligates the applicable borrower to repay amounts outstanding under such indebtedness upon an acceleration of the indebtedness issued thereunder. If the lenders accelerate the indebtedness outstanding under any such agreement, a default under any such agreement may result in a default under the indenture governing the notes, the indenture governing the Euro Notes, the indentures governing the Mylan Notes and the agreements governing the other indebtedness we incur from time to time. As a result, the Company may not be able to repurchase the notes and the applicable borrower or guarantor may not be able to satisfy its obligations under our other indebtedness following a Change of Control Repurchase Event under the indenture. See “Risk Factors—Risks Related to the Exchange Notes—We may not have the ability to raise the funds necessary to finance the change of control offer required by the indenture governing the Exchange Notes.”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may exercise its optional right to redeem all or a portion of any series of notes, as described above under “—Optional Redemption,” even if a Change of Control Offer is made. The Company will not be required to make a Change of Control Offer upon a Change of Control Repurchase Event or to repurchase the notes of any series pursuant to this covenant if (i) a third party makes the Change of Control Offer in the manner, at the times and otherwise in compliance with the requirements described in the indenture applicable to a Change of Control Offer made by the Company and purchases all notes validly tendered and not withdrawn under such Change of Control Offer or (ii) the Company has exercised the right to redeem all of the notes of such series as described above under the caption “—Optional Redemption.”</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Company’s assets. The phrase “all or substantially all” as used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the definition of “Change of Control” has not been interpreted under New York state law (which is the governing law of the indenture) to represent a specific quantitative test. Therefore, if holders of the notes elected to exercise their rights under the indenture and the Company elected to contest such election, it is not clear how a court interpreting New York state law would interpret such phrase.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existence of a holder’s right to require the Company to repurchase such holder’s notes upon a Change of Control Repurchase Event may deter a third party from acquiring the Company in a transaction which constitutes a Change of Control.</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provisions of the indenture will not afford holders of the notes the right to require the Company to repurchase the notes in the event of a highly leveraged transaction or certain transactions with the Company’s management or Affiliates, including a reorganization, restructuring, merger or similar transaction (including, in certain circumstances, an acquisition of the Company by management or its affiliates) involving the Company that may adversely affect holders of the notes, if such transaction is not a transaction defined as a Change of Control Repurchase Event.</w:t>
      </w:r>
    </w:p>
    <w:p>
      <w:pPr>
        <w:spacing w:after="0" w:line="15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 Company will comply with the applicable tender offer rules, including Rule 14e-1 under the Exchange Act, and any other applicable securities laws or regulations in connection with a Change of Control Offer. To the extent that the provisions of any securities laws or regulations conflict with the provisions of this covenant, the Company will comply with the applicable securities laws and regulations and will not be deemed to have breached its obligations under this covenant by virtue of its compliance with such securities laws or regulations.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contains covenants including, among others, those summarized below.</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Restrictions on Sale Leaseback Transactions</w:t>
      </w:r>
      <w:r>
        <w:rPr>
          <w:rFonts w:ascii="Arial" w:cs="Arial" w:eastAsia="Arial" w:hAnsi="Arial"/>
          <w:sz w:val="18"/>
          <w:szCs w:val="18"/>
          <w:color w:val="auto"/>
        </w:rPr>
        <w:t>. Neither the Company nor any Domestic Subsidiary of the Company will enter into any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with respect to any property unless:</w:t>
      </w:r>
    </w:p>
    <w:p>
      <w:pPr>
        <w:spacing w:after="0" w:line="62" w:lineRule="exact"/>
        <w:rPr>
          <w:sz w:val="20"/>
          <w:szCs w:val="20"/>
          <w:color w:val="auto"/>
        </w:rPr>
      </w:pPr>
    </w:p>
    <w:p>
      <w:pPr>
        <w:ind w:left="560" w:right="540" w:firstLine="419"/>
        <w:spacing w:after="0" w:line="342" w:lineRule="auto"/>
        <w:tabs>
          <w:tab w:leader="none" w:pos="12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or such Domestic Subsidiary would be entitled to create a Lien on such property securing Attributable Debt without equally and ratably securing the notes pursuant to the covenant described below under the caption “—Limitation on Liens”; and</w:t>
      </w:r>
    </w:p>
    <w:p>
      <w:pPr>
        <w:spacing w:after="0" w:line="15" w:lineRule="exact"/>
        <w:rPr>
          <w:rFonts w:ascii="Arial" w:cs="Arial" w:eastAsia="Arial" w:hAnsi="Arial"/>
          <w:sz w:val="16"/>
          <w:szCs w:val="16"/>
          <w:color w:val="auto"/>
        </w:rPr>
      </w:pPr>
    </w:p>
    <w:p>
      <w:pPr>
        <w:ind w:left="560" w:firstLine="419"/>
        <w:spacing w:after="0" w:line="277" w:lineRule="auto"/>
        <w:tabs>
          <w:tab w:leader="none" w:pos="12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gross proceeds received by the Company or any such Domestic Subsidiary in connection with such Sale Leaseback Transaction are at least equal to the Fair Market Value of such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Company or any Domestic Subsidiary of the Company may enter into a Sale Leaseback Transaction if</w:t>
      </w:r>
    </w:p>
    <w:p>
      <w:pPr>
        <w:spacing w:after="0" w:line="35" w:lineRule="exact"/>
        <w:rPr>
          <w:sz w:val="20"/>
          <w:szCs w:val="20"/>
          <w:color w:val="auto"/>
        </w:rPr>
      </w:pPr>
    </w:p>
    <w:p>
      <w:pPr>
        <w:ind w:left="120" w:right="20" w:hanging="4"/>
        <w:spacing w:after="0" w:line="269" w:lineRule="auto"/>
        <w:tabs>
          <w:tab w:leader="none" w:pos="375"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during the twelve months following the effective date of the Sale Leaseback Transaction, the Company or any such Domestic Subsidiary applies an amount equal to the greater of the net proceeds of such sale or transfer and the Fair Market Value of the property that the Company or such Domestic Subsidiary leases in the transaction to (i) the voluntary retirement of the notes or other Indebtedness of the Company or any Domestic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senior to the notes,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below under the caption “—Limitation on Liens.”</w:t>
      </w:r>
    </w:p>
    <w:p>
      <w:pPr>
        <w:spacing w:after="0" w:line="18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Limitation on Liens</w:t>
      </w:r>
      <w:r>
        <w:rPr>
          <w:rFonts w:ascii="Arial" w:cs="Arial" w:eastAsia="Arial" w:hAnsi="Arial"/>
          <w:sz w:val="18"/>
          <w:szCs w:val="18"/>
          <w:color w:val="auto"/>
        </w:rPr>
        <w:t>. The Company will not, and will not permit any Subsidiary of the Company to, directly or indirectly, Incur or permit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Lien (the “</w:t>
      </w:r>
      <w:r>
        <w:rPr>
          <w:rFonts w:ascii="Arial" w:cs="Arial" w:eastAsia="Arial" w:hAnsi="Arial"/>
          <w:sz w:val="18"/>
          <w:szCs w:val="18"/>
          <w:i w:val="1"/>
          <w:iCs w:val="1"/>
          <w:color w:val="auto"/>
        </w:rPr>
        <w:t>Initial Lien</w:t>
      </w:r>
      <w:r>
        <w:rPr>
          <w:rFonts w:ascii="Arial" w:cs="Arial" w:eastAsia="Arial" w:hAnsi="Arial"/>
          <w:sz w:val="18"/>
          <w:szCs w:val="18"/>
          <w:color w:val="auto"/>
        </w:rPr>
        <w:t>”) of any nature whatsoever on any of its properties (including Capital Stock of a Subsidiary of the Company), whether owned on the Issue Date or thereafter acquired, securing any Indebtedness of the Company or a Domestic Subsidiary of the Company, other than Permitted Liens, without effectively providing that the notes shall be secured equally and ratably with (or prior to) such Indebtedness so secured for so long as such Indebtedness is so secured.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Lien created for the benefit of the holders of the notes pursuant to the preceding sentence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Additional Guarantees</w:t>
      </w:r>
      <w:r>
        <w:rPr>
          <w:rFonts w:ascii="Arial" w:cs="Arial" w:eastAsia="Arial" w:hAnsi="Arial"/>
          <w:sz w:val="18"/>
          <w:szCs w:val="18"/>
          <w:color w:val="auto"/>
        </w:rPr>
        <w:t>. So long as any Upjohn Finance B.V. Indebtedness remains outstanding, if Upjohn Finance B.V. acquires and holds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assets, other than (i) any intercompany notes or receivables or (ii) any proceeds from any Indebtedness issued by Upjohn Finance B.V., within 10 Business Days of such event, the Company shall cause Upjohn Finance B.V. to enter into a supplemental indenture pursuant to which Upjohn Finance B.V. shall agree to Guarantee the Company’s Indenture Obligations, fully and unconditionally and on a senior unsecured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Upjohn Finance B.V.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If any Subsidiary of the Company that is not a Guarantor of the Company’s Indenture Obligations (other than Upjohn Finance B.V. or a Receivables Entity) becomes a guarantor or an obligor in respect of any Triggering Indebtedness, within 10 Business Days of such event the Company shall cause such Subsidiary to enter into a supplemental indenture pursuant to which such Subsidiary shall agree to Guarantee the Company’s Indenture Obligations, fully and unconditionally and on a senior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 Subsidiary of the Company be required to provide a Guarantee of the Company’s Indenture Obligations if the Company reasonably determines that such Guarantee is prohibited by, or would be unduly burdensome under, applicable laws or would result in adverse tax consequences to the Company or any of its Subsidiaries.</w:t>
      </w:r>
    </w:p>
    <w:p>
      <w:pPr>
        <w:spacing w:after="0" w:line="16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Each Guarantee will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See “Risk Factors—Risks Related to the Exchange Offer and the Exchange Notes—Under certain circumstances, a court could cancel the Exchange Notes and guarantees under fraudulent conveyance laws.”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Notwithstanding the foregoing, any Guarantee by any Guarantor will be automatically and unconditionally terminated and released, without any action on the part of the Trustee, any holder of the notes or any other person, under the circumstances described under the caption “—Notes Guarantees —Release of Guarantees.”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will not consolidate with any other entity or accept a merger of any other entity into the Company or permit the Company to be merged into another entity, or sell or lease all or substantially all its assets to another entity, unless:</w:t>
      </w:r>
    </w:p>
    <w:p>
      <w:pPr>
        <w:spacing w:after="0" w:line="170" w:lineRule="exact"/>
        <w:rPr>
          <w:sz w:val="20"/>
          <w:szCs w:val="20"/>
          <w:color w:val="auto"/>
        </w:rPr>
      </w:pPr>
    </w:p>
    <w:p>
      <w:pPr>
        <w:ind w:left="120" w:right="160" w:firstLine="436"/>
        <w:spacing w:after="0" w:line="263"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 the Company shall be the continuing entity or the successor, transferee or lessee entity, if other than the Company (the “</w:t>
      </w:r>
      <w:r>
        <w:rPr>
          <w:rFonts w:ascii="Arial" w:cs="Arial" w:eastAsia="Arial" w:hAnsi="Arial"/>
          <w:sz w:val="18"/>
          <w:szCs w:val="18"/>
          <w:i w:val="1"/>
          <w:iCs w:val="1"/>
          <w:color w:val="auto"/>
        </w:rPr>
        <w:t>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shall expressly assume, by a supplemental indenture, executed and delivered to the Trustee, all the obligations of the Company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the indenture;</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after such transaction, no Default shall have occurred and be continuing; and</w:t>
      </w:r>
    </w:p>
    <w:p>
      <w:pPr>
        <w:spacing w:after="0" w:line="225" w:lineRule="exact"/>
        <w:rPr>
          <w:rFonts w:ascii="Arial" w:cs="Arial" w:eastAsia="Arial" w:hAnsi="Arial"/>
          <w:sz w:val="18"/>
          <w:szCs w:val="18"/>
          <w:color w:val="auto"/>
        </w:rPr>
      </w:pPr>
    </w:p>
    <w:p>
      <w:pPr>
        <w:ind w:left="120" w:right="360" w:firstLine="436"/>
        <w:spacing w:after="0" w:line="277" w:lineRule="auto"/>
        <w:tabs>
          <w:tab w:leader="none" w:pos="8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consolidation, merger, sale or lease and such supplemental indenture comply with the indenture.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purposes of this covenant, the sale, lease, conveyance, assignment, transfer or other disposition of all or substantially all of the properties and assets or one or more Subsidiaries of the Company, which properties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146"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Successor Company will be the successor to the Company and shall succeed to, and be substituted for, and may exercise every right and power of, the Company under the indenture, and the Company as the predecessor company, except in the case of a lease, shall be released from all obligations under the indenture and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Notwithstanding that the Company may not be subject to the reporting requirements of Section 13 or 15(d) of the Exchange Act, the Company will file with the Commission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Company will not be required to provide the Trustee with any such information, documents and reports that are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Commission and (b) the Company will not be so obligated to file such information, documents and reports with the Commission if the Commission does not permit such filings;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Commission does not permit such filings, the Company will be required to provide to holders of notes any such information, documents or reports that are not so filed.</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Notwithstanding anything herein to the contrary, in the event that the Company fails to comply with its obligation to file or provide such information, documents and reports as required hereunder, the Company will be deemed to have cured such Default for purposes of clause (4) under “— Events of Default” upon the filing or provision of all such information, documents and reports required hereunder prior to the expiration of 120 days after written notice to the Company of such failure from the Trustee or the holders of at least 25% of the principal amount of the applicable series of notes.</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so long as any of the notes of a series remain outstanding and constitute “restricted securities” under Rule 144 under the Securities Act, the Company agrees that, in order to render such Restricted Notes eligible for resale pursuant to Rule 144A, it will make available, upon request, to any holder of Restricted Notes or prospective purchasers of Restricted Notes, the information specified in Rule 144A(d)(4), unless the Company furnishes such information to the Commission pursuant to Section 13 or 15(d) of the Exchange Act.</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Notwithstanding anything herein to the contrary, the information, documents and reports required pursuant to the indenture may, at the option of the Company, instead be those of any direct or indirect parent entity of the Company so long as such parent entity fully and unconditionally guarantees, by execution of the indenture or a supplemental indenture, the obligations of the Company in respect of the notes and such parent entity and the Company comply with the requirements of Rule 3-10 and Rule 13-01 of Regulation S-X promulgated by the Commission (or any successor provisions).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the notes of any series, an “</w:t>
      </w:r>
      <w:r>
        <w:rPr>
          <w:rFonts w:ascii="Arial" w:cs="Arial" w:eastAsia="Arial" w:hAnsi="Arial"/>
          <w:sz w:val="18"/>
          <w:szCs w:val="18"/>
          <w:i w:val="1"/>
          <w:iCs w:val="1"/>
          <w:color w:val="auto"/>
        </w:rPr>
        <w:t>Event of Default</w:t>
      </w:r>
      <w:r>
        <w:rPr>
          <w:rFonts w:ascii="Arial" w:cs="Arial" w:eastAsia="Arial" w:hAnsi="Arial"/>
          <w:sz w:val="18"/>
          <w:szCs w:val="18"/>
          <w:color w:val="auto"/>
        </w:rPr>
        <w:t>” is defined in the indenture as:</w:t>
      </w:r>
    </w:p>
    <w:p>
      <w:pPr>
        <w:spacing w:after="0" w:line="117" w:lineRule="exact"/>
        <w:rPr>
          <w:sz w:val="20"/>
          <w:szCs w:val="20"/>
          <w:color w:val="auto"/>
        </w:rPr>
      </w:pPr>
    </w:p>
    <w:p>
      <w:pPr>
        <w:ind w:left="1240" w:hanging="26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failure to pay interest on the notes of such series that continues for a period of 30 days after payment is due;</w:t>
      </w:r>
    </w:p>
    <w:p>
      <w:pPr>
        <w:spacing w:after="0" w:line="117" w:lineRule="exact"/>
        <w:rPr>
          <w:rFonts w:ascii="Arial" w:cs="Arial" w:eastAsia="Arial" w:hAnsi="Arial"/>
          <w:sz w:val="18"/>
          <w:szCs w:val="18"/>
          <w:color w:val="auto"/>
        </w:rPr>
      </w:pPr>
    </w:p>
    <w:p>
      <w:pPr>
        <w:ind w:left="560" w:right="640" w:firstLine="419"/>
        <w:spacing w:after="0" w:line="277" w:lineRule="auto"/>
        <w:tabs>
          <w:tab w:leader="none" w:pos="12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failure to pay the principal or premium, if any, on the notes of such series when due upon maturity, redemption, acceleration or otherwise;</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failure to comply with the covenant described above under the caption “—Consolidation, Merger and Sale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19"/>
        <w:spacing w:after="0" w:line="272" w:lineRule="auto"/>
        <w:tabs>
          <w:tab w:leader="none" w:pos="12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failure to comply with (x) any of the Company’s other agreements contained in the indenture and applicable to the notes of such series (other than (i) a failure that is subject to the foregoing clause (1), (2) or (3) or (ii) a failure to comply with the covenant described under the caption “—Reports”) for a period of 60 days after receipt by the Company of written notice of such failure from the Trustee (or receipt by the Company and the Trustee of written notice of such failure from the holders of at least 25% of the principal amount of the applicable series of notes) or (y) the requirements set forth in the covenant described under the caption “—Reports” for a period of 120 days after receipt by the Company of a written notice of such failure from the Trustee (or receipt by the Company and the Trustee of written notice of such failure from the holders of at least 25% of the principal amount of the applicable series of notes);</w:t>
      </w:r>
    </w:p>
    <w:p>
      <w:pPr>
        <w:spacing w:after="0" w:line="69" w:lineRule="exact"/>
        <w:rPr>
          <w:rFonts w:ascii="Arial" w:cs="Arial" w:eastAsia="Arial" w:hAnsi="Arial"/>
          <w:sz w:val="17"/>
          <w:szCs w:val="17"/>
          <w:color w:val="auto"/>
        </w:rPr>
      </w:pPr>
    </w:p>
    <w:p>
      <w:pPr>
        <w:ind w:left="560" w:right="160" w:firstLine="419"/>
        <w:spacing w:after="0" w:line="275" w:lineRule="auto"/>
        <w:tabs>
          <w:tab w:leader="none" w:pos="12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one or more defaults shall have occurred under any of the agreements, indentures or instruments under which the Company or any Significant Subsidiary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8" w:lineRule="exact"/>
        <w:rPr>
          <w:rFonts w:ascii="Arial" w:cs="Arial" w:eastAsia="Arial" w:hAnsi="Arial"/>
          <w:sz w:val="17"/>
          <w:szCs w:val="17"/>
          <w:color w:val="auto"/>
        </w:rPr>
      </w:pPr>
    </w:p>
    <w:p>
      <w:pPr>
        <w:ind w:left="560" w:right="160" w:firstLine="419"/>
        <w:spacing w:after="0" w:line="259" w:lineRule="auto"/>
        <w:tabs>
          <w:tab w:leader="none" w:pos="12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or more judgments or orders that exceed $250.0 million in the aggregate (net of amounts covered by insurance or bonded) for the payment of money have been entered by a court or courts of competent jurisdiction against the Company or any Significant Subsidiary and such judgment or judgments have not been satisfied, stayed, annulled or rescinded within 60 days after such judgment or judgments become final and nonappealable;</w:t>
      </w:r>
    </w:p>
    <w:p>
      <w:pPr>
        <w:spacing w:after="0" w:line="78" w:lineRule="exact"/>
        <w:rPr>
          <w:rFonts w:ascii="Arial" w:cs="Arial" w:eastAsia="Arial" w:hAnsi="Arial"/>
          <w:sz w:val="18"/>
          <w:szCs w:val="18"/>
          <w:color w:val="auto"/>
        </w:rPr>
      </w:pPr>
    </w:p>
    <w:p>
      <w:pPr>
        <w:ind w:left="560" w:right="80" w:firstLine="419"/>
        <w:spacing w:after="0" w:line="257" w:lineRule="auto"/>
        <w:tabs>
          <w:tab w:leader="none" w:pos="123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Guarantee by a Significant Subsidiary of the Company’s Indenture Obligations under such series of notes shall for any reason cease to be, or shall for any reason be held in any judicial proceeding not to be, or asserted in writing by any Significant Subsidiary or the Company not to be, in full force and effect and enforceable in accordance with its terms, except to the extent contemplated by the indenture and any such Guarantee by such Significant Subsidiary of the Company’s Indenture Obligations under such series of notes, and any such Default continues for 10 days; and</w:t>
      </w:r>
    </w:p>
    <w:p>
      <w:pPr>
        <w:spacing w:after="0" w:line="79" w:lineRule="exact"/>
        <w:rPr>
          <w:rFonts w:ascii="Arial" w:cs="Arial" w:eastAsia="Arial" w:hAnsi="Arial"/>
          <w:sz w:val="18"/>
          <w:szCs w:val="18"/>
          <w:color w:val="auto"/>
        </w:rPr>
      </w:pPr>
    </w:p>
    <w:p>
      <w:pPr>
        <w:ind w:left="1240" w:hanging="26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relating to the Company or any of its Significant Subsidiaries.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indenture provides that if there is a continuing Event of Default (other than an Event of Default under clause (8) above with respect to the Company) with respect to any series of notes, either the Trustee or the holders of at least 25% of the outstanding principal amount of the notes of such series may declare the principal amount of all of the notes of such series to be due and payable immediately. However, a notice of Default or notice of continuing Event of Default (including any declaration of acceleration) with respect to the notes of any series may not be given with respect to any action taken, and reported publicly or to holders of the notes of such series, more than two years prior to such notice. In addition, at any time after the Trustee or the holders, as the case may be, declare an acceleration with respect to the notes of such series, but before the applicable person has obtained a judgment or decree based on such acceleration, the holders of a majority in principal amount of the outstanding notes of such series may, under certain conditions, cancel such acceleration if the Company has cured all Events of Default (other than the nonpayment of accelerated principal) with respect to the notes of such series or all such Events of Default have been waived as provided in the indenture. For information as to waiver of defaults, see “— Modification and Waiver.” If an Event of Default specified in clause (8) above with respect to the Company occurs, all outstanding notes shall become due and payable without any further action or notice.</w:t>
      </w:r>
    </w:p>
    <w:p>
      <w:pPr>
        <w:spacing w:after="0" w:line="18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indenture provides that, subject to the duties of the Trustee to act with the required standard of care if it has received written notice of a continuing Event of Default, the Trustee need not exercise any of its rights or powers under the indenture at the request or direction of any of the holders of notes of any series, unless such holders have offered to the Trustee security and/or indemnity to its satisfaction. Subject to such provisions for security and/or indemnification of the Trustee and certain other conditions, the holders of a majority in principal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amount of the outstanding notes of any series will have the right to direct the time, method and place of conducting any proceeding for any remedy available to the Trustee or exercising any trust or power the Trustee holds with respect to the notes of such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holder of any note of a series will have any right to institute any proceeding with respect to the indenture or for any remedy unless:</w:t>
      </w:r>
    </w:p>
    <w:p>
      <w:pPr>
        <w:spacing w:after="0" w:line="142" w:lineRule="exact"/>
        <w:rPr>
          <w:sz w:val="20"/>
          <w:szCs w:val="20"/>
          <w:color w:val="auto"/>
        </w:rPr>
      </w:pPr>
    </w:p>
    <w:p>
      <w:pPr>
        <w:ind w:left="1080" w:right="5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 of such series;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such series have made a written request, and offered reasonable indemnity, to the Trustee to institute such proceeding as Trustee;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of such series a direction that is inconsistent with such request.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 Notwithstanding the foregoing, each holder of a note, and each owner of a beneficial interest in a note, shall be deemed to acknowledge and agree that the release of any Guarantee in accordance with the terms of the indenture shall not impair the right of such holder or owner to receive any payment of the principal of or premium, if any, or interest, if any, on such note, and each such holder and each such owner, by acquiring any interest in a note, thereby consents to any such release and waives any and all claims against the Trustee, the Company and any Guarantor in connection with such release.</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is required to furnish to the Trustee annually a statement as to the absence of certain defaults under the indenture. The indenture provides that the Trustee need not provide holders of the notes notice of any Default (other than the nonpayment of principal or any premium or interest) if it considers it in the interest of the holders of the notes not to provide such notice.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the Guarantors and the Trustee may modify or amend the indenture without the consent of any holder of a note of any series, to:</w:t>
      </w:r>
    </w:p>
    <w:p>
      <w:pPr>
        <w:spacing w:after="0" w:line="154"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cure any ambiguity, defect, mistake or inconsistency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comply with the provisions described above under the caption “—Consolidation, Merger and Sale of Assets” or “—Notes Guarantees,” including to provide for or evidence the release of any Guarantor in accordance with the terms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required by the requirements of the Commission, comply with any requirements of the Commission in connection with the qualification of the indenture under the Trust Indenture Act;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notes of such series or that does not adversely affect in any material respect the legal rights under the indenture of the holders of the notes of such series;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 covenants for the benefit of the holders or to surrender any right or power conferred upon the Company or any current or future Guarantor;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secure any series of notes;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the issuance of additional notes of any series in accordance with the limitations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conform the text of the indenture or the notes to any provision of this “Description of the Exchange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allow any future Guarantor to execute a supplemental indenture and/or Guarantee with respect to the notes of any series.</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Company, the Guarantors and the Trustee may modify or amend the indenture as it applies to a series of the notes with the consent of the holders of a majority of the aggregate principal amount of the outstanding notes of such series affected by the modification or amendment. However, no such modification or amendment may, without the consent of each holder of notes of a series affected thereby:</w:t>
      </w:r>
    </w:p>
    <w:p>
      <w:pPr>
        <w:spacing w:after="0" w:line="7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extend the due date of the principal of, or any installment of principal of or interest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amount payable upon the redemption of any note of such series;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the notes of such series after the due date thereof; or</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such series then outstanding, the consent of whose holders is required for modification or amendment of the indenture, for waiver of compliance with certain provisions of the indenture or for waiver of certain defaults.</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holders of a majority of the principal amount of outstanding notes of a series may waive future compliance with certain restrictive covenants of the indenture applicable to such series of notes. The holders of at least a majority in principal amount of outstanding notes of any series may waive any past default under the indenture with respect to such series, except a failure by the Company to pay the principal of, or any premium or interest on, any notes of such series or a provision that cannot be modified or amended without the consent of the holders of all outstanding notes of such series.</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determining whether the holders of the required principal amount of a series of notes have concurred in any direction, notice, waiver or consent, notes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notes that a responsible officer of the Trustee actually knows are so owned will be so disregarded.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121"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No present, past or future director, member, partner, officer, employee or equityholder of the Company, any Guarantor or any of their respective Subsidiaries will have any liability for any of the Company’s or any Guarantor’s obligations under the notes or the indenture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may, at its option and at any time, elect to have its obligations and the obligations of the Guarantors discharged with respect to the outstanding notes of any series (“</w:t>
      </w:r>
      <w:r>
        <w:rPr>
          <w:rFonts w:ascii="Arial" w:cs="Arial" w:eastAsia="Arial" w:hAnsi="Arial"/>
          <w:sz w:val="18"/>
          <w:szCs w:val="18"/>
          <w:i w:val="1"/>
          <w:iCs w:val="1"/>
          <w:color w:val="auto"/>
        </w:rPr>
        <w:t>Legal Defeasance</w:t>
      </w:r>
      <w:r>
        <w:rPr>
          <w:rFonts w:ascii="Arial" w:cs="Arial" w:eastAsia="Arial" w:hAnsi="Arial"/>
          <w:sz w:val="18"/>
          <w:szCs w:val="18"/>
          <w:color w:val="auto"/>
        </w:rPr>
        <w:t>”). Legal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Defeasance means that the Company and the Guarantors shall be deemed to have paid and discharged the entire indebtedness represented by the notes of such series and the related Guarantees, and the indenture shall cease to be of further effect as to all outstanding notes of such series and the related Guarantees, except as to:</w:t>
      </w:r>
    </w:p>
    <w:p>
      <w:pPr>
        <w:spacing w:after="0" w:line="76" w:lineRule="exact"/>
        <w:rPr>
          <w:sz w:val="20"/>
          <w:szCs w:val="20"/>
          <w:color w:val="auto"/>
        </w:rPr>
      </w:pPr>
    </w:p>
    <w:p>
      <w:pPr>
        <w:ind w:left="560" w:right="20" w:firstLine="419"/>
        <w:spacing w:after="0" w:line="277" w:lineRule="auto"/>
        <w:tabs>
          <w:tab w:leader="none" w:pos="12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of holders of notes of such series issued under the indenture to receive payments in respect of the principal of, premium, if any, and interest on such notes when such payments are due solely out of the trust created pursuant to the indenture;</w:t>
      </w:r>
    </w:p>
    <w:p>
      <w:pPr>
        <w:spacing w:after="0" w:line="62" w:lineRule="exact"/>
        <w:rPr>
          <w:rFonts w:ascii="Arial" w:cs="Arial" w:eastAsia="Arial" w:hAnsi="Arial"/>
          <w:sz w:val="18"/>
          <w:szCs w:val="18"/>
          <w:color w:val="auto"/>
        </w:rPr>
      </w:pPr>
    </w:p>
    <w:p>
      <w:pPr>
        <w:ind w:left="560" w:right="180" w:firstLine="419"/>
        <w:spacing w:after="0" w:line="342" w:lineRule="auto"/>
        <w:tabs>
          <w:tab w:leader="none" w:pos="123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Company’s obligations with respect to the notes of such series concerning issuing temporary notes, registration of notes, mutilated, destroyed, lost or stolen notes, and the maintenance of an office or agency for payment and money for security payments held in trust;</w:t>
      </w:r>
    </w:p>
    <w:p>
      <w:pPr>
        <w:spacing w:after="0" w:line="15" w:lineRule="exact"/>
        <w:rPr>
          <w:rFonts w:ascii="Arial" w:cs="Arial" w:eastAsia="Arial" w:hAnsi="Arial"/>
          <w:sz w:val="16"/>
          <w:szCs w:val="16"/>
          <w:color w:val="auto"/>
        </w:rPr>
      </w:pPr>
    </w:p>
    <w:p>
      <w:pPr>
        <w:ind w:left="1240" w:hanging="261"/>
        <w:spacing w:after="0"/>
        <w:tabs>
          <w:tab w:leader="none" w:pos="1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rights, powers, trust, duties, indemnities, and immunities of the Trustee, and the Company’s obligation in connection therewith; and</w:t>
      </w:r>
    </w:p>
    <w:p>
      <w:pPr>
        <w:spacing w:after="0" w:line="140" w:lineRule="exact"/>
        <w:rPr>
          <w:rFonts w:ascii="Arial" w:cs="Arial" w:eastAsia="Arial" w:hAnsi="Arial"/>
          <w:sz w:val="16"/>
          <w:szCs w:val="16"/>
          <w:color w:val="auto"/>
        </w:rPr>
      </w:pPr>
    </w:p>
    <w:p>
      <w:pPr>
        <w:ind w:left="1240" w:hanging="26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the Company may, at its option and at any time, elect to have its obligations and the obligations of the Guarantors released with respect to most of the covenants under the indenture, including the covenants described under the captions “—Purchase of Exchange Notes upon a Change of Control Repurchase Event,” “—Certain Covenants—Restrictions on Sale Leaseback Transactions,” “—Certain Covenants—Limitation on Liens,” “—Certain Covenants—Additional Guarantees” and “—Reports” with respect to the outstanding notes of any series,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shall not constitute a Default or Event of Default with respect to the notes of such series. In the event Covenant Defeasance occurs, all Events of Default (other than those relating to non-payment, bankruptcy, receivership, rehabilitation and insolvency events pertaining to the Company) no longer apply. The Company may exercise its Legal Defeasance option regardless of whether it previously exercised Covenant Defeasance.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either Legal Defeasance or Covenant Defeasance with respect to the notes of any series:</w:t>
      </w:r>
    </w:p>
    <w:p>
      <w:pPr>
        <w:spacing w:after="0" w:line="117" w:lineRule="exact"/>
        <w:rPr>
          <w:sz w:val="20"/>
          <w:szCs w:val="20"/>
          <w:color w:val="auto"/>
        </w:rPr>
      </w:pPr>
    </w:p>
    <w:p>
      <w:pPr>
        <w:ind w:left="560" w:right="340" w:firstLine="419"/>
        <w:spacing w:after="0" w:line="259"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as trust funds, in trust solely for the benefit of the holders, U.S. legal tender, U.S. Government Obligations or a combination thereof, in such amounts as will be sufficient (without consideration of any reinvestment of interest) in the opinion of a nationally recognized firm of independent public accountants selected by the Company, to pay the principal of, premium, if any, and interest on the notes of such series when due;</w:t>
      </w:r>
    </w:p>
    <w:p>
      <w:pPr>
        <w:spacing w:after="0" w:line="78" w:lineRule="exact"/>
        <w:rPr>
          <w:rFonts w:ascii="Arial" w:cs="Arial" w:eastAsia="Arial" w:hAnsi="Arial"/>
          <w:sz w:val="18"/>
          <w:szCs w:val="18"/>
          <w:color w:val="auto"/>
        </w:rPr>
      </w:pPr>
    </w:p>
    <w:p>
      <w:pPr>
        <w:ind w:left="560" w:right="40" w:firstLine="419"/>
        <w:spacing w:after="0" w:line="255"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to the effect that the beneficial owners of notes of such series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hereof, or the Company having received a ruling from, or published by, the Internal Revenue Service to that effect;</w:t>
      </w:r>
    </w:p>
    <w:p>
      <w:pPr>
        <w:spacing w:after="0" w:line="84" w:lineRule="exact"/>
        <w:rPr>
          <w:rFonts w:ascii="Arial" w:cs="Arial" w:eastAsia="Arial" w:hAnsi="Arial"/>
          <w:sz w:val="18"/>
          <w:szCs w:val="18"/>
          <w:color w:val="auto"/>
        </w:rPr>
      </w:pPr>
    </w:p>
    <w:p>
      <w:pPr>
        <w:ind w:left="560" w:right="320" w:firstLine="419"/>
        <w:spacing w:after="0" w:line="259"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to the effect that the beneficial owners of notes of such series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78" w:lineRule="exact"/>
        <w:rPr>
          <w:rFonts w:ascii="Arial" w:cs="Arial" w:eastAsia="Arial" w:hAnsi="Arial"/>
          <w:sz w:val="18"/>
          <w:szCs w:val="18"/>
          <w:color w:val="auto"/>
        </w:rPr>
      </w:pPr>
    </w:p>
    <w:p>
      <w:pPr>
        <w:ind w:left="560" w:right="220" w:firstLine="419"/>
        <w:spacing w:after="0" w:line="263" w:lineRule="auto"/>
        <w:tabs>
          <w:tab w:leader="none" w:pos="12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Default or Event of Default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60" w:firstLine="419"/>
        <w:spacing w:after="0" w:line="342" w:lineRule="auto"/>
        <w:tabs>
          <w:tab w:leader="none" w:pos="123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1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Notwithstanding the foregoing provisions of this section, the conditions set forth in the foregoing subsections (2), (3), (4) and (5) need not be satisfied so long as, at the time the Company makes the deposit described in subsection (1), (i) no Default under clauses (1), (2) and (8) under “—Events of Default” has occurred and is continuing on the date of such deposit and after giving effect thereto and (ii) either (x) a notice of redemption has been sent providing for redemption of all the notes of such series not more than 60 days after such sending and the requirements for such redemption shall have been complied with or (y) the Stated Maturity of the notes of such series will occur within 60 days. If the conditions in the preceding sentence are satisfied, the Company shall be deemed to have exercised its Covenant Defeasance option.</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funds deposited with the Trustee to effect Covenant Defeasance are insufficient to pay the principal of and interest on the notes of the applicable series when due, then the Company’s obligations and the obligations of the Guarantors under the indenture will be revived with respect to such series and no such defeasance will be deemed to have occurred.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indenture will be discharged and will cease to be of further effect with respect to any series of notes (except as to rights of registration of transfer or exchange of notes and rights to receive principal of and premium, if any, and interest on such notes) as to all outstanding notes of such series issued thereunder when:</w:t>
      </w:r>
    </w:p>
    <w:p>
      <w:pPr>
        <w:spacing w:after="0" w:line="76" w:lineRule="exact"/>
        <w:rPr>
          <w:sz w:val="20"/>
          <w:szCs w:val="20"/>
          <w:color w:val="auto"/>
        </w:rPr>
      </w:pPr>
    </w:p>
    <w:p>
      <w:pPr>
        <w:ind w:left="1240" w:hanging="26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100" w:right="280" w:firstLine="408"/>
        <w:spacing w:after="0" w:line="311" w:lineRule="auto"/>
        <w:tabs>
          <w:tab w:leader="none" w:pos="1796"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the notes of such series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w:t>
      </w:r>
    </w:p>
    <w:p>
      <w:pPr>
        <w:spacing w:after="0" w:line="40" w:lineRule="exact"/>
        <w:rPr>
          <w:rFonts w:ascii="Arial" w:cs="Arial" w:eastAsia="Arial" w:hAnsi="Arial"/>
          <w:sz w:val="16"/>
          <w:szCs w:val="16"/>
          <w:color w:val="auto"/>
        </w:rPr>
      </w:pPr>
    </w:p>
    <w:p>
      <w:pPr>
        <w:ind w:left="1100" w:right="100" w:firstLine="408"/>
        <w:spacing w:after="0" w:line="293" w:lineRule="auto"/>
        <w:tabs>
          <w:tab w:leader="none" w:pos="1786"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notes of such series not delivered to the Trustee for cancellation otherwise (i) have become due and payable, (ii) will become due and payable, or are to be called for redemption, within one year or (iii) have been called for redemption pursuant to the terms of the indenture and, in any case, the Company or any Guarantor has deposited or caused to be deposited with the Trustee as trust funds, in trust solely for the benefit of the holders of such notes, U.S. legal tender, U.S. Government Obligations or a combination thereof, in such amounts as will be sufficient (without consideration of any reinvestment of interest) to pay and discharge the entire Indebtedness (including all principal and accrued interest) on the notes of such series not theretofore delivered to the Trustee for cancellation,</w:t>
      </w:r>
    </w:p>
    <w:p>
      <w:pPr>
        <w:spacing w:after="0" w:line="56" w:lineRule="exact"/>
        <w:rPr>
          <w:rFonts w:ascii="Arial" w:cs="Arial" w:eastAsia="Arial" w:hAnsi="Arial"/>
          <w:sz w:val="16"/>
          <w:szCs w:val="16"/>
          <w:color w:val="auto"/>
        </w:rPr>
      </w:pPr>
    </w:p>
    <w:p>
      <w:pPr>
        <w:ind w:left="1240" w:hanging="26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or any Guarantor has paid all sums payable by it under the indenture, and</w:t>
      </w:r>
    </w:p>
    <w:p>
      <w:pPr>
        <w:spacing w:after="0" w:line="117" w:lineRule="exact"/>
        <w:rPr>
          <w:rFonts w:ascii="Arial" w:cs="Arial" w:eastAsia="Arial" w:hAnsi="Arial"/>
          <w:sz w:val="18"/>
          <w:szCs w:val="18"/>
          <w:color w:val="auto"/>
        </w:rPr>
      </w:pPr>
    </w:p>
    <w:p>
      <w:pPr>
        <w:ind w:left="560" w:right="40" w:firstLine="419"/>
        <w:spacing w:after="0" w:line="277" w:lineRule="auto"/>
        <w:tabs>
          <w:tab w:leader="none" w:pos="12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to apply the deposited money toward the payment of the notes of such series at maturity or on the redemption date, as the case may be.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addition, the Company must deliver to the Trustee an Officer’s Certificate and an Opinion of Counsel stating that all conditions precedent to satisfaction and discharge have been complied 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is making the exchange offer to satisfy its obligations under the registration rights agreement that the Company entered into with the representatives of the initial purchasers of the Restricted Notes on June 22, 2020. The following description of certain material provisions of the registration rights agreement is a summary only. Because this section is a summary, it does not describe every aspect of the registration rights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agreement. This summary is subject to, and qualified in its entirety by reference to, all the provisions of the registration rights agreement, a copy of which is incorporated by reference as an exhibit to the registration statement of which this prospectus forms a part.</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the registration rights agreement, the Company agreed, for the benefit of the holders of the applicable series of Restricted Notes, to use commercially reasonable efforts to file a registration statement (the “</w:t>
      </w:r>
      <w:r>
        <w:rPr>
          <w:rFonts w:ascii="Arial" w:cs="Arial" w:eastAsia="Arial" w:hAnsi="Arial"/>
          <w:sz w:val="18"/>
          <w:szCs w:val="18"/>
          <w:i w:val="1"/>
          <w:iCs w:val="1"/>
          <w:color w:val="auto"/>
        </w:rPr>
        <w:t>Exchange Offer Registration Statement</w:t>
      </w:r>
      <w:r>
        <w:rPr>
          <w:rFonts w:ascii="Arial" w:cs="Arial" w:eastAsia="Arial" w:hAnsi="Arial"/>
          <w:sz w:val="18"/>
          <w:szCs w:val="18"/>
          <w:color w:val="auto"/>
        </w:rPr>
        <w:t>”) with respect to an offer to exchange each series of Restricted Notes for new notes with the same aggregate principal amount and terms identical in all material respects to the applicable series of Restricted Notes (except for the provisions relating to the transfer restrictions and payment of additional interest); to cause the Exchange Offer Registration Statement to be declared effective by the SEC under the Securities Act; and to consummate the exchange offer not later than 365 days after the consummation of the Combination (the “</w:t>
      </w:r>
      <w:r>
        <w:rPr>
          <w:rFonts w:ascii="Arial" w:cs="Arial" w:eastAsia="Arial" w:hAnsi="Arial"/>
          <w:sz w:val="18"/>
          <w:szCs w:val="18"/>
          <w:i w:val="1"/>
          <w:iCs w:val="1"/>
          <w:color w:val="auto"/>
        </w:rPr>
        <w:t>Exchange Date</w:t>
      </w:r>
      <w:r>
        <w:rPr>
          <w:rFonts w:ascii="Arial" w:cs="Arial" w:eastAsia="Arial" w:hAnsi="Arial"/>
          <w:sz w:val="18"/>
          <w:szCs w:val="18"/>
          <w:color w:val="auto"/>
        </w:rPr>
        <w:t>”). Such registration statement may also pertain to one or more other exchange offers unrelated to this notes offering.</w:t>
      </w:r>
    </w:p>
    <w:p>
      <w:pPr>
        <w:spacing w:after="0" w:line="19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the event that the Company and the Guarantors determine that the exchange offer would violate any applicable law or applicable interpretations of the SEC or upon receipt of a written request (a “Shelf Request”) from any initial purchaser of the Restricted Notes representing that it holds Restricted Notes that are or were ineligible to be exchanged in the exchange offer, the Company will, subject to certain conditions, at its own cost, use commercially reasonable efforts to:</w:t>
      </w:r>
    </w:p>
    <w:p>
      <w:pPr>
        <w:spacing w:after="0" w:line="79" w:lineRule="exact"/>
        <w:rPr>
          <w:sz w:val="20"/>
          <w:szCs w:val="20"/>
          <w:color w:val="auto"/>
        </w:rPr>
      </w:pPr>
    </w:p>
    <w:p>
      <w:pPr>
        <w:ind w:left="1240" w:hanging="26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 a shelf registration statement covering resales of the Restricted Notes;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cause such shelf registration statement to be declared effective under the Securities Act; and</w:t>
      </w:r>
    </w:p>
    <w:p>
      <w:pPr>
        <w:spacing w:after="0" w:line="117" w:lineRule="exact"/>
        <w:rPr>
          <w:rFonts w:ascii="Arial" w:cs="Arial" w:eastAsia="Arial" w:hAnsi="Arial"/>
          <w:sz w:val="18"/>
          <w:szCs w:val="18"/>
          <w:color w:val="auto"/>
        </w:rPr>
      </w:pPr>
    </w:p>
    <w:p>
      <w:pPr>
        <w:ind w:left="560" w:right="20" w:firstLine="419"/>
        <w:spacing w:after="0" w:line="290" w:lineRule="auto"/>
        <w:tabs>
          <w:tab w:leader="none" w:pos="1238" w:val="left"/>
        </w:tabs>
        <w:numPr>
          <w:ilvl w:val="0"/>
          <w:numId w:val="61"/>
        </w:numPr>
        <w:rPr>
          <w:rFonts w:ascii="Arial" w:cs="Arial" w:eastAsia="Arial" w:hAnsi="Arial"/>
          <w:sz w:val="16"/>
          <w:szCs w:val="16"/>
          <w:color w:val="auto"/>
        </w:rPr>
      </w:pPr>
      <w:r>
        <w:rPr>
          <w:rFonts w:ascii="Arial" w:cs="Arial" w:eastAsia="Arial" w:hAnsi="Arial"/>
          <w:sz w:val="16"/>
          <w:szCs w:val="16"/>
          <w:color w:val="auto"/>
        </w:rPr>
        <w:t>keep the shelf registration statement continuously effective until the earliest of the date (i) when a registration statement with respect to such Restricted Notes has become effective under the Securities Act and such Restricted Notes have been exchanged or disposed of pursuant to such registration statement, (ii) when such Restricted Notes cease to be outstanding, (iii) except in the case of Restricted Notes that are held by an initial purchaser and that are ineligible to be exchanged in the exchange offer, when the exchange offer is consummated, (iv) when such Restricted Notes are freely tradeable, without restriction, under federal or state securities laws, (v) that is one year after the closing of the Combination and related transactions and (vi) when holders of the Restricted Notes, other than holders that are “affiliates” (as defined in Rule 144) of the Company, are able to sell such Restricted Notes without restriction, and without reliance as to the availability of current public information, pursuant to Rule 144 under the Securities Act (such date, the “Registration Rights Expiration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to any series of Restricted Notes, if</w:t>
      </w:r>
    </w:p>
    <w:p>
      <w:pPr>
        <w:spacing w:after="0" w:line="131" w:lineRule="exact"/>
        <w:rPr>
          <w:sz w:val="20"/>
          <w:szCs w:val="20"/>
          <w:color w:val="auto"/>
        </w:rPr>
      </w:pPr>
    </w:p>
    <w:p>
      <w:pPr>
        <w:ind w:left="1540" w:hanging="439"/>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exchange offer, with respect to such series of notes, is not completed on or prior to the Exchange Date,</w:t>
      </w:r>
    </w:p>
    <w:p>
      <w:pPr>
        <w:spacing w:after="0" w:line="130" w:lineRule="exact"/>
        <w:rPr>
          <w:rFonts w:ascii="Arial" w:cs="Arial" w:eastAsia="Arial" w:hAnsi="Arial"/>
          <w:sz w:val="18"/>
          <w:szCs w:val="18"/>
          <w:color w:val="auto"/>
        </w:rPr>
      </w:pPr>
    </w:p>
    <w:p>
      <w:pPr>
        <w:ind w:left="1540" w:right="160" w:hanging="439"/>
        <w:spacing w:after="0" w:line="263" w:lineRule="auto"/>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shelf registration statement, with respect to such series of notes, if required because the Company and the guarantors determine that the exchange offer would violate any applicable law or applicable interpretations of the SEC, has not become effective on or prior to the Exchange Date,</w:t>
      </w:r>
    </w:p>
    <w:p>
      <w:pPr>
        <w:spacing w:after="0" w:line="89"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Company receives a Shelf Request, the shelf registration statement required to be filed thereby has not become effective by the later of (a) the Exchange Date and (b) 90 days after delivery of such Shelf Request or,</w:t>
      </w:r>
    </w:p>
    <w:p>
      <w:pPr>
        <w:spacing w:after="0" w:line="75" w:lineRule="exact"/>
        <w:rPr>
          <w:rFonts w:ascii="Arial" w:cs="Arial" w:eastAsia="Arial" w:hAnsi="Arial"/>
          <w:sz w:val="18"/>
          <w:szCs w:val="18"/>
          <w:color w:val="auto"/>
        </w:rPr>
      </w:pPr>
    </w:p>
    <w:p>
      <w:pPr>
        <w:ind w:left="1540" w:right="20" w:hanging="439"/>
        <w:spacing w:after="0" w:line="259" w:lineRule="auto"/>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shelf registration statement, if required by the registration rights agreement, has become effective and thereafter ceases to be effective or the prospectus contained therein ceases to be usable, in each case whether or not permitted by the registration rights agreement, at any time prior to the Registration Rights Expiration Date, and such failure to remain effective or usable exists for more than 180 days (whether or not consecutive) in any 12-month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(each such event referred to in clauses (1) through (4), a “Registration Default”), then the interest rate on the Restricted Notes of such series will be increased by (i) 0.25% per annum for the first 90-day period beginning on the day immediately following such Registration Default and (ii) an additional 0.25% per annum with respect to each subsequent 90-day period, in each case until and including the date such Registration Default ends, up to a maximum increase of 0.50% per annum (such interest referred to in clauses (i) and (ii) above, “</w:t>
      </w:r>
      <w:r>
        <w:rPr>
          <w:rFonts w:ascii="Arial" w:cs="Arial" w:eastAsia="Arial" w:hAnsi="Arial"/>
          <w:sz w:val="16"/>
          <w:szCs w:val="16"/>
          <w:i w:val="1"/>
          <w:iCs w:val="1"/>
          <w:color w:val="auto"/>
        </w:rPr>
        <w:t>Additional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no event shall Additional Interest accrue after the Registration Rights Expiration Date, (B) if at any time more than one Registration Default has occurred and is continuing, then, until the next date that there is no Registration Default, the increase in interest rate will apply as if there occurred a single Registration Default that begins on the date that the earliest such Registration Default occurred and ends on such next date that there is no Registration Default, (C) if a holder does not provide the information required in connection with the shelf registration statement in a timely manner and therefore such holder’s notes are not included in any shelf registration, such holder will not be entitled to receive any Additional Interest with respect to its Restricted Notes, and (D) the interest rate increase is the sole remedy for any default under the registration rights agreement.</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Accordingly, the Company and the guarantors will not be required to pay Additional Interest under the registration rights agreement once the notes become freely tradeable under Rule 144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indenture, the Exchange Notes and the Guarantees are governed by, and are construed in accordance with, the laws of the State of New York.</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22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 xml:space="preserve">If the Trustee becomes a creditor of the Company, the indenture limits the right of the Trustee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6"/>
          <w:szCs w:val="16"/>
          <w:i w:val="1"/>
          <w:iCs w:val="1"/>
          <w:color w:val="auto"/>
        </w:rPr>
        <w:t>however</w:t>
      </w:r>
      <w:r>
        <w:rPr>
          <w:rFonts w:ascii="Arial" w:cs="Arial" w:eastAsia="Arial" w:hAnsi="Arial"/>
          <w:sz w:val="16"/>
          <w:szCs w:val="16"/>
          <w:color w:val="auto"/>
        </w:rPr>
        <w:t>, if the Trustee acquires any conflicting interest (as defined in the Trust Indenture Act), it must eliminate such conflict within 90 days or resign.</w:t>
      </w:r>
    </w:p>
    <w:p>
      <w:pPr>
        <w:spacing w:after="0" w:line="14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Except during the continuance of an Event of Default, the Trustee will perform only such duties as are specifically set forth in the indenture. During the continuance of an Event of Default of which a responsible officer of the Trustee at the corporate trust office of the Trustee has received written notice, the Trustee will exercise such of the rights and powers vested in it under the indenture, and use the same degree of care and skill in their exercise, as a prudent person would exercise or use under the circumstances in the conduct of such person’s own affairs.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Enforcement of Court Decision</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Mylan II B.V. is, and future Guarantors may be, organized under the laws of the Netherlands (any such Guarantor, a “</w:t>
      </w:r>
      <w:r>
        <w:rPr>
          <w:rFonts w:ascii="Arial" w:cs="Arial" w:eastAsia="Arial" w:hAnsi="Arial"/>
          <w:sz w:val="17"/>
          <w:szCs w:val="17"/>
          <w:i w:val="1"/>
          <w:iCs w:val="1"/>
          <w:color w:val="auto"/>
        </w:rPr>
        <w:t>Dutch Guarantor</w:t>
      </w:r>
      <w:r>
        <w:rPr>
          <w:rFonts w:ascii="Arial" w:cs="Arial" w:eastAsia="Arial" w:hAnsi="Arial"/>
          <w:sz w:val="17"/>
          <w:szCs w:val="17"/>
          <w:color w:val="auto"/>
        </w:rPr>
        <w:t>”), and 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any Dutch Guarantor,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when used with respect to any specified Person means the power to direct the management and policies of such Person, directly or indirectly, whether through ownership of voting securities, by contract or otherwise; and the terms “</w:t>
      </w:r>
      <w:r>
        <w:rPr>
          <w:rFonts w:ascii="Arial" w:cs="Arial" w:eastAsia="Arial" w:hAnsi="Arial"/>
          <w:sz w:val="17"/>
          <w:szCs w:val="17"/>
          <w:i w:val="1"/>
          <w:iCs w:val="1"/>
          <w:color w:val="auto"/>
        </w:rPr>
        <w:t>controlling</w:t>
      </w:r>
      <w:r>
        <w:rPr>
          <w:rFonts w:ascii="Arial" w:cs="Arial" w:eastAsia="Arial" w:hAnsi="Arial"/>
          <w:sz w:val="17"/>
          <w:szCs w:val="17"/>
          <w:color w:val="auto"/>
        </w:rPr>
        <w:t>” and “</w:t>
      </w:r>
      <w:r>
        <w:rPr>
          <w:rFonts w:ascii="Arial" w:cs="Arial" w:eastAsia="Arial" w:hAnsi="Arial"/>
          <w:sz w:val="17"/>
          <w:szCs w:val="17"/>
          <w:i w:val="1"/>
          <w:iCs w:val="1"/>
          <w:color w:val="auto"/>
        </w:rPr>
        <w:t>controlled</w:t>
      </w:r>
      <w:r>
        <w:rPr>
          <w:rFonts w:ascii="Arial" w:cs="Arial" w:eastAsia="Arial" w:hAnsi="Arial"/>
          <w:sz w:val="17"/>
          <w:szCs w:val="17"/>
          <w:color w:val="auto"/>
        </w:rPr>
        <w:t>”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Leaseback Transaction results in a Capital Lease Obligation, the amount of Indebtedness represented thereby will be determined in accordance with the definition of “Capital Lease Obligations.”</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Receivables Indebtedness</w:t>
      </w:r>
      <w:r>
        <w:rPr>
          <w:rFonts w:ascii="Arial" w:cs="Arial" w:eastAsia="Arial" w:hAnsi="Arial"/>
          <w:sz w:val="18"/>
          <w:szCs w:val="18"/>
          <w:color w:val="auto"/>
        </w:rPr>
        <w:t>” at any time means the principal amount of Indebtedness which (i) if a Qualified Receivables Transaction is structured as a secured lending agreement, would constitute the principal amount of such Indebtedness or (ii) if a Qualified Receivables Transaction is structured as a purchase agreement, would be outstanding at such time under the Qualified Receivables Transaction if the same were structured as a secured lending agreement rather than a purchase agreement.</w:t>
      </w:r>
    </w:p>
    <w:p>
      <w:pPr>
        <w:spacing w:after="0" w:line="18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xml:space="preserve">” means, with respect to the notes of a series, the rating on such series of notes is lowered in respect of a Change of Control and such series of notes is rated below an Investment Grade Rating by each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and shall promptly certify to the Trustee as to whether or not such confirmation has been received or denied.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the Business Combination Agreement, dated as of July 29, 2019, among Pfizer, the Company, Mylan N.V. and certain of their affiliates, as amended on May 29, 2020, and as further, amended, restated or modified from time to time.</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place of payment for a series of notes are authorized or obligated by law or executive order to close.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Lease Obligations</w:t>
      </w:r>
      <w:r>
        <w:rPr>
          <w:rFonts w:ascii="Arial" w:cs="Arial" w:eastAsia="Arial" w:hAnsi="Arial"/>
          <w:sz w:val="17"/>
          <w:szCs w:val="17"/>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at any time shall be the capitalized amount thereof at such time determined in accordance with GAAP.</w:t>
      </w:r>
    </w:p>
    <w:p>
      <w:pPr>
        <w:spacing w:after="0" w:line="17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560" w:right="180" w:firstLine="419"/>
        <w:spacing w:after="0" w:line="301" w:lineRule="auto"/>
        <w:tabs>
          <w:tab w:leader="none" w:pos="123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Wholly-Owned Subsidiary);</w:t>
      </w:r>
    </w:p>
    <w:p>
      <w:pPr>
        <w:spacing w:after="0" w:line="49" w:lineRule="exact"/>
        <w:rPr>
          <w:rFonts w:ascii="Arial" w:cs="Arial" w:eastAsia="Arial" w:hAnsi="Arial"/>
          <w:sz w:val="16"/>
          <w:szCs w:val="16"/>
          <w:color w:val="auto"/>
        </w:rPr>
      </w:pPr>
    </w:p>
    <w:p>
      <w:pPr>
        <w:jc w:val="both"/>
        <w:ind w:left="560" w:firstLine="419"/>
        <w:spacing w:after="0" w:line="259" w:lineRule="auto"/>
        <w:tabs>
          <w:tab w:leader="none" w:pos="12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any Person or sells, assigns, conveys, transfers, leases or otherwise disposes of all or substantially all of its assets to any Person (other than a Wholly-Owned Subsidiary),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spacing w:after="0" w:line="78" w:lineRule="exact"/>
        <w:rPr>
          <w:rFonts w:ascii="Arial" w:cs="Arial" w:eastAsia="Arial" w:hAnsi="Arial"/>
          <w:sz w:val="18"/>
          <w:szCs w:val="18"/>
          <w:color w:val="auto"/>
        </w:rPr>
      </w:pPr>
    </w:p>
    <w:p>
      <w:pPr>
        <w:ind w:left="1800" w:hanging="292"/>
        <w:spacing w:after="0"/>
        <w:tabs>
          <w:tab w:leader="none" w:pos="18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outstanding Voting Stock of the Company is changed into or exchanged for Voting Stock of the surviving corporation, and</w:t>
      </w:r>
    </w:p>
    <w:p>
      <w:pPr>
        <w:spacing w:after="0" w:line="140" w:lineRule="exact"/>
        <w:rPr>
          <w:rFonts w:ascii="Arial" w:cs="Arial" w:eastAsia="Arial" w:hAnsi="Arial"/>
          <w:sz w:val="16"/>
          <w:szCs w:val="16"/>
          <w:color w:val="auto"/>
        </w:rPr>
      </w:pPr>
    </w:p>
    <w:p>
      <w:pPr>
        <w:ind w:left="1100" w:right="20" w:firstLine="408"/>
        <w:spacing w:after="0" w:line="263" w:lineRule="auto"/>
        <w:tabs>
          <w:tab w:leader="none" w:pos="178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spacing w:after="0" w:line="75" w:lineRule="exact"/>
        <w:rPr>
          <w:rFonts w:ascii="Arial" w:cs="Arial" w:eastAsia="Arial" w:hAnsi="Arial"/>
          <w:sz w:val="18"/>
          <w:szCs w:val="18"/>
          <w:color w:val="auto"/>
        </w:rPr>
      </w:pPr>
    </w:p>
    <w:p>
      <w:pPr>
        <w:ind w:left="560" w:right="80" w:firstLine="419"/>
        <w:spacing w:after="0" w:line="277" w:lineRule="auto"/>
        <w:tabs>
          <w:tab w:leader="none" w:pos="12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is liquidated or dissolved or adopts a plan of liquidation or dissolution other than in a transaction which complies with the provisions described under “—Consolidation, Merger and Sale of Assets.”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with respect to a series of notes, the occurrence of a Change of Control together with a Below Investment Grade Rating Event with respect to such series of notes.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Combination</w:t>
      </w:r>
      <w:r>
        <w:rPr>
          <w:rFonts w:ascii="Arial" w:cs="Arial" w:eastAsia="Arial" w:hAnsi="Arial"/>
          <w:sz w:val="18"/>
          <w:szCs w:val="18"/>
          <w:color w:val="auto"/>
        </w:rPr>
        <w:t>” means the combination of the Upjohn Business and Mylan N.V. pursuant to the Business Combination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Price Protection Agreement</w:t>
      </w:r>
      <w:r>
        <w:rPr>
          <w:rFonts w:ascii="Arial" w:cs="Arial" w:eastAsia="Arial" w:hAnsi="Arial"/>
          <w:sz w:val="18"/>
          <w:szCs w:val="18"/>
          <w:color w:val="auto"/>
        </w:rPr>
        <w:t>” means any forward contract, commodity swap, commodity option or other similar financial agreement or arrangement relating to, or the value of which is dependent upon, fluctuations in commodity prices.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Company’s Indenture Obligations</w:t>
      </w:r>
      <w:r>
        <w:rPr>
          <w:rFonts w:ascii="Arial" w:cs="Arial" w:eastAsia="Arial" w:hAnsi="Arial"/>
          <w:sz w:val="17"/>
          <w:szCs w:val="17"/>
          <w:color w:val="auto"/>
        </w:rPr>
        <w:t>” means, with respect to a series of the notes, the Obligations with respect to the notes of such series of the Company and any other obligor under the indenture or under the notes of such series to pay principal of, premium, if any, and interest when due and payable, and all other amounts due or to become due, under or in connection with this Indenture and the Notes of such series, and the performance of all other Obligations with respect to the notes of such series, to the Trustee and to the Holders of the notes of such series under this Indenture and the notes of such series, in each case according to the respective terms thereof.</w:t>
      </w:r>
    </w:p>
    <w:p>
      <w:pPr>
        <w:spacing w:after="0" w:line="17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with respect to the Company, the total amount of assets (less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Agreement</w:t>
      </w:r>
      <w:r>
        <w:rPr>
          <w:rFonts w:ascii="Arial" w:cs="Arial" w:eastAsia="Arial" w:hAnsi="Arial"/>
          <w:sz w:val="18"/>
          <w:szCs w:val="18"/>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that is not a Foreign Subsidiary.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under “—Events of Default.”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by the Commission thereunder.</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present or future taxes, duties, assessments or governmental charges of whatever nature payable as a result of or arising out of the disposition of such asset or property. Fair Market Value shall be determined in good faith by the Company.</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14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any obligation, contingent or otherwise, of any Person directly or indirectly guaranteeing any Indebtedness of any other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 and any obligation, direct or indirect, contingent or otherwise, of such Person:</w:t>
      </w:r>
    </w:p>
    <w:p>
      <w:pPr>
        <w:spacing w:after="0" w:line="103" w:lineRule="exact"/>
        <w:rPr>
          <w:sz w:val="20"/>
          <w:szCs w:val="20"/>
          <w:color w:val="auto"/>
        </w:rPr>
      </w:pPr>
    </w:p>
    <w:p>
      <w:pPr>
        <w:ind w:left="560" w:firstLine="419"/>
        <w:spacing w:after="0" w:line="263"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entered into for the purpose of assuring in any other manner the obligee against loss in respect thereof (in whole or in part);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term “</w:t>
      </w:r>
      <w:r>
        <w:rPr>
          <w:rFonts w:ascii="Arial" w:cs="Arial" w:eastAsia="Arial" w:hAnsi="Arial"/>
          <w:sz w:val="18"/>
          <w:szCs w:val="18"/>
          <w:i w:val="1"/>
          <w:iCs w:val="1"/>
          <w:color w:val="auto"/>
        </w:rPr>
        <w:t>Guarantee</w:t>
      </w:r>
      <w:r>
        <w:rPr>
          <w:rFonts w:ascii="Arial" w:cs="Arial" w:eastAsia="Arial" w:hAnsi="Arial"/>
          <w:sz w:val="18"/>
          <w:szCs w:val="18"/>
          <w:color w:val="auto"/>
        </w:rPr>
        <w:t>” shall not include:</w:t>
      </w:r>
    </w:p>
    <w:p>
      <w:pPr>
        <w:spacing w:after="0" w:line="117" w:lineRule="exact"/>
        <w:rPr>
          <w:sz w:val="20"/>
          <w:szCs w:val="20"/>
          <w:color w:val="auto"/>
        </w:rPr>
      </w:pPr>
    </w:p>
    <w:p>
      <w:pPr>
        <w:ind w:left="1240" w:hanging="26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contractual commitment by one Person to invest in another Person.</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Guarantee</w:t>
      </w:r>
      <w:r>
        <w:rPr>
          <w:rFonts w:ascii="Arial" w:cs="Arial" w:eastAsia="Arial" w:hAnsi="Arial"/>
          <w:sz w:val="17"/>
          <w:szCs w:val="17"/>
          <w:color w:val="auto"/>
        </w:rPr>
        <w:t>” used as a verb has a corresponding meaning. The term “</w:t>
      </w:r>
      <w:r>
        <w:rPr>
          <w:rFonts w:ascii="Arial" w:cs="Arial" w:eastAsia="Arial" w:hAnsi="Arial"/>
          <w:sz w:val="17"/>
          <w:szCs w:val="17"/>
          <w:i w:val="1"/>
          <w:iCs w:val="1"/>
          <w:color w:val="auto"/>
        </w:rPr>
        <w:t>Guarantor</w:t>
      </w:r>
      <w:r>
        <w:rPr>
          <w:rFonts w:ascii="Arial" w:cs="Arial" w:eastAsia="Arial" w:hAnsi="Arial"/>
          <w:sz w:val="17"/>
          <w:szCs w:val="17"/>
          <w:color w:val="auto"/>
        </w:rPr>
        <w:t>” means Utah Acquisition Sub Inc., Mylan II B.V., Mylan Inc. and any other Subsidiary of the Company that Guarantees the Company’s Indenture Obligations from time to time, in each case during such periods that such entity Guarantees the Company’s Indenture Obligations in accordance with the terms of the indenture.</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pursuant to any Interest Rate Agreement, Currency Agreement, Commodity Price Protection Agreement or any other similar agreement or arrangement.</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issue, assume, Guarantee, incur or otherwise become liable for. The term “</w:t>
      </w:r>
      <w:r>
        <w:rPr>
          <w:rFonts w:ascii="Arial" w:cs="Arial" w:eastAsia="Arial" w:hAnsi="Arial"/>
          <w:sz w:val="18"/>
          <w:szCs w:val="18"/>
          <w:i w:val="1"/>
          <w:iCs w:val="1"/>
          <w:color w:val="auto"/>
        </w:rPr>
        <w:t>Incurrence</w:t>
      </w:r>
      <w:r>
        <w:rPr>
          <w:rFonts w:ascii="Arial" w:cs="Arial" w:eastAsia="Arial" w:hAnsi="Arial"/>
          <w:sz w:val="18"/>
          <w:szCs w:val="18"/>
          <w:color w:val="auto"/>
        </w:rPr>
        <w:t>” when used as a noun has a correlative meaning.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Person on any date of determination (without duplication):</w:t>
      </w:r>
    </w:p>
    <w:p>
      <w:pPr>
        <w:spacing w:after="0" w:line="117" w:lineRule="exact"/>
        <w:rPr>
          <w:sz w:val="20"/>
          <w:szCs w:val="20"/>
          <w:color w:val="auto"/>
        </w:rPr>
      </w:pPr>
    </w:p>
    <w:p>
      <w:pPr>
        <w:jc w:val="both"/>
        <w:ind w:left="560" w:right="140" w:firstLine="419"/>
        <w:spacing w:after="0" w:line="263" w:lineRule="auto"/>
        <w:tabs>
          <w:tab w:leader="none" w:pos="12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principal in respect of (A) indebtedness of such Person for money borrowed and (B) indebtedness evidenced by notes, debentures, bonds or other similar instruments for the payment of which such Person is responsible or liable, including, in each case, any premium on such indebtedness to the extent such premium has become due and payable;</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Capital Lease Obligations of such Person and all Attributable Debt in respect of Sale Leaseback Transactions entered into by such</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560" w:right="400" w:firstLine="419"/>
        <w:spacing w:after="0" w:line="263" w:lineRule="auto"/>
        <w:tabs>
          <w:tab w:leader="none" w:pos="12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obligations of such Person issued or assumed as the deferred purchase price of Property, all conditional sale obligations of such Person and all obligations of such Person under any title retention agreement (but excluding any accounts payable or other liability to trade creditors arising in the ordinary course of business);</w:t>
      </w:r>
    </w:p>
    <w:p>
      <w:pPr>
        <w:spacing w:after="0" w:line="75" w:lineRule="exact"/>
        <w:rPr>
          <w:rFonts w:ascii="Arial" w:cs="Arial" w:eastAsia="Arial" w:hAnsi="Arial"/>
          <w:sz w:val="18"/>
          <w:szCs w:val="18"/>
          <w:color w:val="auto"/>
        </w:rPr>
      </w:pPr>
    </w:p>
    <w:p>
      <w:pPr>
        <w:ind w:left="560" w:right="640" w:firstLine="419"/>
        <w:spacing w:after="0" w:line="277" w:lineRule="auto"/>
        <w:tabs>
          <w:tab w:leader="none" w:pos="12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obligations of such Person for the reimbursement of any obligor on any letter of credit, bankers’ acceptance or similar credit transaction (other than obligations with respect to letters of credit securing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320" w:top="459" w:right="5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obligations (other than obligations described in clauses (1) through (3) above) entered into in the ordinary course of business of such Person to the extent such letters of credit are not drawn upon or, if and to the extent drawn upon, such drawing is reimbursed no later than the 30th day following payment on the letter of credit);</w:t>
      </w:r>
    </w:p>
    <w:p>
      <w:pPr>
        <w:spacing w:after="0" w:line="76" w:lineRule="exact"/>
        <w:rPr>
          <w:sz w:val="20"/>
          <w:szCs w:val="20"/>
          <w:color w:val="auto"/>
        </w:rPr>
      </w:pPr>
    </w:p>
    <w:p>
      <w:pPr>
        <w:ind w:left="1240" w:hanging="26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Hedging Obligations of such Person;</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Attributable Receivables Indebtedness;</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(6) above of other Persons and all dividends of other Persons for the payment of which, in either case, such Person is responsible or liable, directly or indirectly, as obligor, guarantor or otherwise, including by means of any Guarantee; and</w:t>
      </w:r>
    </w:p>
    <w:p>
      <w:pPr>
        <w:spacing w:after="0" w:line="75" w:lineRule="exact"/>
        <w:rPr>
          <w:rFonts w:ascii="Arial" w:cs="Arial" w:eastAsia="Arial" w:hAnsi="Arial"/>
          <w:sz w:val="18"/>
          <w:szCs w:val="18"/>
          <w:color w:val="auto"/>
        </w:rPr>
      </w:pPr>
    </w:p>
    <w:p>
      <w:pPr>
        <w:jc w:val="both"/>
        <w:ind w:left="560" w:right="140" w:firstLine="419"/>
        <w:spacing w:after="0" w:line="263" w:lineRule="auto"/>
        <w:tabs>
          <w:tab w:leader="none" w:pos="12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(7) above of other Persons secured by any Lien on any property or asset of such Person (whether or not such obligation is assumed by such Person), the amount of such obligation being deemed to be the lesser of the Fair Market Value of such property or assets and the amount of the obligation so secured.</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Notwithstanding the foregoing, in connection with the purchase by the Company or any Subsidiary of the Company of any business, the term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will exclude indemnification, purchase price adjustment, earn-outs, holdbacks, milestones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of closing, the amount of any such payment is not determinable and, to the extent such payment thereafter becomes fixed and determined, the amount is paid within 60 days thereafter.</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The amount of Indebtedness of any Person at any date shall be the outstanding balance at such date of all obligations as described above;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Indebtedness sold at a discount, the amount of such Indebtedness at any time will be the accreted value thereof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Rate Agreement</w:t>
      </w:r>
      <w:r>
        <w:rPr>
          <w:rFonts w:ascii="Arial" w:cs="Arial" w:eastAsia="Arial" w:hAnsi="Arial"/>
          <w:sz w:val="18"/>
          <w:szCs w:val="18"/>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w:t>
      </w:r>
      <w:r>
        <w:rPr>
          <w:rFonts w:ascii="Arial" w:cs="Arial" w:eastAsia="Arial" w:hAnsi="Arial"/>
          <w:sz w:val="18"/>
          <w:szCs w:val="18"/>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(i) with respect to Moody’s, a rating equal to or higher than Baa3 (or the equivalent), and (ii) with respect to S&amp;P,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June 22, 2020, the date on which the Restricted Notes were initially issued.</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Indentures</w:t>
      </w:r>
      <w:r>
        <w:rPr>
          <w:rFonts w:ascii="Arial" w:cs="Arial" w:eastAsia="Arial" w:hAnsi="Arial"/>
          <w:sz w:val="18"/>
          <w:szCs w:val="18"/>
          <w:color w:val="auto"/>
        </w:rPr>
        <w:t>” means the following:</w:t>
      </w:r>
    </w:p>
    <w:p>
      <w:pPr>
        <w:spacing w:after="0" w:line="131" w:lineRule="exact"/>
        <w:rPr>
          <w:sz w:val="20"/>
          <w:szCs w:val="20"/>
          <w:color w:val="auto"/>
        </w:rPr>
      </w:pPr>
    </w:p>
    <w:p>
      <w:pPr>
        <w:ind w:left="1080" w:right="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 dated as of December 21, 2012, among Mylan Inc., as issuer, the subsidiaries party thereto, and The Bank of New York Mellon, as trustee;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 dated as of December 9, 2015, among Mylan N.V., as issuer, Mylan Inc., as guarantor, and The Bank of New York Mellon, as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 trustee;</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 dated as of November 22, 2016, among Mylan N.V., as issuer, Mylan Inc., as guarantor, and Citibank, N.A., London Branch, as trustee;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 dated as of April 9, 2018, among Mylan Inc., as issuer, Mylan N.V., as guarantor, and The Bank of New York Mellon, as trustee; and</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 dated as of May 23, 2018, among Mylan Inc., as issuer, Mylan N.V., as guarantor, and Citibank, N.A., London Branch, as trustee.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Mylan Notes</w:t>
      </w:r>
      <w:r>
        <w:rPr>
          <w:rFonts w:ascii="Arial" w:cs="Arial" w:eastAsia="Arial" w:hAnsi="Arial"/>
          <w:sz w:val="18"/>
          <w:szCs w:val="18"/>
          <w:color w:val="auto"/>
        </w:rPr>
        <w:t>” means any senior notes originally issued by Mylan N.V. and Mylan Inc., as applicable, under the Mylan Indentures.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Newco Revolving Credit Agreement</w:t>
      </w:r>
      <w:r>
        <w:rPr>
          <w:rFonts w:ascii="Arial" w:cs="Arial" w:eastAsia="Arial" w:hAnsi="Arial"/>
          <w:sz w:val="16"/>
          <w:szCs w:val="16"/>
          <w:color w:val="auto"/>
        </w:rPr>
        <w:t>“ means the Amended and Restated Revolving Credit Agreement, dated as of July 1, 2021, among the Company, the guarantors from time to time party thereto, the lenders and issuing banks from time to time party thereto and Bank of America, N.A., as administrative agent, in whole or in part, in one or more instances, as such agreement may be amended, renewed, extended, substituted, refinanced, restructured, replaced (whether or not upon termination, and whether with the original lenders or otherwise), supplemented or otherwise modified from time to time (including, in each case, by means of one or more credit agreements, note purchase agreements or sales of debt securities to institutional investors whether with the original agents and lenders or otherwise and including, without limitation, any successive renewals, extensions, substitutions, refinancings, restructurings, replacements, supplementations or other modifications of the foregoing.</w:t>
      </w:r>
    </w:p>
    <w:p>
      <w:pPr>
        <w:spacing w:after="0" w:line="16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with respect to any Indebtedness, all obligations for principal, premium, interest, penalties, fees, indemnifications, reimbursements, and other amounts payable pursuant to the documentation governing such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the Chairman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delivered to the Trustee. The counsel may be an employee of or counsel to the Company, any Subsidiary of the Company or the Trustee.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560" w:firstLine="419"/>
        <w:spacing w:after="0" w:line="275" w:lineRule="auto"/>
        <w:tabs>
          <w:tab w:leader="none" w:pos="1238" w:val="left"/>
        </w:tabs>
        <w:numPr>
          <w:ilvl w:val="0"/>
          <w:numId w:val="69"/>
        </w:numPr>
        <w:rPr>
          <w:rFonts w:ascii="Arial" w:cs="Arial" w:eastAsia="Arial" w:hAnsi="Arial"/>
          <w:sz w:val="17"/>
          <w:szCs w:val="17"/>
          <w:color w:val="auto"/>
        </w:rPr>
      </w:pPr>
      <w:r>
        <w:rPr>
          <w:rFonts w:ascii="Arial" w:cs="Arial" w:eastAsia="Arial" w:hAnsi="Arial"/>
          <w:sz w:val="17"/>
          <w:szCs w:val="17"/>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8" w:lineRule="exact"/>
        <w:rPr>
          <w:rFonts w:ascii="Arial" w:cs="Arial" w:eastAsia="Arial" w:hAnsi="Arial"/>
          <w:sz w:val="17"/>
          <w:szCs w:val="17"/>
          <w:color w:val="auto"/>
        </w:rPr>
      </w:pPr>
    </w:p>
    <w:p>
      <w:pPr>
        <w:ind w:left="560" w:right="120" w:firstLine="419"/>
        <w:spacing w:after="0" w:line="291" w:lineRule="auto"/>
        <w:tabs>
          <w:tab w:leader="none" w:pos="123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w:t>
      </w:r>
    </w:p>
    <w:p>
      <w:pPr>
        <w:spacing w:after="0" w:line="58" w:lineRule="exact"/>
        <w:rPr>
          <w:rFonts w:ascii="Arial" w:cs="Arial" w:eastAsia="Arial" w:hAnsi="Arial"/>
          <w:sz w:val="16"/>
          <w:szCs w:val="16"/>
          <w:color w:val="auto"/>
        </w:rPr>
      </w:pPr>
    </w:p>
    <w:p>
      <w:pPr>
        <w:ind w:left="560" w:right="60" w:firstLine="419"/>
        <w:spacing w:after="0" w:line="277" w:lineRule="auto"/>
        <w:tabs>
          <w:tab w:leader="none" w:pos="12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or claims, in each case not yet subject to penalties for non-payment or which are being contested in good faith by appropriate proceedings;</w:t>
      </w:r>
    </w:p>
    <w:p>
      <w:pPr>
        <w:spacing w:after="0" w:line="62" w:lineRule="exact"/>
        <w:rPr>
          <w:rFonts w:ascii="Arial" w:cs="Arial" w:eastAsia="Arial" w:hAnsi="Arial"/>
          <w:sz w:val="18"/>
          <w:szCs w:val="18"/>
          <w:color w:val="auto"/>
        </w:rPr>
      </w:pPr>
    </w:p>
    <w:p>
      <w:pPr>
        <w:ind w:left="560" w:right="260" w:firstLine="419"/>
        <w:spacing w:after="0" w:line="277" w:lineRule="auto"/>
        <w:tabs>
          <w:tab w:leader="none" w:pos="12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in favor of issuers of performance and surety bonds or bid bonds or letters of credit issued pursuant to the request of and for the account of such Person in the ordinary course of its business;</w:t>
      </w:r>
    </w:p>
    <w:p>
      <w:pPr>
        <w:spacing w:after="0" w:line="62" w:lineRule="exact"/>
        <w:rPr>
          <w:rFonts w:ascii="Arial" w:cs="Arial" w:eastAsia="Arial" w:hAnsi="Arial"/>
          <w:sz w:val="18"/>
          <w:szCs w:val="18"/>
          <w:color w:val="auto"/>
        </w:rPr>
      </w:pPr>
    </w:p>
    <w:p>
      <w:pPr>
        <w:ind w:left="560" w:right="420" w:firstLine="419"/>
        <w:spacing w:after="0" w:line="257" w:lineRule="auto"/>
        <w:tabs>
          <w:tab w:leader="none" w:pos="12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79" w:lineRule="exact"/>
        <w:rPr>
          <w:rFonts w:ascii="Arial" w:cs="Arial" w:eastAsia="Arial" w:hAnsi="Arial"/>
          <w:sz w:val="18"/>
          <w:szCs w:val="18"/>
          <w:color w:val="auto"/>
        </w:rPr>
      </w:pPr>
    </w:p>
    <w:p>
      <w:pPr>
        <w:ind w:left="560" w:right="240" w:firstLine="419"/>
        <w:spacing w:after="0" w:line="277" w:lineRule="auto"/>
        <w:tabs>
          <w:tab w:leader="none" w:pos="12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securing Indebtedness Incurred after the Issue Date in respect of Purchase Money Indebtedness and refinancing Indebtedness in respect thereof;</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ind w:left="560" w:right="360" w:firstLine="419"/>
        <w:spacing w:after="0" w:line="263" w:lineRule="auto"/>
        <w:tabs>
          <w:tab w:leader="none" w:pos="12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Liens on property or shares of Capital Stock of another Person at the time such other Person becomes a Subsidiary of such Person;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Liens may not extend to any other property owned by such Person or any of its Subsidiaries (other than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affixed or appurtenant thereto);</w:t>
      </w:r>
    </w:p>
    <w:p>
      <w:pPr>
        <w:spacing w:after="0" w:line="75" w:lineRule="exact"/>
        <w:rPr>
          <w:rFonts w:ascii="Arial" w:cs="Arial" w:eastAsia="Arial" w:hAnsi="Arial"/>
          <w:sz w:val="18"/>
          <w:szCs w:val="18"/>
          <w:color w:val="auto"/>
        </w:rPr>
      </w:pPr>
    </w:p>
    <w:p>
      <w:pPr>
        <w:ind w:left="560" w:firstLine="419"/>
        <w:spacing w:after="0" w:line="286" w:lineRule="auto"/>
        <w:tabs>
          <w:tab w:leader="none" w:pos="123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Liens on property at the time such Person or any of its Subsidiaries acquires the property, including any acquisition by means of a merger or consolidation with or into such Person or a Subsidiary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Liens may not extend to any other property owned by such Person or any of its Subsidiaries (other than assets and property affixed or appurtenant thereto);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firstLine="419"/>
        <w:spacing w:after="0" w:line="277"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of such Person owing to such Person or a wholly-owned subsidiary of such Person;</w:t>
      </w:r>
    </w:p>
    <w:p>
      <w:pPr>
        <w:spacing w:after="0" w:line="62" w:lineRule="exact"/>
        <w:rPr>
          <w:rFonts w:ascii="Arial" w:cs="Arial" w:eastAsia="Arial" w:hAnsi="Arial"/>
          <w:sz w:val="18"/>
          <w:szCs w:val="18"/>
          <w:color w:val="auto"/>
        </w:rPr>
      </w:pPr>
    </w:p>
    <w:p>
      <w:pPr>
        <w:ind w:left="560" w:right="80" w:firstLine="419"/>
        <w:spacing w:after="0" w:line="263" w:lineRule="auto"/>
        <w:tabs>
          <w:tab w:leader="none" w:pos="1321"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spacing w:after="0" w:line="75" w:lineRule="exact"/>
        <w:rPr>
          <w:rFonts w:ascii="Arial" w:cs="Arial" w:eastAsia="Arial" w:hAnsi="Arial"/>
          <w:sz w:val="18"/>
          <w:szCs w:val="18"/>
          <w:color w:val="auto"/>
        </w:rPr>
      </w:pPr>
    </w:p>
    <w:p>
      <w:pPr>
        <w:ind w:left="560" w:right="500" w:firstLine="419"/>
        <w:spacing w:after="0" w:line="277"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Lien on accounts receivable and related assets of the types specified in the definition of “Qualified Receivables Transaction” incurred in connection with a Qualified Receivables Transaction;</w:t>
      </w:r>
    </w:p>
    <w:p>
      <w:pPr>
        <w:spacing w:after="0" w:line="62" w:lineRule="exact"/>
        <w:rPr>
          <w:rFonts w:ascii="Arial" w:cs="Arial" w:eastAsia="Arial" w:hAnsi="Arial"/>
          <w:sz w:val="18"/>
          <w:szCs w:val="18"/>
          <w:color w:val="auto"/>
        </w:rPr>
      </w:pPr>
    </w:p>
    <w:p>
      <w:pPr>
        <w:ind w:left="560" w:right="260" w:firstLine="419"/>
        <w:spacing w:after="0" w:line="277"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Liens in favor of the Company or any Guarantor and (b) Liens on the property of any Subsidiary of the Company in favor of any other Subsidiary of the Company;</w:t>
      </w:r>
    </w:p>
    <w:p>
      <w:pPr>
        <w:spacing w:after="0" w:line="62" w:lineRule="exact"/>
        <w:rPr>
          <w:rFonts w:ascii="Arial" w:cs="Arial" w:eastAsia="Arial" w:hAnsi="Arial"/>
          <w:sz w:val="18"/>
          <w:szCs w:val="18"/>
          <w:color w:val="auto"/>
        </w:rPr>
      </w:pPr>
    </w:p>
    <w:p>
      <w:pPr>
        <w:ind w:left="560" w:right="60" w:firstLine="419"/>
        <w:spacing w:after="0" w:line="308" w:lineRule="auto"/>
        <w:tabs>
          <w:tab w:leader="none" w:pos="1328" w:val="left"/>
        </w:tabs>
        <w:numPr>
          <w:ilvl w:val="1"/>
          <w:numId w:val="70"/>
        </w:numPr>
        <w:rPr>
          <w:rFonts w:ascii="Arial" w:cs="Arial" w:eastAsia="Arial" w:hAnsi="Arial"/>
          <w:sz w:val="17"/>
          <w:szCs w:val="17"/>
          <w:color w:val="auto"/>
        </w:rPr>
      </w:pPr>
      <w:r>
        <w:rPr>
          <w:rFonts w:ascii="Arial" w:cs="Arial" w:eastAsia="Arial" w:hAnsi="Arial"/>
          <w:sz w:val="17"/>
          <w:szCs w:val="17"/>
          <w:color w:val="auto"/>
        </w:rPr>
        <w:t>leases, subleases, licenses or sublicenses granted to third parties entered into in the ordinary course of business which do not materially interfere with the conduct of the business of the Company and its Subsidiaries and which do not secure any Indebtedness;</w:t>
      </w:r>
    </w:p>
    <w:p>
      <w:pPr>
        <w:spacing w:after="0" w:line="38" w:lineRule="exact"/>
        <w:rPr>
          <w:rFonts w:ascii="Arial" w:cs="Arial" w:eastAsia="Arial" w:hAnsi="Arial"/>
          <w:sz w:val="17"/>
          <w:szCs w:val="17"/>
          <w:color w:val="auto"/>
        </w:rPr>
      </w:pPr>
    </w:p>
    <w:p>
      <w:pPr>
        <w:ind w:left="560" w:right="40" w:firstLine="419"/>
        <w:spacing w:after="0" w:line="259"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78" w:lineRule="exact"/>
        <w:rPr>
          <w:rFonts w:ascii="Arial" w:cs="Arial" w:eastAsia="Arial" w:hAnsi="Arial"/>
          <w:sz w:val="18"/>
          <w:szCs w:val="18"/>
          <w:color w:val="auto"/>
        </w:rPr>
      </w:pPr>
    </w:p>
    <w:p>
      <w:pPr>
        <w:ind w:left="1320" w:hanging="341"/>
        <w:spacing w:after="0"/>
        <w:tabs>
          <w:tab w:leader="none" w:pos="13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with respect to the notes of any series, Liens created for the benefit of (or to secure) the notes of such series (or the Guarantees);</w:t>
      </w:r>
    </w:p>
    <w:p>
      <w:pPr>
        <w:spacing w:after="0" w:line="128" w:lineRule="exact"/>
        <w:rPr>
          <w:rFonts w:ascii="Arial" w:cs="Arial" w:eastAsia="Arial" w:hAnsi="Arial"/>
          <w:sz w:val="17"/>
          <w:szCs w:val="17"/>
          <w:color w:val="auto"/>
        </w:rPr>
      </w:pPr>
    </w:p>
    <w:p>
      <w:pPr>
        <w:ind w:left="560" w:right="300" w:firstLine="419"/>
        <w:spacing w:after="0" w:line="263"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560" w:firstLine="419"/>
        <w:spacing w:after="0" w:line="277"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Company or any Subsidiary of the Company in the ordinary course of business;</w:t>
      </w:r>
    </w:p>
    <w:p>
      <w:pPr>
        <w:spacing w:after="0" w:line="62" w:lineRule="exact"/>
        <w:rPr>
          <w:rFonts w:ascii="Arial" w:cs="Arial" w:eastAsia="Arial" w:hAnsi="Arial"/>
          <w:sz w:val="18"/>
          <w:szCs w:val="18"/>
          <w:color w:val="auto"/>
        </w:rPr>
      </w:pPr>
    </w:p>
    <w:p>
      <w:pPr>
        <w:ind w:left="560" w:right="40" w:firstLine="419"/>
        <w:spacing w:after="0" w:line="277" w:lineRule="auto"/>
        <w:tabs>
          <w:tab w:leader="none" w:pos="13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Liens (i) of a collection bank arising under Section 4-210 of the Uniform Commercial Code on items in the course of collection and</w:t>
      </w:r>
    </w:p>
    <w:p>
      <w:pPr>
        <w:spacing w:after="0" w:line="34" w:lineRule="exact"/>
        <w:rPr>
          <w:rFonts w:ascii="Arial" w:cs="Arial" w:eastAsia="Arial" w:hAnsi="Arial"/>
          <w:sz w:val="17"/>
          <w:szCs w:val="17"/>
          <w:color w:val="auto"/>
        </w:rPr>
      </w:pPr>
    </w:p>
    <w:p>
      <w:pPr>
        <w:ind w:left="560" w:hanging="4"/>
        <w:spacing w:after="0" w:line="260" w:lineRule="auto"/>
        <w:tabs>
          <w:tab w:leader="none" w:pos="8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77" w:lineRule="exact"/>
        <w:rPr>
          <w:rFonts w:ascii="Arial" w:cs="Arial" w:eastAsia="Arial" w:hAnsi="Arial"/>
          <w:sz w:val="18"/>
          <w:szCs w:val="18"/>
          <w:color w:val="auto"/>
        </w:rPr>
      </w:pPr>
    </w:p>
    <w:p>
      <w:pPr>
        <w:ind w:left="1320" w:hanging="341"/>
        <w:spacing w:after="0"/>
        <w:tabs>
          <w:tab w:leader="none" w:pos="13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1320" w:hanging="341"/>
        <w:spacing w:after="0"/>
        <w:tabs>
          <w:tab w:leader="none" w:pos="13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560" w:right="6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on equipment of the Company or any Subsidiary of the Company granted in the ordinary course of business to the Company’s or such Subsidiary’s supplier at which such equipment is located;</w:t>
      </w:r>
    </w:p>
    <w:p>
      <w:pPr>
        <w:spacing w:after="0" w:line="62" w:lineRule="exact"/>
        <w:rPr>
          <w:rFonts w:ascii="Arial" w:cs="Arial" w:eastAsia="Arial" w:hAnsi="Arial"/>
          <w:sz w:val="18"/>
          <w:szCs w:val="18"/>
          <w:color w:val="auto"/>
        </w:rPr>
      </w:pPr>
    </w:p>
    <w:p>
      <w:pPr>
        <w:ind w:left="560" w:right="18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62" w:lineRule="exact"/>
        <w:rPr>
          <w:rFonts w:ascii="Arial" w:cs="Arial" w:eastAsia="Arial" w:hAnsi="Arial"/>
          <w:sz w:val="18"/>
          <w:szCs w:val="18"/>
          <w:color w:val="auto"/>
        </w:rPr>
      </w:pPr>
    </w:p>
    <w:p>
      <w:pPr>
        <w:ind w:left="560" w:right="480" w:firstLine="419"/>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incurred to secure cash management services or to implement cash pooling or sweep arrangements to permit satisfaction of overdraft or similar obligations in the ordinary course of business;</w:t>
      </w:r>
    </w:p>
    <w:p>
      <w:pPr>
        <w:spacing w:after="0" w:line="62" w:lineRule="exact"/>
        <w:rPr>
          <w:rFonts w:ascii="Arial" w:cs="Arial" w:eastAsia="Arial" w:hAnsi="Arial"/>
          <w:sz w:val="18"/>
          <w:szCs w:val="18"/>
          <w:color w:val="auto"/>
        </w:rPr>
      </w:pPr>
    </w:p>
    <w:p>
      <w:pPr>
        <w:ind w:left="560" w:right="120" w:firstLine="419"/>
        <w:spacing w:after="0" w:line="263"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Capital Stock of any joint venture or similar arrangement pursuant to any joint venture or similar agreement;</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securities that are the subject of repurchase agreements;</w:t>
      </w:r>
    </w:p>
    <w:p>
      <w:pPr>
        <w:spacing w:after="0" w:line="117" w:lineRule="exact"/>
        <w:rPr>
          <w:rFonts w:ascii="Arial" w:cs="Arial" w:eastAsia="Arial" w:hAnsi="Arial"/>
          <w:sz w:val="18"/>
          <w:szCs w:val="18"/>
          <w:color w:val="auto"/>
        </w:rPr>
      </w:pPr>
    </w:p>
    <w:p>
      <w:pPr>
        <w:ind w:left="560" w:right="14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solely from precautionary Uniform Commercial Code financing statements or similar filings;</w:t>
      </w:r>
    </w:p>
    <w:p>
      <w:pPr>
        <w:spacing w:after="0" w:line="117" w:lineRule="exact"/>
        <w:rPr>
          <w:rFonts w:ascii="Arial" w:cs="Arial" w:eastAsia="Arial" w:hAnsi="Arial"/>
          <w:sz w:val="18"/>
          <w:szCs w:val="18"/>
          <w:color w:val="auto"/>
        </w:rPr>
      </w:pPr>
    </w:p>
    <w:p>
      <w:pPr>
        <w:ind w:left="560" w:right="120" w:firstLine="419"/>
        <w:spacing w:after="0" w:line="263"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Liens to secure any Refinancing (or successive Refinancings) as a whole, or in part, of any Indebtedness secured by any Lien referred to in the foregoing clauses (7), (8), (9), (10), (11), (12) or (14);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796" w:val="left"/>
        </w:tabs>
        <w:numPr>
          <w:ilvl w:val="2"/>
          <w:numId w:val="72"/>
        </w:numPr>
        <w:rPr>
          <w:rFonts w:ascii="Arial" w:cs="Arial" w:eastAsia="Arial" w:hAnsi="Arial"/>
          <w:sz w:val="18"/>
          <w:szCs w:val="18"/>
          <w:color w:val="auto"/>
        </w:rPr>
      </w:pPr>
      <w:r>
        <w:rPr>
          <w:rFonts w:ascii="Arial" w:cs="Arial" w:eastAsia="Arial" w:hAnsi="Arial"/>
          <w:sz w:val="18"/>
          <w:szCs w:val="18"/>
          <w:color w:val="auto"/>
        </w:rPr>
        <w:t>such new Lien shall be limited to all or part of the same property (plus improvements on such property) and assets that secured or, under the written agreements pursuant to which the original Lien arose, could secure the original Lien (plus improvements and accessions to such property or proceeds or distributions thereof); and</w:t>
      </w:r>
    </w:p>
    <w:p>
      <w:pPr>
        <w:spacing w:after="0" w:line="75" w:lineRule="exact"/>
        <w:rPr>
          <w:rFonts w:ascii="Arial" w:cs="Arial" w:eastAsia="Arial" w:hAnsi="Arial"/>
          <w:sz w:val="18"/>
          <w:szCs w:val="18"/>
          <w:color w:val="auto"/>
        </w:rPr>
      </w:pPr>
    </w:p>
    <w:p>
      <w:pPr>
        <w:ind w:left="1100" w:firstLine="408"/>
        <w:spacing w:after="0" w:line="291" w:lineRule="auto"/>
        <w:tabs>
          <w:tab w:leader="none" w:pos="1786" w:val="left"/>
        </w:tabs>
        <w:numPr>
          <w:ilvl w:val="2"/>
          <w:numId w:val="72"/>
        </w:numPr>
        <w:rPr>
          <w:rFonts w:ascii="Arial" w:cs="Arial" w:eastAsia="Arial" w:hAnsi="Arial"/>
          <w:sz w:val="16"/>
          <w:szCs w:val="16"/>
          <w:color w:val="auto"/>
        </w:rPr>
      </w:pPr>
      <w:r>
        <w:rPr>
          <w:rFonts w:ascii="Arial" w:cs="Arial" w:eastAsia="Arial" w:hAnsi="Arial"/>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w:t>
      </w:r>
    </w:p>
    <w:p>
      <w:pPr>
        <w:ind w:left="1100" w:firstLine="7"/>
        <w:spacing w:after="0" w:line="260" w:lineRule="auto"/>
        <w:tabs>
          <w:tab w:leader="none" w:pos="14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the time the original Lien became a Permitted Lien and (ii) an amount necessary to pay any fees and expenses, including premiums, related to such refinancing, refunding, extension, renewal or replacement;</w:t>
      </w:r>
    </w:p>
    <w:p>
      <w:pPr>
        <w:spacing w:after="0" w:line="77" w:lineRule="exact"/>
        <w:rPr>
          <w:rFonts w:ascii="Arial" w:cs="Arial" w:eastAsia="Arial" w:hAnsi="Arial"/>
          <w:sz w:val="18"/>
          <w:szCs w:val="18"/>
          <w:color w:val="auto"/>
        </w:rPr>
      </w:pPr>
    </w:p>
    <w:p>
      <w:pPr>
        <w:ind w:left="560" w:right="42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by any Subsidiary of the Company, so long as such Subsidiary is maintained as a special purpose self-insurance Subsidiary of the Company;</w:t>
      </w:r>
    </w:p>
    <w:p>
      <w:pPr>
        <w:spacing w:after="0" w:line="62" w:lineRule="exact"/>
        <w:rPr>
          <w:rFonts w:ascii="Arial" w:cs="Arial" w:eastAsia="Arial" w:hAnsi="Arial"/>
          <w:sz w:val="18"/>
          <w:szCs w:val="18"/>
          <w:color w:val="auto"/>
        </w:rPr>
      </w:pPr>
    </w:p>
    <w:p>
      <w:pPr>
        <w:ind w:left="560" w:right="320" w:firstLine="419"/>
        <w:spacing w:after="0" w:line="259"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spacing w:after="0" w:line="78" w:lineRule="exact"/>
        <w:rPr>
          <w:rFonts w:ascii="Arial" w:cs="Arial" w:eastAsia="Arial" w:hAnsi="Arial"/>
          <w:sz w:val="18"/>
          <w:szCs w:val="18"/>
          <w:color w:val="auto"/>
        </w:rPr>
      </w:pPr>
    </w:p>
    <w:p>
      <w:pPr>
        <w:ind w:left="560" w:right="240" w:firstLine="419"/>
        <w:spacing w:after="0" w:line="263"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Lien arising under Article 24, 25 or 26 of the general terms and conditions (</w:t>
      </w:r>
      <w:r>
        <w:rPr>
          <w:rFonts w:ascii="Arial" w:cs="Arial" w:eastAsia="Arial" w:hAnsi="Arial"/>
          <w:sz w:val="18"/>
          <w:szCs w:val="18"/>
          <w:i w:val="1"/>
          <w:iCs w:val="1"/>
          <w:color w:val="auto"/>
        </w:rPr>
        <w:t>Algemene Bank 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75" w:lineRule="exact"/>
        <w:rPr>
          <w:rFonts w:ascii="Arial" w:cs="Arial" w:eastAsia="Arial" w:hAnsi="Arial"/>
          <w:sz w:val="18"/>
          <w:szCs w:val="18"/>
          <w:color w:val="auto"/>
        </w:rPr>
      </w:pPr>
    </w:p>
    <w:p>
      <w:pPr>
        <w:ind w:left="560" w:right="4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Company or any Subsidiary of the Company in the ordinary course of its banking arrangements for the purpose of netting debt and credit balances;</w:t>
      </w:r>
    </w:p>
    <w:p>
      <w:pPr>
        <w:spacing w:after="0" w:line="62" w:lineRule="exact"/>
        <w:rPr>
          <w:rFonts w:ascii="Arial" w:cs="Arial" w:eastAsia="Arial" w:hAnsi="Arial"/>
          <w:sz w:val="18"/>
          <w:szCs w:val="18"/>
          <w:color w:val="auto"/>
        </w:rPr>
      </w:pPr>
    </w:p>
    <w:p>
      <w:pPr>
        <w:ind w:left="560" w:right="20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Lien, including any netting or set-off, arising by operation of law as a result of the existence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any Subsidiary of the Company is or has been a member;</w:t>
      </w:r>
    </w:p>
    <w:p>
      <w:pPr>
        <w:spacing w:after="0" w:line="62" w:lineRule="exact"/>
        <w:rPr>
          <w:rFonts w:ascii="Arial" w:cs="Arial" w:eastAsia="Arial" w:hAnsi="Arial"/>
          <w:sz w:val="18"/>
          <w:szCs w:val="18"/>
          <w:color w:val="auto"/>
        </w:rPr>
      </w:pPr>
    </w:p>
    <w:p>
      <w:pPr>
        <w:ind w:left="560" w:right="360" w:firstLine="419"/>
        <w:spacing w:after="0" w:line="277" w:lineRule="auto"/>
        <w:tabs>
          <w:tab w:leader="none" w:pos="1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cash and cash equivalents deposited as cash collateral on letters of credit as contemplated by the Newco Revolving Credit Agreement;</w:t>
      </w:r>
    </w:p>
    <w:p>
      <w:pPr>
        <w:spacing w:after="0" w:line="62" w:lineRule="exact"/>
        <w:rPr>
          <w:rFonts w:ascii="Arial" w:cs="Arial" w:eastAsia="Arial" w:hAnsi="Arial"/>
          <w:sz w:val="18"/>
          <w:szCs w:val="18"/>
          <w:color w:val="auto"/>
        </w:rPr>
      </w:pPr>
    </w:p>
    <w:p>
      <w:pPr>
        <w:ind w:left="560" w:right="220" w:firstLine="419"/>
        <w:spacing w:after="0" w:line="308" w:lineRule="auto"/>
        <w:tabs>
          <w:tab w:leader="none" w:pos="1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38" w:lineRule="exact"/>
        <w:rPr>
          <w:rFonts w:ascii="Arial" w:cs="Arial" w:eastAsia="Arial" w:hAnsi="Arial"/>
          <w:sz w:val="17"/>
          <w:szCs w:val="17"/>
          <w:color w:val="auto"/>
        </w:rPr>
      </w:pPr>
    </w:p>
    <w:p>
      <w:pPr>
        <w:ind w:left="560" w:firstLine="419"/>
        <w:spacing w:after="0" w:line="342" w:lineRule="auto"/>
        <w:tabs>
          <w:tab w:leader="none" w:pos="13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other Liens securing Indebtedness in an aggregate principal amount for the Company and its Subsidiaries not exceeding at the time such Lien is created or assumed the greater of $1,300 million or 15% of Consolidated Net Tangible Assets, at any one time outstanding.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17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8"/>
          <w:szCs w:val="18"/>
          <w:color w:val="auto"/>
        </w:rPr>
        <w:t>” means Pfizer Inc., a Delaware corporation.</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without limitation, Capital Stock.</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Purchase Money Indebtedness</w:t>
      </w:r>
      <w:r>
        <w:rPr>
          <w:rFonts w:ascii="Arial" w:cs="Arial" w:eastAsia="Arial" w:hAnsi="Arial"/>
          <w:sz w:val="17"/>
          <w:szCs w:val="17"/>
          <w:color w:val="auto"/>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is Incurred within 270 days after the completion of the acquisition, development, construction or lease of such Property by the Company or such Subsidiary.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Receivables Transaction</w:t>
      </w:r>
      <w:r>
        <w:rPr>
          <w:rFonts w:ascii="Arial" w:cs="Arial" w:eastAsia="Arial" w:hAnsi="Arial"/>
          <w:sz w:val="17"/>
          <w:szCs w:val="17"/>
          <w:color w:val="auto"/>
        </w:rPr>
        <w:t>” means any transaction or series of transactions that may be entered into by the Company or any of 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pursuant to which the Company or any of its Subsidiaries may sell, convey or otherwise transfer to:</w:t>
      </w:r>
    </w:p>
    <w:p>
      <w:pPr>
        <w:spacing w:after="0" w:line="103" w:lineRule="exact"/>
        <w:rPr>
          <w:sz w:val="20"/>
          <w:szCs w:val="20"/>
          <w:color w:val="auto"/>
        </w:rPr>
      </w:pPr>
    </w:p>
    <w:p>
      <w:pPr>
        <w:ind w:left="1240" w:hanging="261"/>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Receivables Entity (in the case of a transfer by the Company or any of its Subsidiaries), 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Person (in the case of a transfer by a Receivables Entity),</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financing terms, covenants, termination events and other provisions thereof shall be market terms (as determined in good faith by the chief financial officer of the Company).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w:t>
      </w:r>
    </w:p>
    <w:p>
      <w:pPr>
        <w:spacing w:after="0" w:line="117" w:lineRule="exact"/>
        <w:rPr>
          <w:sz w:val="20"/>
          <w:szCs w:val="20"/>
          <w:color w:val="auto"/>
        </w:rPr>
      </w:pPr>
    </w:p>
    <w:p>
      <w:pPr>
        <w:ind w:left="1240" w:hanging="26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S&amp;P;</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Moody’s; or</w:t>
      </w:r>
    </w:p>
    <w:p>
      <w:pPr>
        <w:spacing w:after="0" w:line="117"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S&amp;P or Moody’s or both shall not make a rating of the notes publicly available, a “nationally recognized statistical rating organization” within the meaning of Section 3(a)(62) of the Exchange Act, selected by the Company, which shall be substituted for S&amp;P or Moody’s or both, as the case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Entity</w:t>
      </w:r>
      <w:r>
        <w:rPr>
          <w:rFonts w:ascii="Arial" w:cs="Arial" w:eastAsia="Arial" w:hAnsi="Arial"/>
          <w:sz w:val="18"/>
          <w:szCs w:val="18"/>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clause (a) or (b):</w:t>
      </w:r>
    </w:p>
    <w:p>
      <w:pPr>
        <w:spacing w:after="0" w:line="76" w:lineRule="exact"/>
        <w:rPr>
          <w:sz w:val="20"/>
          <w:szCs w:val="20"/>
          <w:color w:val="auto"/>
        </w:rPr>
      </w:pPr>
    </w:p>
    <w:p>
      <w:pPr>
        <w:ind w:left="1240" w:hanging="26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such entity:</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96"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Guaranteed by the Company or any Subsidiary of the Company (excluding Guarantees of obligations (other than the principal of, and interest on, Indebtedness) pursuant to Standard Securitization Undertakings),</w:t>
      </w:r>
    </w:p>
    <w:p>
      <w:pPr>
        <w:spacing w:after="0" w:line="62" w:lineRule="exact"/>
        <w:rPr>
          <w:rFonts w:ascii="Arial" w:cs="Arial" w:eastAsia="Arial" w:hAnsi="Arial"/>
          <w:sz w:val="18"/>
          <w:szCs w:val="18"/>
          <w:color w:val="auto"/>
        </w:rPr>
      </w:pPr>
    </w:p>
    <w:p>
      <w:pPr>
        <w:ind w:left="1100" w:right="740" w:firstLine="408"/>
        <w:spacing w:after="0" w:line="277" w:lineRule="auto"/>
        <w:tabs>
          <w:tab w:leader="none" w:pos="1786"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recourse to or obligates the Company or any Subsidiary of the Company in any way (other than pursuant to Standard Securitization Undertakings), or</w:t>
      </w:r>
    </w:p>
    <w:p>
      <w:pPr>
        <w:spacing w:after="0" w:line="62" w:lineRule="exact"/>
        <w:rPr>
          <w:rFonts w:ascii="Arial" w:cs="Arial" w:eastAsia="Arial" w:hAnsi="Arial"/>
          <w:sz w:val="18"/>
          <w:szCs w:val="18"/>
          <w:color w:val="auto"/>
        </w:rPr>
      </w:pPr>
    </w:p>
    <w:p>
      <w:pPr>
        <w:ind w:left="1100" w:right="720" w:firstLine="408"/>
        <w:spacing w:after="0" w:line="277" w:lineRule="auto"/>
        <w:tabs>
          <w:tab w:leader="none" w:pos="1786"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subjects any property or asset of the Company or any Subsidiary of the Company, directly or indirectly, contingently or otherwise, to the satisfaction thereof (other than pursuant to Standard Securitization Undertakings);</w:t>
      </w:r>
    </w:p>
    <w:p>
      <w:pPr>
        <w:spacing w:after="0" w:line="62" w:lineRule="exact"/>
        <w:rPr>
          <w:rFonts w:ascii="Arial" w:cs="Arial" w:eastAsia="Arial" w:hAnsi="Arial"/>
          <w:sz w:val="18"/>
          <w:szCs w:val="18"/>
          <w:color w:val="auto"/>
        </w:rPr>
      </w:pPr>
    </w:p>
    <w:p>
      <w:pPr>
        <w:ind w:left="560" w:right="40" w:firstLine="419"/>
        <w:spacing w:after="0" w:line="311" w:lineRule="auto"/>
        <w:tabs>
          <w:tab w:leader="none" w:pos="12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40" w:lineRule="exact"/>
        <w:rPr>
          <w:rFonts w:ascii="Arial" w:cs="Arial" w:eastAsia="Arial" w:hAnsi="Arial"/>
          <w:sz w:val="16"/>
          <w:szCs w:val="16"/>
          <w:color w:val="auto"/>
        </w:rPr>
      </w:pPr>
    </w:p>
    <w:p>
      <w:pPr>
        <w:ind w:left="560" w:right="220" w:firstLine="419"/>
        <w:spacing w:after="0" w:line="277" w:lineRule="auto"/>
        <w:tabs>
          <w:tab w:leader="none" w:pos="12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Any such designation shall be evidenced to the Trustee by filing with the Trustee an Officer’s Certificate giving effect to such designation and certifying that such designation complied with the foregoing conditions.</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Refinance</w:t>
      </w:r>
      <w:r>
        <w:rPr>
          <w:rFonts w:ascii="Arial" w:cs="Arial" w:eastAsia="Arial" w:hAnsi="Arial"/>
          <w:sz w:val="16"/>
          <w:szCs w:val="16"/>
          <w:color w:val="auto"/>
        </w:rPr>
        <w:t>” means, in respect of any Indebtedness, to refinance, extend, renew, refund, repay, prepay, purchase, redeem, defease or retire, or to issue other Indebtedness in exchange or replacement for, such Indebtedness. “</w:t>
      </w:r>
      <w:r>
        <w:rPr>
          <w:rFonts w:ascii="Arial" w:cs="Arial" w:eastAsia="Arial" w:hAnsi="Arial"/>
          <w:sz w:val="16"/>
          <w:szCs w:val="16"/>
          <w:i w:val="1"/>
          <w:iCs w:val="1"/>
          <w:color w:val="auto"/>
        </w:rPr>
        <w:t>Refinanced</w:t>
      </w:r>
      <w:r>
        <w:rPr>
          <w:rFonts w:ascii="Arial" w:cs="Arial" w:eastAsia="Arial" w:hAnsi="Arial"/>
          <w:sz w:val="16"/>
          <w:szCs w:val="16"/>
          <w:color w:val="auto"/>
        </w:rPr>
        <w:t>” and “</w:t>
      </w:r>
      <w:r>
        <w:rPr>
          <w:rFonts w:ascii="Arial" w:cs="Arial" w:eastAsia="Arial" w:hAnsi="Arial"/>
          <w:sz w:val="16"/>
          <w:szCs w:val="16"/>
          <w:i w:val="1"/>
          <w:iCs w:val="1"/>
          <w:color w:val="auto"/>
        </w:rPr>
        <w:t>Refinancing</w:t>
      </w:r>
      <w:r>
        <w:rPr>
          <w:rFonts w:ascii="Arial" w:cs="Arial" w:eastAsia="Arial" w:hAnsi="Arial"/>
          <w:sz w:val="16"/>
          <w:szCs w:val="16"/>
          <w:color w:val="auto"/>
        </w:rPr>
        <w:t>” have correlative meanings.</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Companies, Inc., or any successor to the rating agency business thereof.</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Leaseback Transaction</w:t>
      </w:r>
      <w:r>
        <w:rPr>
          <w:rFonts w:ascii="Arial" w:cs="Arial" w:eastAsia="Arial" w:hAnsi="Arial"/>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15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or any successor statute, and the rules and regulations promulgated by the Commission thereunder.</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the Company that would be a “significant subsidiary” of the Company within the meaning of Rule 1-02 under Regulation S-X promulgated by the Commission, as such Regulation is in effect on the Issue Date.</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and indemnities entered into by the Company or any Subsidiary of the Company that, taken as a whole, are customary in an accounts receivable transaction.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560" w:firstLine="419"/>
        <w:spacing w:after="0" w:line="257" w:lineRule="auto"/>
        <w:tabs>
          <w:tab w:leader="none" w:pos="123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9" w:lineRule="exact"/>
        <w:rPr>
          <w:rFonts w:ascii="Arial" w:cs="Arial" w:eastAsia="Arial" w:hAnsi="Arial"/>
          <w:sz w:val="18"/>
          <w:szCs w:val="18"/>
          <w:color w:val="auto"/>
        </w:rPr>
      </w:pPr>
    </w:p>
    <w:p>
      <w:pPr>
        <w:ind w:left="1240" w:hanging="261"/>
        <w:spacing w:after="0"/>
        <w:tabs>
          <w:tab w:leader="none" w:pos="12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820" w:hanging="264"/>
        <w:spacing w:after="0"/>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Indebtedness</w:t>
      </w:r>
      <w:r>
        <w:rPr>
          <w:rFonts w:ascii="Arial" w:cs="Arial" w:eastAsia="Arial" w:hAnsi="Arial"/>
          <w:sz w:val="18"/>
          <w:szCs w:val="18"/>
          <w:color w:val="auto"/>
        </w:rPr>
        <w:t>” means Indebtedness of the Company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Business</w:t>
      </w:r>
      <w:r>
        <w:rPr>
          <w:rFonts w:ascii="Arial" w:cs="Arial" w:eastAsia="Arial" w:hAnsi="Arial"/>
          <w:sz w:val="18"/>
          <w:szCs w:val="18"/>
          <w:color w:val="auto"/>
        </w:rPr>
        <w:t>” means Pfizer’s global, primarily off-patent branded and generic established medicines business.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Upjohn Finance B.V. Indebtedness</w:t>
      </w:r>
      <w:r>
        <w:rPr>
          <w:rFonts w:ascii="Arial" w:cs="Arial" w:eastAsia="Arial" w:hAnsi="Arial"/>
          <w:sz w:val="18"/>
          <w:szCs w:val="18"/>
          <w:color w:val="auto"/>
        </w:rPr>
        <w:t>” means Indebtedness of Upjohn Finance B.V. owed to a Person, other than the Company or any Subsidiary of the Company, that has an aggregate principal amount or committed amount in excess of $500.0 million.</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that are (i) direct obligations of the United States for the payment of which its full faith and credit is pledged or (ii) obligations of a person controlled or supervised by and acting as an agency or an instrumentality of the United States the timely payment of which is unconditionally guaranteed as a full faith and credit obligation by the United States, that, in either case, are not callable or redeemable at the action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5"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 Subsidiary of the Company of which the Company owns all of the Capital Stock, directly or indirectly, other than directors’ qualifying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BOOK-ENTRY, DELIVERY AND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Global Notes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Initially, the Exchange Notes will be represented by one or more registered notes in global form, without interest coupons (collectively, the “Global Notes”). The Global Notes will be deposited on the issue date with, or on behalf of, DTC and registered in the name of Cede &amp; Co., as nominee of DTC, or will remain with the trustee as custodian for DTC.</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solely to another nominee of DTC or to a successor of DTC or such successor’s nominee. Beneficial interests in the Global Notes may not be exchanged for notes in physical, certificated form (“Certificated Notes”) except in the limited circumstances described below.</w:t>
      </w:r>
    </w:p>
    <w:p>
      <w:pPr>
        <w:spacing w:after="0" w:line="184"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All interests in the Global Notes, including those held through Euroclear Bank S.A., as operator of the Euroclear System (“Euroclear”) or Clearstream Banking, S.A. (“Clearstream”), may be subject to the procedures and requirements of DTC. Those interests held through Euroclear or Clearstream may also be subject to the procedures and requirements of such settlement systems.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Neither we, the trustee nor the initial purchasers of the Restricted Notes are responsible for those operations or procedures.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of the Restricted Notes,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78"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5540" w:right="3680" w:hanging="4884"/>
        <w:spacing w:after="0" w:line="449" w:lineRule="auto"/>
        <w:tabs>
          <w:tab w:leader="none" w:pos="10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Certificated Notes; and 78</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Transfers between participants in Euroclear or Clearstream will be effected in the ordinary way under the rules and operating procedures of those systems.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Certificated Notes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Notes in physical, certificated and registered form will be issued and delivered to each person that DTC identifies as a beneficial owner of the related notes only if:</w:t>
      </w:r>
    </w:p>
    <w:p>
      <w:pPr>
        <w:spacing w:after="0" w:line="76" w:lineRule="exact"/>
        <w:rPr>
          <w:sz w:val="20"/>
          <w:szCs w:val="20"/>
          <w:color w:val="auto"/>
        </w:rPr>
      </w:pPr>
    </w:p>
    <w:p>
      <w:pPr>
        <w:ind w:left="1080" w:right="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at our option, and subject to DTC’s procedures, notify the trustee under the indenture in writing that we elect to cause the issuance of Certificated Notes;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320" w:top="459" w:right="6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broker-dealer that receives the Exchange Notes for its own account pursuant to the exchange offer must acknowledge that it will deliver a prospectus meeting the requirements of the Securities Act in connection with any resale of such Exchange Notes. This prospectus, as it may be amended or supplemented from time to time, may be used by a broker-dealer in connection with resales of the Exchange Notes received in exchange for the Restricted Notes where such Restricted Notes were acquired as a result of market-making activities or other trading activities. Each such broker-dealer, through its participation in the exchange offer, will be deemed to have confirmed to us that it has not entered into any agreement or understanding with us or any of our “affiliates,” as defined in Rule 405 under the Securities Act, to participate in a “distribution,” as defined in the Securities Act, of the Exchange Notes.</w:t>
      </w:r>
    </w:p>
    <w:p>
      <w:pPr>
        <w:spacing w:after="0" w:line="19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agreed that, starting on the expiration date and ending 90 days after the expiration date, we will make this prospectus, as amended or supplemented, available to any broker-dealer for use in connection with any such resale.</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will not receive any proceeds from any sale of the Exchange Notes by broker-dealers. The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broker-dealer that resells the Exchange Notes that were received by it for its own account pursuant to the exchange offer and any broker or dealer that participates in a “distribution,” as defined in the Securities Act, of such Exchange Notes may be deemed to be an “underwriter” within the meaning of the Securities Act and any profit on any such resale of the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a period of 90 days after the expiration date, we will promptly send additional copies of this prospectus and any amendment or supplement to this prospectus to any broker-dealer that requests such documents.</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have agreed to pay all expenses incidental to the exchange offer other than underwriting discounts and commissions and transfer taxes, and will indemnify holders of the Exchange Notes, including any broker-dealers, against certain liabilities, including liabilities under the Securities Act or contribute to payments that they may be required to make in request thereof.</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Prohibition of Sales to European Economic Area Retail Investors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Exchange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2016/97/EU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prospectus has been prepared on the basis that any offer of the Exchange Notes in any Member State of the EEA will be made pursuant to an exemption under the Prospectus Regulation from the requirement to publish a prospectus for offers of the Exchange Notes. This prospectus is not a prospectus for the purposes of the Prospectus Regulation.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Exchange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EUWA; or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UK MiFIR; or (iii) not a qualified investor as defined in Article 2 of Regulation (EU) 2017/1129 as it forms part of domestic law by virtue of the EUWA (the “UK Prospectus Regulation”). Consequently, no key information document required by the PRIIPs Regulation as it forms part of domestic law by virtue of the EUWA (the “UK PRIIPs Regulation”) for offering or selling the Exchange Notes or otherwise making them available to retail investors in the UK has been prepared and, therefore, offering or selling the Exchange Notes or otherwise making them available to any retail investor in the UK may be unlawful under the UK PRIIPs Regulation.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This prospectus has been prepared on the basis that any offer of the Exchange Notes in the United Kingdom will be made pursuant to an exemption under the UK Prospectus Regulation from a requirement to publish a prospectus for offers of Exchange Notes. This prospectus is not a prospectus for the purpose of the UK Prospectus Regulation.</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Additionally, in the United Kingdom, this prospectus and any other document or materials relating to the issue of the Exchange Notes offered hereby is for distribution only to, and is only directed at, persons (i) who have professional experience in matters relating to investments falling within Article 19(5) of the Financial Services and Markets Act 2000 (Financial Promotion) Order 2005, as amended (the “Financial Promotion Order”), or (ii) who are high net worth companies (or other persons to whom it may lawfully be communicated), falling within Article 49(2)(a) to (d) of the Financial Promotion Order (all such persons in (i) and (ii) above together being referred to as “relevant persons”). This prospectus must not be acted on or relied on in the United Kingdom by persons who are not relevant persons. In the United Kingdom, any investment or investment activity to which this prospectus relates is only available to, and will be engaged in only with, relevant persons. Any person in the United Kingdom that is not a relevant person should not act or rely on this prospectus or the accompanying prospectus or any of their contents.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Exchange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that are, or are intended to be, disposed of only to persons outside Hong Kong or only to “professional investors” within the meaning of the Securities and Futures Ordinance (Cap. 571, Laws of Hong Kong) and any rules made thereunder.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Exchange Notes have not been and will not be registered under the Financial Instruments and Exchange Law of Japan (the “Financial Instruments and Exchange Law”) and each initial purchaser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left="120" w:right="280" w:hanging="4"/>
        <w:spacing w:after="0" w:line="260" w:lineRule="auto"/>
        <w:tabs>
          <w:tab w:leader="none" w:pos="4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conditions set forth in the SFA.</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Exchange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Exchange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Exchange Notes are “prescribed capital markets products” (as defined in the Securities and Futures (Capital Markets Products) Regulations 2018) and Excluded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Investment Products (as defined in MAS Notice SFA 04-N12: Notice on the Sale of Investment Products and MAS Notice FAA-N16: Notice on Recommendations on Investment Products).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The Exchange Notes may be sold only to purchasers purchasing, or deemed to be purchasing, as principal that are accredited investors, as defined in National Instrument 45-106 Prospectus Exemptions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Exchange Notes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is a discussion of the anticipated U.S. federal income tax consequences applicable to a holder of the Restricted Notes relating to the exchange of the Restricted Notes for the Exchange Notes.</w:t>
      </w:r>
    </w:p>
    <w:p>
      <w:pPr>
        <w:spacing w:after="0" w:line="170"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This discussion does not describe any tax consequences other than U.S. federal income tax consequences and does not address the income tax on certain “net investment income.” It applies to you only if you acquire notes in the offering at the offering price and you hold your notes as capital assets for U.S. federal income tax purposes. This section does not apply to you if you are a member of a class of holders subject to special rules, such as:</w:t>
      </w:r>
    </w:p>
    <w:p>
      <w:pPr>
        <w:spacing w:after="0" w:line="54"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dealer in securities or non-U.S.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regulated investment company, real estate investment trust, partnership or other passthrough entity (or investors in such entities),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bank, financial institution or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liable for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that actually or constructively owns 10% or more, by vote or value, of Viatris,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who is a U.S. expatriate,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that owns notes that are a hedge or that are hedged against interest rates or non-U.S. currency risks,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that owns notes as part of a straddle or a hedging, conversion, or other risk reduction transaction for U.S.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that purchases or sells notes as part of a wash sale for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U.S. holder whose functional currency for tax purposes is not the U.S. dollar.</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you purchase notes at a price other than the offering price, the amortizable bond premium or market discount rules may also apply to you. You should consult your tax advisor regarding this possibility.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is based on the Code, its legislative history, existing and proposed regulations under the Code, published rulings and court decisions, all as currently in effect. These laws are subject to change, possibly on a retroactive basis.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regarding the U.S. federal, state, local, and non-U.S. and other tax considerations of the acquisition, ownership, and disposition of the Exchange Notes.</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exchange of a Restricted Note for an Exchange Note pursuant to the exchange offer will not constitute a taxable exchange for U.S. federal income tax purposes and, accordingly, the Exchange Note received will be treated as a continuation of the Restricted Note in the hands of such holder. As a result, there will be no U.S. federal income tax consequences to a holder who exchanges a Restricted Note for an Exchange Note pursuant to the exchange offer and any such holder will have the same adjusted tax basis and holding period in the Exchange Note as it had in the Restricted Note immediately before the exchange. A holder who does not exchange its Restricted Note for an Exchange Note pursuant to the exchange offer will not recognize any gain or loss, for U.S. federal income tax purposes, upon consummation of the exchange offer.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concerning the exchange of a Restricted Note for an Exchange Note pursuant to the exchange offer in light of your particular circumstances under the Code and the laws of any other taxing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Dutch Income Tax Consequences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is a discussion of certain material Dutch income tax consequences applicable to a holder of Restricted Notes relating to the exchange of the Restricted Notes for the Exchange Notes. This discussion does not purport to describe all possible tax considerations or consequences that may be relevant to a holder of Restricted Notes and does not purport to deal with the tax consequences applicable to all categories of investors, some of which (such as trusts or similar arrangements) may be subject to special rules.</w:t>
      </w:r>
    </w:p>
    <w:p>
      <w:pPr>
        <w:spacing w:after="0" w:line="171" w:lineRule="exact"/>
        <w:rPr>
          <w:sz w:val="20"/>
          <w:szCs w:val="20"/>
          <w:color w:val="auto"/>
        </w:rPr>
      </w:pPr>
    </w:p>
    <w:p>
      <w:pPr>
        <w:ind w:left="120" w:right="500" w:firstLine="440"/>
        <w:spacing w:after="0" w:line="279" w:lineRule="auto"/>
        <w:rPr>
          <w:sz w:val="20"/>
          <w:szCs w:val="20"/>
          <w:color w:val="auto"/>
        </w:rPr>
      </w:pPr>
      <w:r>
        <w:rPr>
          <w:rFonts w:ascii="Arial" w:cs="Arial" w:eastAsia="Arial" w:hAnsi="Arial"/>
          <w:sz w:val="17"/>
          <w:szCs w:val="17"/>
          <w:color w:val="auto"/>
        </w:rPr>
        <w:t>This discussion is included for general information purposes only and is not Dutch tax advice or a complete description of all Dutch tax consequences relating to the exchange of the Restricted Notes for the Exchange Notes. Holders of Restricted Notes should consult their own tax advisors regarding the Dutch tax consequences relating to the exchange of the Restricted Notes for the Exchange Notes in light of their particular circumstances. In view of its general nature, this discussion should be treated with corresponding caution.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note that this section does not describe the Dutch tax consequences for:</w:t>
      </w:r>
    </w:p>
    <w:p>
      <w:pPr>
        <w:spacing w:after="0" w:line="131" w:lineRule="exact"/>
        <w:rPr>
          <w:sz w:val="20"/>
          <w:szCs w:val="20"/>
          <w:color w:val="auto"/>
        </w:rPr>
      </w:pPr>
    </w:p>
    <w:p>
      <w:pPr>
        <w:ind w:left="1080" w:hanging="532"/>
        <w:spacing w:after="0" w:line="288"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holder of Restricted Notes that is a resident or deemed to be resident of the Netherlands for Dutch tax purposes, and in the case of individuals, such holder’s partner or certain of its relatives by blood or marriage in the direct line (including foster children),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 aanmerkelijk belang</w:t>
      </w:r>
      <w:r>
        <w:rPr>
          <w:rFonts w:ascii="Arial" w:cs="Arial" w:eastAsia="Arial" w:hAnsi="Arial"/>
          <w:sz w:val="16"/>
          <w:szCs w:val="16"/>
          <w:color w:val="auto"/>
        </w:rPr>
        <w:t>) in Mylan II BV or Upjohn Finance BV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speaking, a holder of securities 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73"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pension funds, investment institutions (</w:t>
      </w:r>
      <w:r>
        <w:rPr>
          <w:rFonts w:ascii="Arial" w:cs="Arial" w:eastAsia="Arial" w:hAnsi="Arial"/>
          <w:sz w:val="18"/>
          <w:szCs w:val="18"/>
          <w:i w:val="1"/>
          <w:iCs w:val="1"/>
          <w:color w:val="auto"/>
        </w:rPr>
        <w:t>fiscale beleggingsinstellingen</w:t>
      </w:r>
      <w:r>
        <w:rPr>
          <w:rFonts w:ascii="Arial" w:cs="Arial" w:eastAsia="Arial" w:hAnsi="Arial"/>
          <w:sz w:val="18"/>
          <w:szCs w:val="18"/>
          <w:color w:val="auto"/>
        </w:rPr>
        <w:t>) and exempt investment institutions (</w:t>
      </w:r>
      <w:r>
        <w:rPr>
          <w:rFonts w:ascii="Arial" w:cs="Arial" w:eastAsia="Arial" w:hAnsi="Arial"/>
          <w:sz w:val="18"/>
          <w:szCs w:val="18"/>
          <w:i w:val="1"/>
          <w:iCs w:val="1"/>
          <w:color w:val="auto"/>
        </w:rPr>
        <w:t>vrijgestelde</w:t>
      </w:r>
      <w:r>
        <w:rPr>
          <w:rFonts w:ascii="Arial" w:cs="Arial" w:eastAsia="Arial" w:hAnsi="Arial"/>
          <w:sz w:val="18"/>
          <w:szCs w:val="18"/>
          <w:color w:val="auto"/>
        </w:rPr>
        <w:t xml:space="preserve"> </w:t>
      </w:r>
      <w:r>
        <w:rPr>
          <w:rFonts w:ascii="Arial" w:cs="Arial" w:eastAsia="Arial" w:hAnsi="Arial"/>
          <w:sz w:val="18"/>
          <w:szCs w:val="18"/>
          <w:i w:val="1"/>
          <w:iCs w:val="1"/>
          <w:color w:val="auto"/>
        </w:rPr>
        <w:t>beleggingsinstellingen</w:t>
      </w:r>
      <w:r>
        <w:rPr>
          <w:rFonts w:ascii="Arial" w:cs="Arial" w:eastAsia="Arial" w:hAnsi="Arial"/>
          <w:sz w:val="18"/>
          <w:szCs w:val="18"/>
          <w:color w:val="auto"/>
        </w:rPr>
        <w:t>) (each as defined in the Dutch Corporate Income Tax Act 1969) and other entities that are, in whole or in part,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or exempt from Dutch corporate income tax; and</w:t>
      </w:r>
    </w:p>
    <w:p>
      <w:pPr>
        <w:spacing w:after="0" w:line="89"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holder of Restricted Notes who is an individual for whom the Restricted Notes or the Exchange Notes or any benefit derived from the Restricted Notes or the Exchange Notes are a remuneration or deemed to be a remuneration for activities performed by such holder or certain individuals related to such holder (as defined in the Dutch Income Tax Act 2001).</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discussion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Please consult your own tax advisor regarding the Dutch and non-Dutch tax considerations of the acquisition, ownership, and disposition of the Exchange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Restricted Notes who do not exchange their Restricted Notes for the Exchange Notes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Holders of the Restricted Notes who do not exchange their Restricted Notes for the Exchange Notes will not recognize any gain or loss for Dutch income tax purposes, upon consummation of the exchange offer.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the Restricted Notes who exchange their Restricted Notes for the Exchange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Dutch tax consequences of an exchange of the Restricted Notes for the Exchange Notes pursuant to the exchange offer are not entirely clear under Dutch tax law. The exchange of the Restricted Notes for the Exchange Notes may be considered a non-taxable exchange for Dutch income tax purposes. However, it cannot be excluded that the exchange of the Restricted Notes for the Exchange Notes pursuant to the exchange offer constitutes a taxable exchange for Dutch income tax purposes. The subsections below describe the Dutch income tax consequences for holders who exchange their Restricted Notes for the Exchange Notes should the exchange pursuant to the exchange offer be considered a taxable exchange for Dutch income tax purposes.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Resident Entities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Generally speaking, if the holder of Restricted Notes is an entity that is a resident or deemed to be resident of the Netherlands for Dutch corporate income tax purposes (a “Dutch Resident Entity”), any gain or loss realized on the exchange of the Restricted Notes for the Exchange Notes is subject to Dutch corporate income tax at a rate of 15% with respect to taxable profits up to €245,000 and 25% with respect to taxable profits in excess of that amount (rates and brackets for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Resident Individuals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the holder of Restricted Notes is an individual resident or deemed to be resident of the Netherlands for Dutch income tax purposes (a “Dutch Resident Individual”), any gain or loss realized on the exchange of the Restricted Notes for the Exchange Notes is taxable at the progressive Dutch income tax rates (with a maximum of 49.5% in 2021), if:</w:t>
      </w:r>
    </w:p>
    <w:p>
      <w:pPr>
        <w:spacing w:after="0" w:line="89" w:lineRule="exact"/>
        <w:rPr>
          <w:sz w:val="20"/>
          <w:szCs w:val="20"/>
          <w:color w:val="auto"/>
        </w:rPr>
      </w:pPr>
    </w:p>
    <w:p>
      <w:pPr>
        <w:ind w:left="1080" w:right="4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Restricted Notes are attributable to an enterprise from which the holder of the Restricted Notes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89" w:lineRule="exact"/>
        <w:rPr>
          <w:rFonts w:ascii="Arial" w:cs="Arial" w:eastAsia="Arial" w:hAnsi="Arial"/>
          <w:sz w:val="18"/>
          <w:szCs w:val="18"/>
          <w:color w:val="auto"/>
        </w:rPr>
      </w:pPr>
    </w:p>
    <w:p>
      <w:pPr>
        <w:ind w:left="1080" w:right="48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 of Restricted Notes is considered to perform activities with respect to the Restricted Notes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Restricted Notes that are taxable as benefits from other activities (</w:t>
      </w:r>
      <w:r>
        <w:rPr>
          <w:rFonts w:ascii="Arial" w:cs="Arial" w:eastAsia="Arial" w:hAnsi="Arial"/>
          <w:sz w:val="18"/>
          <w:szCs w:val="18"/>
          <w:i w:val="1"/>
          <w:iCs w:val="1"/>
          <w:color w:val="auto"/>
        </w:rPr>
        <w:t>resultaat uit overige werkzaamheden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above-mentioned conditions (i) and (ii) do not apply to the individual holder of Restricted Notes, such holder will be taxed annually on a deemed return (with a maximum of 5.69% in 2021) on the individual’s net investment assets (</w:t>
      </w:r>
      <w:r>
        <w:rPr>
          <w:rFonts w:ascii="Arial" w:cs="Arial" w:eastAsia="Arial" w:hAnsi="Arial"/>
          <w:sz w:val="18"/>
          <w:szCs w:val="18"/>
          <w:i w:val="1"/>
          <w:iCs w:val="1"/>
          <w:color w:val="auto"/>
        </w:rPr>
        <w:t>rendementsgrondslag</w:t>
      </w:r>
      <w:r>
        <w:rPr>
          <w:rFonts w:ascii="Arial" w:cs="Arial" w:eastAsia="Arial" w:hAnsi="Arial"/>
          <w:sz w:val="18"/>
          <w:szCs w:val="18"/>
          <w:color w:val="auto"/>
        </w:rPr>
        <w:t>) for the year, insofar the individual’s net investment assets for the year exceed a statutory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The deemed return on the individual’s net investment assets for the year is taxed at a rate of 31% (rate for 2021). Actual gains or losses realized on the exchange of the Restricted Notes for the Exchange Notes are as such not subject to Dutch income tax.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 holder of Restricted Notes that is neither a Dutch Resident Entity nor a Dutch Resident Individual will not be subject to Dutch taxes on income or capital gains in respect of any gain or loss realized on the exchange of the Restricted Notes for the Exchange Notes, provided that:</w:t>
      </w:r>
    </w:p>
    <w:p>
      <w:pPr>
        <w:spacing w:after="0" w:line="52" w:lineRule="exact"/>
        <w:rPr>
          <w:sz w:val="20"/>
          <w:szCs w:val="20"/>
          <w:color w:val="auto"/>
        </w:rPr>
      </w:pPr>
    </w:p>
    <w:p>
      <w:pPr>
        <w:ind w:left="1080" w:right="14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Restricted Notes are attributable;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Restricted Notes that go beyond ordinary asset management and does not derive benefits from the Restricted Notes that are taxable as benefits from other activities in the Netherlands.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Please consult your own tax advisor concerning the exchange of the Restricted Notes for the Exchange Notes pursuant to the exchange offer in light of your particular circumstances under the tax laws of the Netherlands, published regulations thereunder and the laws of any other taxing jurisdiction.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Certain legal matters in connection with this exchange offer, including the validity of the Exchange Notes and the validity of the guarantees by Utah Acquisition Sub Inc., will be passed upon for us by Cravath, Swaine &amp; Moore LLP, New York, New York. Certain Pennsylvania legal matters, including the validity of the guarantees of Mylan Inc. with respect to Pennsylvania law, will be passed upon for us by Thomas D. Salus, Assistant Secretary of Viatris Inc. and Deputy Global General Counsel and Assistant Secretary of Mylan Inc. As of September 10, 2021, Mr. Salus owned a number of shares of Viatris’ common stock, as well as unvested restricted stock units and performance restricted stock units, which may be paid in shares of Viatris’ common stock at a later date, and had options to acquire a number of shares of Viatris’ common stock, the total of which represented less than 0.1% of the total outstanding common stock of Viatris. Certain Dutch legal matters, including the validity of the guarantees of Mylan II B.V. with respect to Dutch law, will be passed upon for us by NautaDutilh N.V., our Dutch counsel.</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schedules incorporated by reference into this prospectus from Viatris Inc.’s Annual Report on Form 10-K for the year ended December 31, 2020 and the effectiveness of Viatris Inc.’s internal control over financial reporting as of December 31, 2020 have been audited by Deloitte &amp; Touche LLP, an independent registered public accounting firm, as stated in their report, which are incorporated by reference herein. Such financial statements have been so incorporated in reliance upon the report of such firm given upon their authority as experts in accounting and auditing.</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combined financial statements of the Upjohn Business as of December 31, 2019 and 2018, and for each of the years in the three-year period ended December 31, 2019, have been incorporated by reference herein in reliance upon the report of KPMG LLP, independent registered public accounting firm, incorporated by reference herein, and upon the authority of said firm as experts in accounting and auditing.</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With respect to the unaudited interim financial information of the Upjohn Business for the periods ended September 27, 2020 and September 29, 2019, incorporated by reference herein, KPMG LLP, independent registered public accounting firm, has reported that they applied limited procedures in accordance with professional standards for a review of such information. However, their separate report for the quarter ended September 27, 2020, incorporated by reference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for their report on the unaudited interim financial information because that report is not a ‘report’ or a ‘part’ of the registration statement prepared or certified by the accountants within the meaning of Sections 7 and 11 of the Securities Act.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Netherlands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Mylan II B.V. is incorporated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the laws of the Netherlands. Certain of Mylan II B.V.’s directors may reside outside the 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(iii) such judgment was not contrary to the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17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INSOLVENCY LAW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Netherlands</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Mylan II B.V. is incorporated as a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xml:space="preserve">) in the Netherlands. Provided that the center of main interest of Mylan II B.V. would deemed to 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w:t>
      </w:r>
    </w:p>
    <w:p>
      <w:pPr>
        <w:spacing w:after="0" w:line="18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Arial" w:cs="Arial" w:eastAsia="Arial" w:hAnsi="Arial"/>
          <w:sz w:val="17"/>
          <w:szCs w:val="17"/>
          <w:i w:val="1"/>
          <w:iCs w:val="1"/>
          <w:color w:val="auto"/>
        </w:rPr>
        <w:t>surseance van betaling</w:t>
      </w:r>
      <w:r>
        <w:rPr>
          <w:rFonts w:ascii="Arial" w:cs="Arial" w:eastAsia="Arial" w:hAnsi="Arial"/>
          <w:sz w:val="17"/>
          <w:szCs w:val="17"/>
          <w:color w:val="auto"/>
        </w:rPr>
        <w:t>), is intended to facilitate the reorganization of a debtor’s indebtedness and enable the debtor to continue as a going concern. The second, bankruptcy (</w:t>
      </w:r>
      <w:r>
        <w:rPr>
          <w:rFonts w:ascii="Arial" w:cs="Arial" w:eastAsia="Arial" w:hAnsi="Arial"/>
          <w:sz w:val="17"/>
          <w:szCs w:val="17"/>
          <w:i w:val="1"/>
          <w:iCs w:val="1"/>
          <w:color w:val="auto"/>
        </w:rPr>
        <w:t>faillissement</w:t>
      </w:r>
      <w:r>
        <w:rPr>
          <w:rFonts w:ascii="Arial" w:cs="Arial" w:eastAsia="Arial" w:hAnsi="Arial"/>
          <w:sz w:val="17"/>
          <w:szCs w:val="17"/>
          <w:color w:val="auto"/>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Arial" w:cs="Arial" w:eastAsia="Arial" w:hAnsi="Arial"/>
          <w:sz w:val="17"/>
          <w:szCs w:val="17"/>
          <w:i w:val="1"/>
          <w:iCs w:val="1"/>
          <w:color w:val="auto"/>
        </w:rPr>
        <w:t>Faillissementswet</w:t>
      </w:r>
      <w:r>
        <w:rPr>
          <w:rFonts w:ascii="Arial" w:cs="Arial" w:eastAsia="Arial" w:hAnsi="Arial"/>
          <w:sz w:val="17"/>
          <w:szCs w:val="17"/>
          <w:color w:val="auto"/>
        </w:rPr>
        <w:t>). A general description of the principles of both insolvency regimes is set out below.</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Arial" w:cs="Arial" w:eastAsia="Arial" w:hAnsi="Arial"/>
          <w:sz w:val="16"/>
          <w:szCs w:val="16"/>
          <w:i w:val="1"/>
          <w:iCs w:val="1"/>
          <w:color w:val="auto"/>
        </w:rPr>
        <w:t>dadelijk</w:t>
      </w:r>
      <w:r>
        <w:rPr>
          <w:rFonts w:ascii="Arial" w:cs="Arial" w:eastAsia="Arial" w:hAnsi="Arial"/>
          <w:sz w:val="16"/>
          <w:szCs w:val="16"/>
          <w:color w:val="auto"/>
        </w:rPr>
        <w:t>) grant a provisional moratorium and appoint at least one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of the debtor’s estate. A court hearing of, among others, creditors is required to decide on the definitive moratorium. If a draft composition (</w:t>
      </w:r>
      <w:r>
        <w:rPr>
          <w:rFonts w:ascii="Arial" w:cs="Arial" w:eastAsia="Arial" w:hAnsi="Arial"/>
          <w:sz w:val="16"/>
          <w:szCs w:val="16"/>
          <w:i w:val="1"/>
          <w:iCs w:val="1"/>
          <w:color w:val="auto"/>
        </w:rPr>
        <w:t>ontwerp akkoord</w:t>
      </w:r>
      <w:r>
        <w:rPr>
          <w:rFonts w:ascii="Arial" w:cs="Arial" w:eastAsia="Arial" w:hAnsi="Arial"/>
          <w:sz w:val="16"/>
          <w:szCs w:val="16"/>
          <w:color w:val="auto"/>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Arial" w:cs="Arial" w:eastAsia="Arial" w:hAnsi="Arial"/>
          <w:sz w:val="16"/>
          <w:szCs w:val="16"/>
          <w:i w:val="1"/>
          <w:iCs w:val="1"/>
          <w:color w:val="auto"/>
        </w:rPr>
        <w:t>gehomologeerd</w:t>
      </w:r>
      <w:r>
        <w:rPr>
          <w:rFonts w:ascii="Arial" w:cs="Arial" w:eastAsia="Arial" w:hAnsi="Arial"/>
          <w:sz w:val="16"/>
          <w:szCs w:val="16"/>
          <w:color w:val="auto"/>
        </w:rPr>
        <w:t>), the provisional moratorium ends. The definitive moratorium will generally be granted unless (i) 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Arial" w:cs="Arial" w:eastAsia="Arial" w:hAnsi="Arial"/>
          <w:sz w:val="16"/>
          <w:szCs w:val="16"/>
          <w:i w:val="1"/>
          <w:iCs w:val="1"/>
          <w:color w:val="auto"/>
        </w:rPr>
        <w:t>afkoelingsperiode</w:t>
      </w:r>
      <w:r>
        <w:rPr>
          <w:rFonts w:ascii="Arial" w:cs="Arial" w:eastAsia="Arial" w:hAnsi="Arial"/>
          <w:sz w:val="16"/>
          <w:szCs w:val="16"/>
          <w:color w:val="auto"/>
        </w:rPr>
        <w:t>) for a maximum period of four months during which enforcement actions by secured or preferential creditors are barred. In a moratorium of payments, whether definitive or temporary, a composition (</w:t>
      </w:r>
      <w:r>
        <w:rPr>
          <w:rFonts w:ascii="Arial" w:cs="Arial" w:eastAsia="Arial" w:hAnsi="Arial"/>
          <w:sz w:val="16"/>
          <w:szCs w:val="16"/>
          <w:i w:val="1"/>
          <w:iCs w:val="1"/>
          <w:color w:val="auto"/>
        </w:rPr>
        <w:t>akkoord</w:t>
      </w:r>
      <w:r>
        <w:rPr>
          <w:rFonts w:ascii="Arial" w:cs="Arial" w:eastAsia="Arial" w:hAnsi="Arial"/>
          <w:sz w:val="16"/>
          <w:szCs w:val="16"/>
          <w:color w:val="auto"/>
        </w:rPr>
        <w:t>) may be offered to creditors. A composition will be binding on all unsecured and non-preferential creditors if it is (i) approved by a simple majority of the meeting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recognized and of the admitted creditors representing at least 50% of the amount of the recognized and of the admitted claims, and (ii) subsequently irrevocably ratified (</w:t>
      </w:r>
      <w:r>
        <w:rPr>
          <w:rFonts w:ascii="Arial" w:cs="Arial" w:eastAsia="Arial" w:hAnsi="Arial"/>
          <w:sz w:val="17"/>
          <w:szCs w:val="17"/>
          <w:i w:val="1"/>
          <w:iCs w:val="1"/>
          <w:color w:val="auto"/>
        </w:rPr>
        <w:t>gehomologeerd</w:t>
      </w:r>
      <w:r>
        <w:rPr>
          <w:rFonts w:ascii="Arial" w:cs="Arial" w:eastAsia="Arial" w:hAnsi="Arial"/>
          <w:sz w:val="17"/>
          <w:szCs w:val="17"/>
          <w:color w:val="auto"/>
        </w:rPr>
        <w:t>)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 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w:t>
      </w:r>
    </w:p>
    <w:p>
      <w:pPr>
        <w:spacing w:after="0" w:line="18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Arial" w:cs="Arial" w:eastAsia="Arial" w:hAnsi="Arial"/>
          <w:sz w:val="16"/>
          <w:szCs w:val="16"/>
          <w:i w:val="1"/>
          <w:iCs w:val="1"/>
          <w:color w:val="auto"/>
        </w:rPr>
        <w:t>boedelschuldeisers</w:t>
      </w:r>
      <w:r>
        <w:rPr>
          <w:rFonts w:ascii="Arial" w:cs="Arial" w:eastAsia="Arial" w:hAnsi="Arial"/>
          <w:sz w:val="16"/>
          <w:szCs w:val="16"/>
          <w:color w:val="auto"/>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Arial" w:cs="Arial" w:eastAsia="Arial" w:hAnsi="Arial"/>
          <w:sz w:val="16"/>
          <w:szCs w:val="16"/>
          <w:i w:val="1"/>
          <w:iCs w:val="1"/>
          <w:color w:val="auto"/>
        </w:rPr>
        <w:t>Wet</w:t>
      </w:r>
      <w:r>
        <w:rPr>
          <w:rFonts w:ascii="Arial" w:cs="Arial" w:eastAsia="Arial" w:hAnsi="Arial"/>
          <w:sz w:val="16"/>
          <w:szCs w:val="16"/>
          <w:color w:val="auto"/>
        </w:rPr>
        <w:t xml:space="preserve"> </w:t>
      </w:r>
      <w:r>
        <w:rPr>
          <w:rFonts w:ascii="Arial" w:cs="Arial" w:eastAsia="Arial" w:hAnsi="Arial"/>
          <w:sz w:val="16"/>
          <w:szCs w:val="16"/>
          <w:i w:val="1"/>
          <w:iCs w:val="1"/>
          <w:color w:val="auto"/>
        </w:rPr>
        <w:t>collectieve afwikkeling massaschade</w:t>
      </w:r>
      <w:r>
        <w:rPr>
          <w:rFonts w:ascii="Arial" w:cs="Arial" w:eastAsia="Arial" w:hAnsi="Arial"/>
          <w:sz w:val="16"/>
          <w:szCs w:val="16"/>
          <w:color w:val="auto"/>
        </w:rPr>
        <w:t>). Verification under Dutch law means that the receiver takes a preliminary decision on the value of the claim and</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and to what 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Arial" w:cs="Arial" w:eastAsia="Arial" w:hAnsi="Arial"/>
          <w:sz w:val="16"/>
          <w:szCs w:val="16"/>
          <w:i w:val="1"/>
          <w:iCs w:val="1"/>
          <w:color w:val="auto"/>
        </w:rPr>
        <w:t>verificatievergadering</w:t>
      </w:r>
      <w:r>
        <w:rPr>
          <w:rFonts w:ascii="Arial" w:cs="Arial" w:eastAsia="Arial" w:hAnsi="Arial"/>
          <w:sz w:val="16"/>
          <w:szCs w:val="16"/>
          <w:color w:val="auto"/>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Arial" w:cs="Arial" w:eastAsia="Arial" w:hAnsi="Arial"/>
          <w:sz w:val="16"/>
          <w:szCs w:val="16"/>
          <w:i w:val="1"/>
          <w:iCs w:val="1"/>
          <w:color w:val="auto"/>
        </w:rPr>
        <w:t>renvooiprocedure</w:t>
      </w:r>
      <w:r>
        <w:rPr>
          <w:rFonts w:ascii="Arial" w:cs="Arial" w:eastAsia="Arial" w:hAnsi="Arial"/>
          <w:sz w:val="16"/>
          <w:szCs w:val="16"/>
          <w:color w:val="auto"/>
        </w:rPr>
        <w:t xml:space="preserve">). These </w:t>
      </w:r>
      <w:r>
        <w:rPr>
          <w:rFonts w:ascii="Arial" w:cs="Arial" w:eastAsia="Arial" w:hAnsi="Arial"/>
          <w:sz w:val="16"/>
          <w:szCs w:val="16"/>
          <w:i w:val="1"/>
          <w:iCs w:val="1"/>
          <w:color w:val="auto"/>
        </w:rPr>
        <w:t>renvooi procedures</w:t>
      </w:r>
      <w:r>
        <w:rPr>
          <w:rFonts w:ascii="Arial" w:cs="Arial" w:eastAsia="Arial" w:hAnsi="Arial"/>
          <w:sz w:val="16"/>
          <w:szCs w:val="16"/>
          <w:color w:val="auto"/>
        </w:rPr>
        <w:t xml:space="preserve"> could cause holders of the notes to recover less than the percentage they would receive if their claim was fully acknowledged or less than they could recover in a United States liquidation. Such </w:t>
      </w:r>
      <w:r>
        <w:rPr>
          <w:rFonts w:ascii="Arial" w:cs="Arial" w:eastAsia="Arial" w:hAnsi="Arial"/>
          <w:sz w:val="16"/>
          <w:szCs w:val="16"/>
          <w:i w:val="1"/>
          <w:iCs w:val="1"/>
          <w:color w:val="auto"/>
        </w:rPr>
        <w:t xml:space="preserve">renvooi procedures </w:t>
      </w:r>
      <w:r>
        <w:rPr>
          <w:rFonts w:ascii="Arial" w:cs="Arial" w:eastAsia="Arial" w:hAnsi="Arial"/>
          <w:sz w:val="16"/>
          <w:szCs w:val="16"/>
          <w:color w:val="auto"/>
        </w:rPr>
        <w:t>or proceedings for granting a collective settlement agreement binding effect could also cause payments to the holders of the notes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Arial" w:cs="Arial" w:eastAsia="Arial" w:hAnsi="Arial"/>
          <w:sz w:val="16"/>
          <w:szCs w:val="16"/>
          <w:i w:val="1"/>
          <w:iCs w:val="1"/>
          <w:color w:val="auto"/>
        </w:rPr>
        <w:t>gehomologeerd</w:t>
      </w:r>
      <w:r>
        <w:rPr>
          <w:rFonts w:ascii="Arial" w:cs="Arial" w:eastAsia="Arial" w:hAnsi="Arial"/>
          <w:sz w:val="16"/>
          <w:szCs w:val="16"/>
          <w:color w:val="auto"/>
        </w:rPr>
        <w:t>)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Act does not in itself recognize the concept of classes of creditors. Remaining amounts, if any, after satisfaction 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With the entry into force of the Act on Court Confirmation of Extrajudicial Restructuring Plans (</w:t>
      </w:r>
      <w:r>
        <w:rPr>
          <w:rFonts w:ascii="Arial" w:cs="Arial" w:eastAsia="Arial" w:hAnsi="Arial"/>
          <w:sz w:val="16"/>
          <w:szCs w:val="16"/>
          <w:i w:val="1"/>
          <w:iCs w:val="1"/>
          <w:color w:val="auto"/>
        </w:rPr>
        <w:t>Wet homologatie onderhands akkoord</w:t>
      </w:r>
      <w:r>
        <w:rPr>
          <w:rFonts w:ascii="Arial" w:cs="Arial" w:eastAsia="Arial" w:hAnsi="Arial"/>
          <w:sz w:val="16"/>
          <w:szCs w:val="16"/>
          <w:color w:val="auto"/>
        </w:rPr>
        <w:t>) (“WHOA”) on January 1, 2021, debtors now have the possibility to offer a composition outside of formal insolvency proceedings.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 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w:t>
      </w:r>
    </w:p>
    <w:p>
      <w:pPr>
        <w:spacing w:after="0" w:line="2" w:lineRule="exact"/>
        <w:rPr>
          <w:sz w:val="20"/>
          <w:szCs w:val="20"/>
          <w:color w:val="auto"/>
        </w:rPr>
      </w:pPr>
    </w:p>
    <w:p>
      <w:pPr>
        <w:ind w:left="120" w:right="40" w:hanging="4"/>
        <w:spacing w:after="0" w:line="269" w:lineRule="auto"/>
        <w:tabs>
          <w:tab w:leader="none" w:pos="4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cross-class cram downs.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w:t>
      </w:r>
    </w:p>
    <w:p>
      <w:pPr>
        <w:spacing w:after="0" w:line="18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Arial" w:cs="Arial" w:eastAsia="Arial" w:hAnsi="Arial"/>
          <w:sz w:val="18"/>
          <w:szCs w:val="18"/>
          <w:i w:val="1"/>
          <w:iCs w:val="1"/>
          <w:color w:val="auto"/>
        </w:rPr>
        <w:t>onverplichte</w:t>
      </w:r>
      <w:r>
        <w:rPr>
          <w:rFonts w:ascii="Arial" w:cs="Arial" w:eastAsia="Arial" w:hAnsi="Arial"/>
          <w:sz w:val="18"/>
          <w:szCs w:val="18"/>
          <w:color w:val="auto"/>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Arial" w:cs="Arial" w:eastAsia="Arial" w:hAnsi="Arial"/>
          <w:sz w:val="18"/>
          <w:szCs w:val="18"/>
          <w:i w:val="1"/>
          <w:iCs w:val="1"/>
          <w:color w:val="auto"/>
        </w:rPr>
        <w:t>hij die betaling ontving</w:t>
      </w:r>
      <w:r>
        <w:rPr>
          <w:rFonts w:ascii="Arial" w:cs="Arial" w:eastAsia="Arial" w:hAnsi="Arial"/>
          <w:sz w:val="18"/>
          <w:szCs w:val="18"/>
          <w:color w:val="auto"/>
        </w:rPr>
        <w:t>) knew that the application for bankruptcy of the debtor was filed at the moment of payment or (ii) the debtor and the payee engaged in this payment in a conspiracy in order to prejudice other creditors.</w:t>
      </w:r>
    </w:p>
    <w:p>
      <w:pPr>
        <w:spacing w:after="0" w:line="19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468630</wp:posOffset>
            </wp:positionV>
            <wp:extent cx="1731645" cy="497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ectPr>
          <w:pgSz w:w="11900" w:h="16838" w:orient="portrait"/>
          <w:cols w:equalWidth="0" w:num="1">
            <w:col w:w="10139"/>
          </w:cols>
          <w:pgMar w:left="320" w:top="459" w:right="144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VIATRIS INC.</w:t>
      </w:r>
    </w:p>
    <w:p>
      <w:pPr>
        <w:spacing w:after="0" w:line="221"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OFFER TO EXCHANGE</w:t>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$1,000,000,000 aggregate principal amount of 1.125% Senior Notes due 2022</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#91533BAA8, ISIN #US91533BAA89</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 U9156BAA3, ISIN #USU9156BAA36</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1.125% Senior Notes due 2022</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$750,000,000 aggregate principal amount of 1.650% Senior Notes due 2025</w:t>
      </w:r>
    </w:p>
    <w:p>
      <w:pPr>
        <w:spacing w:after="0" w:line="7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#91533BAB6, ISIN #US91533BAB62</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#U9156BAB1, ISIN #USU9156BAB19</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1.650% Senior Notes due 2025</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Up to $750,000,000 aggregate principal amount of 2.300% Senior Notes due 2027</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CUSIP #91533BAC4, ISIN #US91533BAC46</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#U9156BAC9, ISIN #USU9156BAC91</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2.300% Senior Notes due 2027</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$1,450,000,000 aggregate principal amount of 2.700% Senior Notes due 2030</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#91533BAD2, ISIN #US91533BAD29</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#U9156BAD7, ISIN #USU9156BAD74</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2.700% Senior Notes due 2030</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0" w:lineRule="exact"/>
        <w:rPr>
          <w:sz w:val="20"/>
          <w:szCs w:val="20"/>
          <w:color w:val="auto"/>
        </w:rPr>
      </w:pPr>
    </w:p>
    <w:p>
      <w:pPr>
        <w:spacing w:after="0" w:line="253"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Up to $1,500,000,000 aggregate principal amount of 3.850% Senior Notes due 2040</w:t>
      </w:r>
    </w:p>
    <w:p>
      <w:pPr>
        <w:spacing w:after="0" w:line="7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CUSIP #91533BAE0, ISIN #US91533BAE02</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#U9156BAE5, ISIN #USU9156BAE57</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3.850% Senior Notes due 2040</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Up to $2,000,000,000 aggregate principal amount of 4.000% Senior Notes due 2050</w:t>
      </w:r>
    </w:p>
    <w:p>
      <w:pPr>
        <w:spacing w:after="0" w:line="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#91533BAF7, ISIN #US91533BAF76</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CUSIP #U9156BAF2, ISIN #USU9156BAF23</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 a like aggregate principal amount of 4.000% Senior Notes due 2050</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which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179070</wp:posOffset>
            </wp:positionV>
            <wp:extent cx="1474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September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3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1)"/>
      <w:numFmt w:val="decimal"/>
      <w:start w:val="7"/>
    </w:lvl>
  </w:abstractNum>
  <w:abstractNum w:abstractNumId="7">
    <w:nsid w:val="7644A45C"/>
    <w:multiLevelType w:val="hybridMultilevel"/>
    <w:lvl w:ilvl="0">
      <w:lvlJc w:val="left"/>
      <w:lvlText w:val="(%1)"/>
      <w:numFmt w:val="lowerRoman"/>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1."/>
      <w:numFmt w:val="lowerLetter"/>
      <w:start w:val="1"/>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2"/>
    </w:lvl>
  </w:abstractNum>
  <w:abstractNum w:abstractNumId="25">
    <w:nsid w:val="1CF10FD8"/>
    <w:multiLevelType w:val="hybridMultilevel"/>
    <w:lvl w:ilvl="0">
      <w:lvlJc w:val="left"/>
      <w:lvlText w:val="%1."/>
      <w:numFmt w:val="lowerLetter"/>
      <w:start w:val="4"/>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lowerLetter"/>
      <w:start w:val="1"/>
    </w:lvl>
    <w:lvl w:ilvl="1">
      <w:lvlJc w:val="left"/>
      <w:lvlText w:val="(%2)"/>
      <w:numFmt w:val="decimal"/>
      <w:start w:val="1"/>
    </w:lvl>
  </w:abstractNum>
  <w:abstractNum w:abstractNumId="32">
    <w:nsid w:val="D34B6A8"/>
    <w:multiLevelType w:val="hybridMultilevel"/>
    <w:lvl w:ilvl="0">
      <w:lvlJc w:val="left"/>
      <w:lvlText w:val="(%1)"/>
      <w:numFmt w:val="lowerLetter"/>
      <w:start w:val="3"/>
    </w:lvl>
    <w:lvl w:ilvl="1">
      <w:lvlJc w:val="left"/>
      <w:lvlText w:val="(%2)"/>
      <w:numFmt w:val="decimal"/>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lowerRoman"/>
      <w:start w:val="1"/>
    </w:lvl>
  </w:abstractNum>
  <w:abstractNum w:abstractNumId="39">
    <w:nsid w:val="310C50B3"/>
    <w:multiLevelType w:val="hybridMultilevel"/>
    <w:lvl w:ilvl="0">
      <w:lvlJc w:val="left"/>
      <w:lvlText w:val="•"/>
      <w:numFmt w:val="bullet"/>
      <w:start w:val="1"/>
    </w:lvl>
    <w:lvl w:ilvl="1">
      <w:lvlJc w:val="left"/>
      <w:lvlText w:val="(%2)"/>
      <w:numFmt w:val="lowerRoman"/>
      <w:start w:val="1"/>
    </w:lvl>
  </w:abstractNum>
  <w:abstractNum w:abstractNumId="40">
    <w:nsid w:val="5FF87E05"/>
    <w:multiLevelType w:val="hybridMultilevel"/>
    <w:lvl w:ilvl="0">
      <w:lvlJc w:val="left"/>
      <w:lvlText w:val="•"/>
      <w:numFmt w:val="bullet"/>
      <w:start w:val="1"/>
    </w:lvl>
    <w:lvl w:ilvl="1">
      <w:lvlJc w:val="left"/>
      <w:lvlText w:val="(%2)"/>
      <w:numFmt w:val="lowerRoman"/>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lvl w:ilvl="1">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lowerRoman"/>
      <w:start w:val="10"/>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4"/>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5"/>
    </w:lvl>
  </w:abstractNum>
  <w:abstractNum w:abstractNumId="59">
    <w:nsid w:val="5DC79EA8"/>
    <w:multiLevelType w:val="hybridMultilevel"/>
    <w:lvl w:ilvl="0">
      <w:lvlJc w:val="left"/>
      <w:lvlText w:val="(%1)"/>
      <w:numFmt w:val="decimal"/>
      <w:start w:val="1"/>
    </w:lvl>
    <w:lvl w:ilvl="1">
      <w:lvlJc w:val="left"/>
      <w:lvlText w:val="(%2)"/>
      <w:numFmt w:val="upperLetter"/>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lvl w:ilvl="1">
      <w:lvlJc w:val="left"/>
      <w:lvlText w:val="(%2)"/>
      <w:numFmt w:val="upperLetter"/>
      <w:start w:val="1"/>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5"/>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lowerRoman"/>
      <w:start w:val="1"/>
    </w:lvl>
    <w:lvl w:ilvl="1">
      <w:lvlJc w:val="left"/>
      <w:lvlText w:val="(%2)"/>
      <w:numFmt w:val="decimal"/>
      <w:start w:val="10"/>
    </w:lvl>
  </w:abstractNum>
  <w:abstractNum w:abstractNumId="70">
    <w:nsid w:val="3B0FD379"/>
    <w:multiLevelType w:val="hybridMultilevel"/>
    <w:lvl w:ilvl="0">
      <w:lvlJc w:val="left"/>
      <w:lvlText w:val="(%1)"/>
      <w:numFmt w:val="lowerRoman"/>
      <w:start w:val="2"/>
    </w:lvl>
    <w:lvl w:ilvl="1">
      <w:lvlJc w:val="left"/>
      <w:lvlText w:val="(%2)"/>
      <w:numFmt w:val="decimal"/>
      <w:start w:val="21"/>
    </w:lvl>
  </w:abstractNum>
  <w:abstractNum w:abstractNumId="71">
    <w:nsid w:val="68EB2F63"/>
    <w:multiLevelType w:val="hybridMultilevel"/>
    <w:lvl w:ilvl="0">
      <w:lvlJc w:val="left"/>
      <w:lvlText w:val="(%1)"/>
      <w:numFmt w:val="decimal"/>
      <w:start w:val="27"/>
    </w:lvl>
    <w:lvl w:ilvl="1">
      <w:lvlJc w:val="left"/>
      <w:lvlText w:val="(%2)"/>
      <w:numFmt w:val="decimal"/>
      <w:start w:val="13"/>
    </w:lvl>
    <w:lvl w:ilvl="2">
      <w:lvlJc w:val="left"/>
      <w:lvlText w:val="(%3)"/>
      <w:numFmt w:val="upperLetter"/>
      <w:start w:val="1"/>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lvl w:ilvl="1">
      <w:lvlJc w:val="left"/>
      <w:lvlText w:val="(%2)"/>
      <w:numFmt w:val="upperLetter"/>
      <w:start w:val="1"/>
    </w:lvl>
  </w:abstractNum>
  <w:abstractNum w:abstractNumId="75">
    <w:nsid w:val="14330624"/>
    <w:multiLevelType w:val="hybridMultilevel"/>
    <w:lvl w:ilvl="0">
      <w:lvlJc w:val="left"/>
      <w:lvlText w:val="%1"/>
      <w:numFmt w:val="lowerLetter"/>
      <w:start w:val="1"/>
    </w:lvl>
    <w:lvl w:ilvl="1">
      <w:lvlJc w:val="left"/>
      <w:lvlText w:val="(%2)"/>
      <w:numFmt w:val="decimal"/>
      <w:start w:val="1"/>
    </w:lvl>
  </w:abstractNum>
  <w:abstractNum w:abstractNumId="76">
    <w:nsid w:val="7FFFCA11"/>
    <w:multiLevelType w:val="hybridMultilevel"/>
    <w:lvl w:ilvl="0">
      <w:lvlJc w:val="left"/>
      <w:lvlText w:val="(%1)"/>
      <w:numFmt w:val="lowerLetter"/>
      <w:start w:val="2"/>
    </w:lvl>
    <w:lvl w:ilvl="1">
      <w:lvlJc w:val="left"/>
      <w:lvlText w:val="%2"/>
      <w:numFmt w:val="decimal"/>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1)"/>
      <w:numFmt w:val="lowerRoman"/>
      <w:start w:val="3"/>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lowerRoman"/>
      <w:start w:val="1"/>
    </w:lvl>
  </w:abstractNum>
  <w:abstractNum w:abstractNumId="84">
    <w:nsid w:val="885E1B"/>
    <w:multiLevelType w:val="hybridMultilevel"/>
    <w:lvl w:ilvl="0">
      <w:lvlJc w:val="left"/>
      <w:lvlText w:val="(%1)"/>
      <w:numFmt w:val="lowerRoman"/>
      <w:start w:val="1"/>
    </w:lvl>
  </w:abstractNum>
  <w:abstractNum w:abstractNumId="85">
    <w:nsid w:val="76272110"/>
    <w:multiLevelType w:val="hybridMultilevel"/>
    <w:lvl w:ilvl="0">
      <w:lvlJc w:val="left"/>
      <w:lvlText w:val="(%1)"/>
      <w:numFmt w:val="lowerRoman"/>
      <w:start w:val="1"/>
    </w:lvl>
  </w:abstractNum>
  <w:abstractNum w:abstractNumId="86">
    <w:nsid w:val="4C04A8AF"/>
    <w:multiLevelType w:val="hybridMultilevel"/>
    <w:lvl w:ilvl="0">
      <w:lvlJc w:val="left"/>
      <w:lvlText w:val="(%1)"/>
      <w:numFmt w:val="lowerRoman"/>
      <w:start w:val="2"/>
    </w:lvl>
  </w:abstractNum>
  <w:abstractNum w:abstractNumId="87">
    <w:nsid w:val="1716703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jpe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4" Type="http://schemas.openxmlformats.org/officeDocument/2006/relationships/hyperlink" Target="http://www.sec.gov/ix?doc=/Archives/edgar/data/0001792044/000119312521145240/d113011d10ka.htm" TargetMode="External"/><Relationship Id="rId16" Type="http://schemas.openxmlformats.org/officeDocument/2006/relationships/hyperlink" Target="http://www.sec.gov/ix?doc=/Archives/edgar/data/0001792044/000179204421000018/vtrs-20210331.htm" TargetMode="External"/><Relationship Id="rId17" Type="http://schemas.openxmlformats.org/officeDocument/2006/relationships/hyperlink" Target="http://www.sec.gov/ix?doc=/Archives/edgar/data/0001792044/000179204421000026/vtrs-20210630.htm" TargetMode="External"/><Relationship Id="rId18" Type="http://schemas.openxmlformats.org/officeDocument/2006/relationships/hyperlink" Target="http://www.sec.gov/Archives/edgar/data/0001792044/000119312520155866/d886292dex991.htm" TargetMode="External"/><Relationship Id="rId19" Type="http://schemas.openxmlformats.org/officeDocument/2006/relationships/hyperlink" Target="http://www.sec.gov/ix?doc=/Archives/edgar/data/0001792044/000119312521022743/d321704d8ka.htm" TargetMode="External"/><Relationship Id="rId20" Type="http://schemas.openxmlformats.org/officeDocument/2006/relationships/hyperlink" Target="http://www.sec.gov/ix?doc=/Archives/edgar/data/0001792044/000119312521057129/d137425d8ka.htm" TargetMode="External"/><Relationship Id="rId21" Type="http://schemas.openxmlformats.org/officeDocument/2006/relationships/hyperlink" Target="http://www.sec.gov/ix?doc=/Archives/edgar/data/0001792044/000119312521193377/d189517d8k.htm" TargetMode="External"/><Relationship Id="rId22" Type="http://schemas.openxmlformats.org/officeDocument/2006/relationships/hyperlink" Target="http://www.sec.gov/ix?doc=/Archives/edgar/data/0001792044/000119312521206477/d5038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2021-09-28T08:30:47Z</dcterms:created>
  <dcterms:modified xsi:type="dcterms:W3CDTF">2021-09-28T08:30:47Z</dcterms:modified>
</cp:coreProperties>
</file>