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6790ddefa14a.htm"/>
      <w:bookmarkStart w:id="1" w:name="ksd816790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under §240.14a-12</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VIATRIS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36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5"/>
        <w:gridCol w:w="135"/>
        <w:gridCol w:w="749"/>
        <w:gridCol w:w="306"/>
        <w:gridCol w:w="8480"/>
      </w:tblGrid>
      <w:tr>
        <w:trPr/>
        <w:tc>
          <w:tcPr>
            <w:tcW w:w="53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No fee required.</w:t>
            </w:r>
          </w:p>
        </w:tc>
      </w:tr>
      <w:tr>
        <w:trPr>
          <w:trHeight w:val="36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paid previously with preliminary materials.</w:t>
            </w:r>
          </w:p>
        </w:tc>
      </w:tr>
      <w:tr>
        <w:trPr>
          <w:trHeight w:val="36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906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4667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for the </w:t>
      </w:r>
    </w:p>
    <w:p>
      <w:pPr>
        <w:pStyle w:val="TextBody"/>
        <w:bidi w:val="0"/>
        <w:spacing w:before="0" w:after="0"/>
        <w:jc w:val="center"/>
        <w:rPr>
          <w:rFonts w:ascii="Times New Roman" w:hAnsi="Times New Roman"/>
          <w:b/>
          <w:sz w:val="20"/>
        </w:rPr>
      </w:pPr>
      <w:r>
        <w:rPr>
          <w:rFonts w:ascii="Times New Roman" w:hAnsi="Times New Roman"/>
          <w:b/>
          <w:sz w:val="20"/>
        </w:rPr>
        <w:t xml:space="preserve">Viatris Inc. (the Company) Annual Meeting of Shareholders To Be Held on December 6, 2024 </w:t>
      </w:r>
    </w:p>
    <w:p>
      <w:pPr>
        <w:pStyle w:val="TextBody"/>
        <w:bidi w:val="0"/>
        <w:spacing w:before="240" w:after="0"/>
        <w:jc w:val="left"/>
        <w:rPr>
          <w:rFonts w:ascii="Times New Roman" w:hAnsi="Times New Roman"/>
          <w:sz w:val="20"/>
        </w:rPr>
      </w:pPr>
      <w:r>
        <w:rPr>
          <w:rFonts w:ascii="Times New Roman" w:hAnsi="Times New Roman"/>
          <w:sz w:val="20"/>
        </w:rPr>
        <w:t xml:space="preserve">Under U.S. Securities and Exchange Commission rules, you are receiving this notice that the proxy materials for our 2024 annual meeting of shareholders (the 2024 Annual Meeting) are available on the Internet. Follow the instructions below to view the proxy materials and to submit your proxy and voting instructions online. The items to be voted on and location of the 2024 Annual Meeting are on the reverse side of this notice. Your vote is important! </w:t>
      </w:r>
    </w:p>
    <w:p>
      <w:pPr>
        <w:pStyle w:val="TextBody"/>
        <w:bidi w:val="0"/>
        <w:spacing w:before="240" w:after="0"/>
        <w:jc w:val="left"/>
        <w:rPr>
          <w:rFonts w:ascii="Times New Roman" w:hAnsi="Times New Roman"/>
          <w:b/>
          <w:sz w:val="20"/>
        </w:rPr>
      </w:pPr>
      <w:r>
        <w:rPr>
          <w:rFonts w:ascii="Times New Roman" w:hAnsi="Times New Roman"/>
          <w:b/>
          <w:sz w:val="20"/>
        </w:rPr>
        <w:t xml:space="preserve">This communication presents only an overview of the more complete proxy materials that are available to you on the Internet. We encourage you to access and review all of the important information contained in the proxy materials before submitting your proxy and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To view the proxy materials, which consist of the Proxy Statement and 2023 Annual Report, request a paper or email copy of the proxy materials, and/or select a future delivery preference, please have this notice available and visit </w:t>
      </w:r>
      <w:r>
        <w:rPr>
          <w:rFonts w:ascii="Times New Roman" w:hAnsi="Times New Roman"/>
          <w:b/>
          <w:sz w:val="20"/>
          <w:u w:val="single"/>
        </w:rPr>
        <w:t>www.eproxyaccess.com/vtrs2024</w:t>
      </w:r>
      <w:r>
        <w:rPr>
          <w:rFonts w:ascii="Times New Roman" w:hAnsi="Times New Roman"/>
          <w:sz w:val="20"/>
        </w:rPr>
        <w:t xml:space="preserve">. You will be required to use the control number located in the shaded box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0"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38500" cy="8953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After you have reviewed the proxy materials, you may submit your proxy and voting instructions over the Internet at: </w:t>
      </w:r>
    </w:p>
    <w:p>
      <w:pPr>
        <w:pStyle w:val="TextBody"/>
        <w:bidi w:val="0"/>
        <w:spacing w:before="240" w:after="0"/>
        <w:jc w:val="center"/>
        <w:rPr>
          <w:rFonts w:ascii="Times New Roman" w:hAnsi="Times New Roman"/>
          <w:b/>
          <w:sz w:val="20"/>
        </w:rPr>
      </w:pPr>
      <w:r>
        <w:rPr>
          <w:rFonts w:ascii="Times New Roman" w:hAnsi="Times New Roman"/>
          <w:b/>
          <w:sz w:val="20"/>
          <w:u w:val="single"/>
        </w:rPr>
        <w:t>https://www.proxyvotenow.com/vtrs</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Please have this notice available when you access the voting website. You will be required to use your control number located in the shaded box above to log in and vote. Please note that submitting your proxy and voting instructions online authorizes the named proxies to vote your shares in the same manner as if you marked, signed and returned a proxy card.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receive a paper or email copy of the proxy materials and/or select a future delivery preference, you must do so using one of the following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
        <w:gridCol w:w="214"/>
        <w:gridCol w:w="9521"/>
      </w:tblGrid>
      <w:tr>
        <w:trPr/>
        <w:tc>
          <w:tcPr>
            <w:tcW w:w="47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9521"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0"/>
              <w:jc w:val="left"/>
              <w:rPr/>
            </w:pPr>
            <w:r>
              <w:rPr/>
              <w:drawing>
                <wp:inline distT="0" distB="0" distL="0" distR="0">
                  <wp:extent cx="29527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5275" cy="238125"/>
                          </a:xfrm>
                          <a:prstGeom prst="rect">
                            <a:avLst/>
                          </a:prstGeom>
                        </pic:spPr>
                      </pic:pic>
                    </a:graphicData>
                  </a:graphic>
                </wp:inline>
              </w:drawing>
            </w:r>
            <w:r>
              <w:rPr/>
              <w:t xml:space="preserve"> </w:t>
            </w:r>
          </w:p>
        </w:tc>
        <w:tc>
          <w:tcPr>
            <w:tcW w:w="214" w:type="dxa"/>
            <w:tcBorders/>
            <w:vAlign w:val="bottom"/>
          </w:tcPr>
          <w:p>
            <w:pPr>
              <w:pStyle w:val="TableContents"/>
              <w:bidi w:val="0"/>
              <w:spacing w:before="0" w:after="283"/>
              <w:jc w:val="left"/>
              <w:rPr/>
            </w:pPr>
            <w:r>
              <w:rPr/>
              <w:t>  </w:t>
            </w:r>
          </w:p>
        </w:tc>
        <w:tc>
          <w:tcPr>
            <w:tcW w:w="9521" w:type="dxa"/>
            <w:tcBorders/>
          </w:tcPr>
          <w:p>
            <w:pPr>
              <w:pStyle w:val="TableContents"/>
              <w:bidi w:val="0"/>
              <w:spacing w:before="0" w:after="283"/>
              <w:jc w:val="left"/>
              <w:rPr/>
            </w:pPr>
            <w:r>
              <w:rPr>
                <w:b/>
              </w:rPr>
              <w:t>Internet</w:t>
            </w:r>
            <w:r>
              <w:rPr/>
              <w:t xml:space="preserve">  Go to </w:t>
            </w:r>
            <w:r>
              <w:rPr>
                <w:b/>
                <w:u w:val="single"/>
              </w:rPr>
              <w:t>www.eproxyaccess.com/vtrs2024</w:t>
            </w:r>
            <w:r>
              <w:rPr/>
              <w:t xml:space="preserve"> and follow the registration instructions. </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9735"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0"/>
              <w:jc w:val="left"/>
              <w:rPr/>
            </w:pPr>
            <w:r>
              <w:rPr/>
              <w:drawing>
                <wp:inline distT="0" distB="0" distL="0" distR="0">
                  <wp:extent cx="295275" cy="247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5275" cy="247650"/>
                          </a:xfrm>
                          <a:prstGeom prst="rect">
                            <a:avLst/>
                          </a:prstGeom>
                        </pic:spPr>
                      </pic:pic>
                    </a:graphicData>
                  </a:graphic>
                </wp:inline>
              </w:drawing>
            </w:r>
            <w:r>
              <w:rPr/>
              <w:t xml:space="preserve"> </w:t>
            </w:r>
          </w:p>
        </w:tc>
        <w:tc>
          <w:tcPr>
            <w:tcW w:w="214" w:type="dxa"/>
            <w:tcBorders/>
            <w:vAlign w:val="bottom"/>
          </w:tcPr>
          <w:p>
            <w:pPr>
              <w:pStyle w:val="TableContents"/>
              <w:bidi w:val="0"/>
              <w:spacing w:before="0" w:after="283"/>
              <w:jc w:val="left"/>
              <w:rPr/>
            </w:pPr>
            <w:r>
              <w:rPr/>
              <w:t>  </w:t>
            </w:r>
          </w:p>
        </w:tc>
        <w:tc>
          <w:tcPr>
            <w:tcW w:w="9521" w:type="dxa"/>
            <w:tcBorders/>
          </w:tcPr>
          <w:p>
            <w:pPr>
              <w:pStyle w:val="TableContents"/>
              <w:bidi w:val="0"/>
              <w:spacing w:before="0" w:after="283"/>
              <w:jc w:val="left"/>
              <w:rPr/>
            </w:pPr>
            <w:r>
              <w:rPr>
                <w:b/>
              </w:rPr>
              <w:t>Telephone</w:t>
            </w:r>
            <w:r>
              <w:rPr/>
              <w:t xml:space="preserve">  Call us free of charge at </w:t>
            </w:r>
            <w:r>
              <w:rPr>
                <w:b/>
              </w:rPr>
              <w:t>1-855-708-9771</w:t>
            </w:r>
            <w:r>
              <w:rPr/>
              <w:t xml:space="preserve"> from within the United States or Canada.</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9735"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0"/>
              <w:jc w:val="left"/>
              <w:rPr/>
            </w:pPr>
            <w:r>
              <w:rPr/>
              <w:drawing>
                <wp:inline distT="0" distB="0" distL="0" distR="0">
                  <wp:extent cx="276225" cy="247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6225" cy="247650"/>
                          </a:xfrm>
                          <a:prstGeom prst="rect">
                            <a:avLst/>
                          </a:prstGeom>
                        </pic:spPr>
                      </pic:pic>
                    </a:graphicData>
                  </a:graphic>
                </wp:inline>
              </w:drawing>
            </w:r>
            <w:r>
              <w:rPr/>
              <w:t xml:space="preserve"> </w:t>
            </w:r>
          </w:p>
        </w:tc>
        <w:tc>
          <w:tcPr>
            <w:tcW w:w="214" w:type="dxa"/>
            <w:tcBorders/>
            <w:vAlign w:val="bottom"/>
          </w:tcPr>
          <w:p>
            <w:pPr>
              <w:pStyle w:val="TableContents"/>
              <w:bidi w:val="0"/>
              <w:spacing w:before="0" w:after="283"/>
              <w:jc w:val="left"/>
              <w:rPr/>
            </w:pPr>
            <w:r>
              <w:rPr/>
              <w:t>  </w:t>
            </w:r>
          </w:p>
        </w:tc>
        <w:tc>
          <w:tcPr>
            <w:tcW w:w="9521" w:type="dxa"/>
            <w:tcBorders/>
          </w:tcPr>
          <w:p>
            <w:pPr>
              <w:pStyle w:val="TableContents"/>
              <w:bidi w:val="0"/>
              <w:spacing w:before="0" w:after="283"/>
              <w:jc w:val="left"/>
              <w:rPr/>
            </w:pPr>
            <w:r>
              <w:rPr>
                <w:b/>
              </w:rPr>
              <w:t>E-mail</w:t>
            </w:r>
            <w:r>
              <w:rPr/>
              <w:t xml:space="preserve">  Send us an e-mail at </w:t>
            </w:r>
            <w:r>
              <w:rPr>
                <w:b/>
                <w:u w:val="single"/>
              </w:rPr>
              <w:t>vtrs@eproxyaccess.com</w:t>
            </w:r>
            <w:r>
              <w:rPr>
                <w:b/>
              </w:rPr>
              <w:t>,</w:t>
            </w:r>
            <w:r>
              <w:rPr/>
              <w:t xml:space="preserve"> using the control number above as the subject line, and state whether you wish to receive a paper or e-mail copy of the proxy materials and whether your request is for this meeting only or for all future meetings.</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want to receive a paper or e-mail copy of the proxy materials, you must request one. There is no charge to you for requesting a copy. Please make your request for a copy as instructed above on or before November 29, 2024 to facilitate timely delivery.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2024 Annual Meeting will be held on Friday, December 6, 2024 </w:t>
      </w:r>
    </w:p>
    <w:p>
      <w:pPr>
        <w:pStyle w:val="TextBody"/>
        <w:bidi w:val="0"/>
        <w:spacing w:before="0" w:after="0"/>
        <w:jc w:val="center"/>
        <w:rPr>
          <w:rFonts w:ascii="Times New Roman" w:hAnsi="Times New Roman"/>
          <w:b/>
          <w:sz w:val="20"/>
        </w:rPr>
      </w:pPr>
      <w:r>
        <w:rPr>
          <w:rFonts w:ascii="Times New Roman" w:hAnsi="Times New Roman"/>
          <w:b/>
          <w:sz w:val="20"/>
        </w:rPr>
        <w:t xml:space="preserve">at 11 a.m. Eastern Time at the DoubleTree Crystal City. </w:t>
      </w:r>
    </w:p>
    <w:p>
      <w:pPr>
        <w:pStyle w:val="TextBody"/>
        <w:bidi w:val="0"/>
        <w:spacing w:before="240" w:after="0"/>
        <w:jc w:val="left"/>
        <w:rPr>
          <w:rFonts w:ascii="Times New Roman" w:hAnsi="Times New Roman"/>
          <w:sz w:val="20"/>
        </w:rPr>
      </w:pPr>
      <w:r>
        <w:rPr>
          <w:rFonts w:ascii="Times New Roman" w:hAnsi="Times New Roman"/>
          <w:sz w:val="20"/>
        </w:rPr>
        <w:t xml:space="preserve">The proposals to be voted on at the 2024 Annual Meeting are listed below along with Viatris Board of Directors (the Board of Directors) recommendations.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VIATRIS INC. BOARD OF DIRECTORS RECOMMENDS A VOTE FOR EACH DIRECTOR IN ITEM 1 AND FOR ITEMS 2, 3 AND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the following 12 directors, each to hold office until the 2025 annual meeting of shareholders: </w:t>
            </w:r>
          </w:p>
        </w:tc>
      </w:tr>
    </w:tbl>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2600"/>
        <w:gridCol w:w="92"/>
        <w:gridCol w:w="2601"/>
        <w:gridCol w:w="92"/>
        <w:gridCol w:w="3901"/>
      </w:tblGrid>
      <w:tr>
        <w:trPr/>
        <w:tc>
          <w:tcPr>
            <w:tcW w:w="260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 W. Don Cornwell</w:t>
            </w:r>
          </w:p>
        </w:tc>
        <w:tc>
          <w:tcPr>
            <w:tcW w:w="92" w:type="dxa"/>
            <w:tcBorders/>
            <w:vAlign w:val="bottom"/>
          </w:tcPr>
          <w:p>
            <w:pPr>
              <w:pStyle w:val="TableContents"/>
              <w:bidi w:val="0"/>
              <w:spacing w:before="0" w:after="283"/>
              <w:jc w:val="left"/>
              <w:rPr/>
            </w:pPr>
            <w:r>
              <w:rPr/>
              <w:t> </w:t>
            </w:r>
          </w:p>
        </w:tc>
        <w:tc>
          <w:tcPr>
            <w:tcW w:w="26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 Melina Higgins</w:t>
            </w:r>
          </w:p>
        </w:tc>
        <w:tc>
          <w:tcPr>
            <w:tcW w:w="92" w:type="dxa"/>
            <w:tcBorders/>
            <w:vAlign w:val="bottom"/>
          </w:tcPr>
          <w:p>
            <w:pPr>
              <w:pStyle w:val="TableContents"/>
              <w:bidi w:val="0"/>
              <w:spacing w:before="0" w:after="283"/>
              <w:jc w:val="left"/>
              <w:rPr/>
            </w:pPr>
            <w:r>
              <w:rPr/>
              <w:t> </w:t>
            </w:r>
          </w:p>
        </w:tc>
        <w:tc>
          <w:tcPr>
            <w:tcW w:w="3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 Richard Mark</w:t>
            </w:r>
          </w:p>
        </w:tc>
      </w:tr>
      <w:tr>
        <w:trPr/>
        <w:tc>
          <w:tcPr>
            <w:tcW w:w="2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 JoEllen Lyons Dillon</w:t>
            </w:r>
          </w:p>
        </w:tc>
        <w:tc>
          <w:tcPr>
            <w:tcW w:w="92" w:type="dxa"/>
            <w:tcBorders/>
            <w:vAlign w:val="bottom"/>
          </w:tcPr>
          <w:p>
            <w:pPr>
              <w:pStyle w:val="TableContents"/>
              <w:bidi w:val="0"/>
              <w:spacing w:before="0" w:after="283"/>
              <w:jc w:val="left"/>
              <w:rPr/>
            </w:pPr>
            <w:r>
              <w:rPr/>
              <w:t> </w:t>
            </w:r>
          </w:p>
        </w:tc>
        <w:tc>
          <w:tcPr>
            <w:tcW w:w="26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 James M. Kilts</w:t>
            </w:r>
          </w:p>
        </w:tc>
        <w:tc>
          <w:tcPr>
            <w:tcW w:w="92" w:type="dxa"/>
            <w:tcBorders/>
            <w:vAlign w:val="bottom"/>
          </w:tcPr>
          <w:p>
            <w:pPr>
              <w:pStyle w:val="TableContents"/>
              <w:bidi w:val="0"/>
              <w:spacing w:before="0" w:after="283"/>
              <w:jc w:val="left"/>
              <w:rPr/>
            </w:pPr>
            <w:r>
              <w:rPr/>
              <w:t> </w:t>
            </w:r>
          </w:p>
        </w:tc>
        <w:tc>
          <w:tcPr>
            <w:tcW w:w="3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 Mark Parrish</w:t>
            </w:r>
          </w:p>
        </w:tc>
      </w:tr>
      <w:tr>
        <w:trPr/>
        <w:tc>
          <w:tcPr>
            <w:tcW w:w="2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 Elisha Finney</w:t>
            </w:r>
          </w:p>
        </w:tc>
        <w:tc>
          <w:tcPr>
            <w:tcW w:w="92" w:type="dxa"/>
            <w:tcBorders/>
            <w:vAlign w:val="bottom"/>
          </w:tcPr>
          <w:p>
            <w:pPr>
              <w:pStyle w:val="TableContents"/>
              <w:bidi w:val="0"/>
              <w:spacing w:before="0" w:after="283"/>
              <w:jc w:val="left"/>
              <w:rPr/>
            </w:pPr>
            <w:r>
              <w:rPr/>
              <w:t> </w:t>
            </w:r>
          </w:p>
        </w:tc>
        <w:tc>
          <w:tcPr>
            <w:tcW w:w="26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 Harry Korman</w:t>
            </w:r>
          </w:p>
        </w:tc>
        <w:tc>
          <w:tcPr>
            <w:tcW w:w="92" w:type="dxa"/>
            <w:tcBorders/>
            <w:vAlign w:val="bottom"/>
          </w:tcPr>
          <w:p>
            <w:pPr>
              <w:pStyle w:val="TableContents"/>
              <w:bidi w:val="0"/>
              <w:spacing w:before="0" w:after="283"/>
              <w:jc w:val="left"/>
              <w:rPr/>
            </w:pPr>
            <w:r>
              <w:rPr/>
              <w:t> </w:t>
            </w:r>
          </w:p>
        </w:tc>
        <w:tc>
          <w:tcPr>
            <w:tcW w:w="3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 Scott A. Smith</w:t>
            </w:r>
          </w:p>
        </w:tc>
      </w:tr>
      <w:tr>
        <w:trPr/>
        <w:tc>
          <w:tcPr>
            <w:tcW w:w="2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 Leo Groothuis</w:t>
            </w:r>
          </w:p>
        </w:tc>
        <w:tc>
          <w:tcPr>
            <w:tcW w:w="92" w:type="dxa"/>
            <w:tcBorders/>
            <w:vAlign w:val="bottom"/>
          </w:tcPr>
          <w:p>
            <w:pPr>
              <w:pStyle w:val="TableContents"/>
              <w:bidi w:val="0"/>
              <w:spacing w:before="0" w:after="283"/>
              <w:jc w:val="left"/>
              <w:rPr/>
            </w:pPr>
            <w:r>
              <w:rPr/>
              <w:t> </w:t>
            </w:r>
          </w:p>
        </w:tc>
        <w:tc>
          <w:tcPr>
            <w:tcW w:w="26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 Rajiv Malik</w:t>
            </w:r>
          </w:p>
        </w:tc>
        <w:tc>
          <w:tcPr>
            <w:tcW w:w="92" w:type="dxa"/>
            <w:tcBorders/>
            <w:vAlign w:val="bottom"/>
          </w:tcPr>
          <w:p>
            <w:pPr>
              <w:pStyle w:val="TableContents"/>
              <w:bidi w:val="0"/>
              <w:spacing w:before="0" w:after="283"/>
              <w:jc w:val="left"/>
              <w:rPr/>
            </w:pPr>
            <w:r>
              <w:rPr/>
              <w:t> </w:t>
            </w:r>
          </w:p>
        </w:tc>
        <w:tc>
          <w:tcPr>
            <w:tcW w:w="3901" w:type="dxa"/>
            <w:tcBorders/>
            <w:vAlign w:val="bottom"/>
          </w:tcPr>
          <w:p>
            <w:pPr>
              <w:pStyle w:val="TableContents"/>
              <w:bidi w:val="0"/>
              <w:spacing w:before="0" w:after="283"/>
              <w:jc w:val="left"/>
              <w:rPr/>
            </w:pPr>
            <w:r>
              <w:rPr/>
              <w:t>L. Rogério Vivaldi Coelho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on a non-binding advisory basis, the 2023 compensation of the named executive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Ratification of the selection of Deloitte &amp; Touche LLP as the Companys independent registered public accounting firm for the fiscal year ending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an amendment to the Viatris Inc. 2020 Stock Incentive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you have reviewed the proxy materials, you may submit your proxy and voting instructions online at </w:t>
      </w:r>
      <w:r>
        <w:rPr>
          <w:rFonts w:ascii="Times New Roman" w:hAnsi="Times New Roman"/>
          <w:b/>
          <w:sz w:val="20"/>
          <w:u w:val="single"/>
        </w:rPr>
        <w:t>https://www.proxyvotenow.com/vtrs</w:t>
      </w:r>
      <w:r>
        <w:rPr>
          <w:rFonts w:ascii="Times New Roman" w:hAnsi="Times New Roman"/>
          <w:b/>
          <w:sz w:val="20"/>
        </w:rPr>
        <w:t xml:space="preserve"> </w:t>
      </w:r>
      <w:r>
        <w:rPr>
          <w:rFonts w:ascii="Times New Roman" w:hAnsi="Times New Roman"/>
          <w:sz w:val="20"/>
        </w:rPr>
        <w:t xml:space="preserve">by logging in with your control number located in the shaded box on the front of this notice.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vote at the 2024 Annual Meeting only if you were a shareholder of Viatris Inc. as of the close of business (5:00 p.m. Eastern Time) on October 11, 2024, which is the record date for the 2024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PLEASE NOTE  YOU CANNOT VOTE BY RETURNING THIS NOTICE. To vote your shares of Viatris Inc. common stock you must submit your proxy and voting instructions online or request a paper or email copy of the proxy materials to receive a proxy card. Please also note that if you plan to attend the 2024 Annual Meeting, you must register in advance and provide proper identification and this notice. See the question titled How can I attend the 2024 Annual Meeting? on page A-2 of the Proxy Statement for information about the location, format and how to register to attend the meeting. </w:t>
      </w:r>
    </w:p>
    <w:p>
      <w:pPr>
        <w:pStyle w:val="TextBody"/>
        <w:bidi w:val="0"/>
        <w:spacing w:before="240" w:after="0"/>
        <w:jc w:val="left"/>
        <w:rPr>
          <w:rFonts w:ascii="Times New Roman" w:hAnsi="Times New Roman"/>
          <w:sz w:val="20"/>
        </w:rPr>
      </w:pPr>
      <w:r>
        <w:rPr>
          <w:rFonts w:ascii="Times New Roman" w:hAnsi="Times New Roman"/>
          <w:b/>
          <w:sz w:val="20"/>
        </w:rPr>
        <w:t>Directions to the 2024 Annual Meeting:</w:t>
      </w:r>
      <w:r>
        <w:rPr>
          <w:rFonts w:ascii="Times New Roman" w:hAnsi="Times New Roman"/>
          <w:sz w:val="20"/>
        </w:rPr>
        <w:t xml:space="preserve"> If you plan to attend our 2024 Annual Meeting in person, you can obtain directions to DoubleTree Crystal City (300 Army Navy Drive, Arlington, VA 22202) at the hotels website, </w:t>
      </w:r>
      <w:r>
        <w:rPr>
          <w:rFonts w:ascii="Times New Roman" w:hAnsi="Times New Roman"/>
          <w:b/>
          <w:sz w:val="20"/>
          <w:u w:val="single"/>
        </w:rPr>
        <w:t>https://www.hilton.com/en/hotels/dcaaedt-doubletree-washington-dc-crystal-city/hotel-location/</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992</Words>
  <Characters>4950</Characters>
  <CharactersWithSpaces>5944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