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-226060</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-599440</wp:posOffset>
            </wp:positionV>
            <wp:extent cx="56515" cy="612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24765</wp:posOffset>
            </wp:positionV>
            <wp:extent cx="6999605" cy="5173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517334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160" w:space="520"/>
            <w:col w:w="8400"/>
          </w:cols>
          <w:pgMar w:left="460" w:top="213"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Ni Xiangyang (Sean)</w:t>
        </w:r>
      </w:hyperlink>
    </w:p>
    <w:p>
      <w:pPr>
        <w:spacing w:after="0" w:line="27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tcPr>
          <w:p>
            <w:pPr>
              <w:ind w:left="20"/>
              <w:spacing w:after="0"/>
              <w:rPr>
                <w:sz w:val="20"/>
                <w:szCs w:val="20"/>
                <w:color w:val="auto"/>
              </w:rPr>
            </w:pPr>
            <w:r>
              <w:rPr>
                <w:rFonts w:ascii="Arial" w:cs="Arial" w:eastAsia="Arial" w:hAnsi="Arial"/>
                <w:sz w:val="12"/>
                <w:szCs w:val="12"/>
                <w:color w:val="auto"/>
              </w:rPr>
              <w:t>(Last)</w:t>
            </w:r>
          </w:p>
        </w:tc>
        <w:tc>
          <w:tcPr>
            <w:tcW w:w="1040" w:type="dxa"/>
            <w:vAlign w:val="bottom"/>
          </w:tcPr>
          <w:p>
            <w:pPr>
              <w:ind w:left="60"/>
              <w:spacing w:after="0"/>
              <w:rPr>
                <w:sz w:val="20"/>
                <w:szCs w:val="20"/>
                <w:color w:val="auto"/>
              </w:rPr>
            </w:pPr>
            <w:r>
              <w:rPr>
                <w:rFonts w:ascii="Arial" w:cs="Arial" w:eastAsia="Arial" w:hAnsi="Arial"/>
                <w:sz w:val="12"/>
                <w:szCs w:val="12"/>
                <w:color w:val="auto"/>
              </w:rPr>
              <w:t>(First)</w:t>
            </w:r>
          </w:p>
        </w:tc>
        <w:tc>
          <w:tcPr>
            <w:tcW w:w="680" w:type="dxa"/>
            <w:vAlign w:val="bottom"/>
          </w:tcPr>
          <w:p>
            <w:pPr>
              <w:ind w:left="240"/>
              <w:spacing w:after="0"/>
              <w:rPr>
                <w:sz w:val="20"/>
                <w:szCs w:val="20"/>
                <w:color w:val="auto"/>
              </w:rPr>
            </w:pPr>
            <w:r>
              <w:rPr>
                <w:rFonts w:ascii="Arial" w:cs="Arial" w:eastAsia="Arial" w:hAnsi="Arial"/>
                <w:sz w:val="12"/>
                <w:szCs w:val="12"/>
                <w:color w:val="auto"/>
                <w:w w:val="96"/>
              </w:rPr>
              <w:t>(Middle)</w:t>
            </w:r>
          </w:p>
        </w:tc>
      </w:tr>
      <w:tr>
        <w:trPr>
          <w:trHeight w:val="257"/>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1000 MYLAN BOULEVARD</w:t>
            </w:r>
          </w:p>
        </w:tc>
        <w:tc>
          <w:tcPr>
            <w:tcW w:w="680" w:type="dxa"/>
            <w:vAlign w:val="bottom"/>
          </w:tcPr>
          <w:p>
            <w:pPr>
              <w:spacing w:after="0"/>
              <w:rPr>
                <w:sz w:val="22"/>
                <w:szCs w:val="22"/>
                <w:color w:val="auto"/>
              </w:rPr>
            </w:pPr>
          </w:p>
        </w:tc>
      </w:tr>
      <w:tr>
        <w:trPr>
          <w:trHeight w:val="459"/>
        </w:trPr>
        <w:tc>
          <w:tcPr>
            <w:tcW w:w="1200" w:type="dxa"/>
            <w:vAlign w:val="bottom"/>
          </w:tcPr>
          <w:p>
            <w:pPr>
              <w:spacing w:after="0"/>
              <w:rPr>
                <w:sz w:val="20"/>
                <w:szCs w:val="20"/>
                <w:color w:val="auto"/>
              </w:rPr>
            </w:pPr>
            <w:r>
              <w:rPr>
                <w:rFonts w:ascii="Arial" w:cs="Arial" w:eastAsia="Arial" w:hAnsi="Arial"/>
                <w:sz w:val="12"/>
                <w:szCs w:val="12"/>
                <w:color w:val="auto"/>
              </w:rPr>
              <w:t>(Street)</w:t>
            </w: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0"/>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CANONSBURG</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PA</w:t>
            </w:r>
          </w:p>
        </w:tc>
        <w:tc>
          <w:tcPr>
            <w:tcW w:w="68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15317</w:t>
            </w:r>
          </w:p>
        </w:tc>
      </w:tr>
      <w:tr>
        <w:trPr>
          <w:trHeight w:val="447"/>
        </w:trPr>
        <w:tc>
          <w:tcPr>
            <w:tcW w:w="1200" w:type="dxa"/>
            <w:vAlign w:val="bottom"/>
          </w:tcPr>
          <w:p>
            <w:pPr>
              <w:ind w:left="20"/>
              <w:spacing w:after="0"/>
              <w:rPr>
                <w:sz w:val="20"/>
                <w:szCs w:val="20"/>
                <w:color w:val="auto"/>
              </w:rPr>
            </w:pPr>
            <w:r>
              <w:rPr>
                <w:rFonts w:ascii="Arial" w:cs="Arial" w:eastAsia="Arial" w:hAnsi="Arial"/>
                <w:sz w:val="12"/>
                <w:szCs w:val="12"/>
                <w:color w:val="auto"/>
              </w:rPr>
              <w:t>(City)</w:t>
            </w:r>
          </w:p>
        </w:tc>
        <w:tc>
          <w:tcPr>
            <w:tcW w:w="1040" w:type="dxa"/>
            <w:vAlign w:val="bottom"/>
          </w:tcPr>
          <w:p>
            <w:pPr>
              <w:ind w:left="60"/>
              <w:spacing w:after="0"/>
              <w:rPr>
                <w:sz w:val="20"/>
                <w:szCs w:val="20"/>
                <w:color w:val="auto"/>
              </w:rPr>
            </w:pPr>
            <w:r>
              <w:rPr>
                <w:rFonts w:ascii="Arial" w:cs="Arial" w:eastAsia="Arial" w:hAnsi="Arial"/>
                <w:sz w:val="12"/>
                <w:szCs w:val="12"/>
                <w:color w:val="auto"/>
              </w:rPr>
              <w:t>(State)</w:t>
            </w:r>
          </w:p>
        </w:tc>
        <w:tc>
          <w:tcPr>
            <w:tcW w:w="680" w:type="dxa"/>
            <w:vAlign w:val="bottom"/>
          </w:tcPr>
          <w:p>
            <w:pPr>
              <w:ind w:left="2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3760" w:type="dxa"/>
            <w:vAlign w:val="bottom"/>
            <w:gridSpan w:val="3"/>
          </w:tcPr>
          <w:p>
            <w:pPr>
              <w:spacing w:after="0" w:line="136"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Viatris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VTRS</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700" w:type="dxa"/>
            <w:vAlign w:val="bottom"/>
            <w:tcBorders>
              <w:bottom w:val="single" w:sz="8" w:color="0000EE"/>
            </w:tcBorders>
          </w:tcPr>
          <w:p>
            <w:pPr>
              <w:spacing w:after="0"/>
              <w:rPr>
                <w:sz w:val="3"/>
                <w:szCs w:val="3"/>
                <w:color w:val="auto"/>
              </w:rPr>
            </w:pPr>
          </w:p>
        </w:tc>
        <w:tc>
          <w:tcPr>
            <w:tcW w:w="29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1480" w:type="dxa"/>
            <w:vAlign w:val="bottom"/>
            <w:vMerge w:val="restart"/>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94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20"/>
              <w:spacing w:after="0"/>
              <w:rPr>
                <w:sz w:val="20"/>
                <w:szCs w:val="20"/>
                <w:color w:val="auto"/>
              </w:rPr>
            </w:pPr>
            <w:r>
              <w:rPr>
                <w:rFonts w:ascii="Arial" w:cs="Arial" w:eastAsia="Arial" w:hAnsi="Arial"/>
                <w:sz w:val="12"/>
                <w:szCs w:val="12"/>
                <w:color w:val="auto"/>
              </w:rPr>
              <w:t>Officer (give title</w:t>
            </w:r>
          </w:p>
        </w:tc>
        <w:tc>
          <w:tcPr>
            <w:tcW w:w="1480" w:type="dxa"/>
            <w:vAlign w:val="bottom"/>
            <w:vMerge w:val="restart"/>
          </w:tcPr>
          <w:p>
            <w:pPr>
              <w:ind w:left="3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4"/>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340" w:type="dxa"/>
            <w:vAlign w:val="bottom"/>
          </w:tcPr>
          <w:p>
            <w:pPr>
              <w:ind w:left="120"/>
              <w:spacing w:after="0" w:line="117" w:lineRule="exact"/>
              <w:rPr>
                <w:sz w:val="20"/>
                <w:szCs w:val="20"/>
                <w:color w:val="auto"/>
              </w:rPr>
            </w:pPr>
            <w:r>
              <w:rPr>
                <w:rFonts w:ascii="Arial" w:cs="Arial" w:eastAsia="Arial" w:hAnsi="Arial"/>
                <w:sz w:val="12"/>
                <w:szCs w:val="12"/>
                <w:color w:val="auto"/>
              </w:rPr>
              <w:t>below)</w:t>
            </w:r>
          </w:p>
        </w:tc>
        <w:tc>
          <w:tcPr>
            <w:tcW w:w="1480" w:type="dxa"/>
            <w:vAlign w:val="bottom"/>
          </w:tcPr>
          <w:p>
            <w:pPr>
              <w:ind w:left="360"/>
              <w:spacing w:after="0" w:line="117"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09"/>
        </w:trPr>
        <w:tc>
          <w:tcPr>
            <w:tcW w:w="8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11/23/2023</w:t>
            </w:r>
          </w:p>
        </w:tc>
        <w:tc>
          <w:tcPr>
            <w:tcW w:w="2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0000FF"/>
              </w:rPr>
              <w:t>President, Greater China</w:t>
            </w: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9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330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20" w:type="dxa"/>
            <w:vAlign w:val="bottom"/>
            <w:gridSpan w:val="2"/>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3"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2" w:lineRule="exact"/>
        <w:rPr>
          <w:sz w:val="24"/>
          <w:szCs w:val="24"/>
          <w:color w:val="auto"/>
        </w:rPr>
      </w:pPr>
    </w:p>
    <w:p>
      <w:pPr>
        <w:ind w:left="300" w:right="420"/>
        <w:spacing w:after="0" w:line="26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3" w:lineRule="exact"/>
        <w:rPr>
          <w:sz w:val="24"/>
          <w:szCs w:val="24"/>
          <w:color w:val="auto"/>
        </w:rPr>
      </w:pPr>
    </w:p>
    <w:p>
      <w:pPr>
        <w:sectPr>
          <w:pgSz w:w="11900" w:h="16838" w:orient="portrait"/>
          <w:cols w:equalWidth="0" w:num="2">
            <w:col w:w="3120" w:space="720"/>
            <w:col w:w="7240"/>
          </w:cols>
          <w:pgMar w:left="460" w:top="213"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8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gridSpan w:val="2"/>
          </w:tcPr>
          <w:p>
            <w:pPr>
              <w:ind w:left="80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5"/>
          </w:tcPr>
          <w:p>
            <w:pPr>
              <w:jc w:val="center"/>
              <w:ind w:right="2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80" w:type="dxa"/>
            <w:vAlign w:val="bottom"/>
            <w:gridSpan w:val="3"/>
          </w:tcPr>
          <w:p>
            <w:pPr>
              <w:ind w:left="80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18"/>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50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(A) or</w:t>
            </w:r>
          </w:p>
        </w:tc>
        <w:tc>
          <w:tcPr>
            <w:tcW w:w="86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1"/>
                <w:szCs w:val="21"/>
                <w:color w:val="auto"/>
              </w:rPr>
            </w:pPr>
          </w:p>
        </w:tc>
        <w:tc>
          <w:tcPr>
            <w:tcW w:w="178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0000FF"/>
              </w:rPr>
              <w:t>11/23/2023</w:t>
            </w:r>
          </w:p>
        </w:tc>
        <w:tc>
          <w:tcPr>
            <w:tcW w:w="1040" w:type="dxa"/>
            <w:vAlign w:val="bottom"/>
          </w:tcPr>
          <w:p>
            <w:pPr>
              <w:spacing w:after="0"/>
              <w:rPr>
                <w:sz w:val="21"/>
                <w:szCs w:val="21"/>
                <w:color w:val="auto"/>
              </w:rPr>
            </w:pPr>
          </w:p>
        </w:tc>
        <w:tc>
          <w:tcPr>
            <w:tcW w:w="720" w:type="dxa"/>
            <w:vAlign w:val="bottom"/>
          </w:tcPr>
          <w:p>
            <w:pPr>
              <w:jc w:val="center"/>
              <w:ind w:right="224"/>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Pr>
          <w:p>
            <w:pPr>
              <w:jc w:val="center"/>
              <w:ind w:left="158"/>
              <w:spacing w:after="0"/>
              <w:rPr>
                <w:sz w:val="20"/>
                <w:szCs w:val="20"/>
                <w:color w:val="auto"/>
              </w:rPr>
            </w:pPr>
            <w:r>
              <w:rPr>
                <w:rFonts w:ascii="Times New Roman" w:cs="Times New Roman" w:eastAsia="Times New Roman" w:hAnsi="Times New Roman"/>
                <w:sz w:val="16"/>
                <w:szCs w:val="16"/>
                <w:color w:val="0000FF"/>
                <w:w w:val="99"/>
              </w:rPr>
              <w:t>29,816</w:t>
            </w:r>
          </w:p>
        </w:tc>
        <w:tc>
          <w:tcPr>
            <w:tcW w:w="80" w:type="dxa"/>
            <w:vAlign w:val="bottom"/>
          </w:tcPr>
          <w:p>
            <w:pPr>
              <w:spacing w:after="0"/>
              <w:rPr>
                <w:sz w:val="21"/>
                <w:szCs w:val="21"/>
                <w:color w:val="auto"/>
              </w:rPr>
            </w:pPr>
          </w:p>
        </w:tc>
        <w:tc>
          <w:tcPr>
            <w:tcW w:w="50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820" w:type="dxa"/>
            <w:vAlign w:val="bottom"/>
          </w:tcPr>
          <w:p>
            <w:pPr>
              <w:jc w:val="center"/>
              <w:ind w:lef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1"/>
                <w:szCs w:val="21"/>
                <w:color w:val="auto"/>
              </w:rPr>
            </w:pP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0000FF"/>
              </w:rPr>
              <w:t>76,232</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4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6"/>
                <w:szCs w:val="16"/>
                <w:color w:val="0000FF"/>
              </w:rPr>
              <w:t>11/23/2023</w:t>
            </w:r>
          </w:p>
        </w:tc>
        <w:tc>
          <w:tcPr>
            <w:tcW w:w="10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4"/>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Borders>
              <w:bottom w:val="single" w:sz="8" w:color="2C2C2C"/>
            </w:tcBorders>
          </w:tcPr>
          <w:p>
            <w:pPr>
              <w:jc w:val="center"/>
              <w:ind w:left="158"/>
              <w:spacing w:after="0"/>
              <w:rPr>
                <w:sz w:val="20"/>
                <w:szCs w:val="20"/>
                <w:color w:val="auto"/>
              </w:rPr>
            </w:pPr>
            <w:r>
              <w:rPr>
                <w:rFonts w:ascii="Times New Roman" w:cs="Times New Roman" w:eastAsia="Times New Roman" w:hAnsi="Times New Roman"/>
                <w:sz w:val="16"/>
                <w:szCs w:val="16"/>
                <w:color w:val="0000FF"/>
                <w:w w:val="93"/>
              </w:rPr>
              <w:t>3,363</w:t>
            </w:r>
            <w:r>
              <w:rPr>
                <w:rFonts w:ascii="Times New Roman" w:cs="Times New Roman" w:eastAsia="Times New Roman" w:hAnsi="Times New Roman"/>
                <w:sz w:val="20"/>
                <w:szCs w:val="20"/>
                <w:color w:val="008000"/>
                <w:w w:val="93"/>
                <w:vertAlign w:val="superscript"/>
              </w:rPr>
              <w:t>(1)</w:t>
            </w: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820" w:type="dxa"/>
            <w:vAlign w:val="bottom"/>
            <w:tcBorders>
              <w:bottom w:val="single" w:sz="8" w:color="2C2C2C"/>
            </w:tcBorders>
          </w:tcPr>
          <w:p>
            <w:pPr>
              <w:jc w:val="center"/>
              <w:ind w:lef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6"/>
                <w:szCs w:val="16"/>
                <w:color w:val="0000FF"/>
              </w:rPr>
              <w:t>79,595</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6"/>
                <w:szCs w:val="16"/>
                <w:color w:val="0000FF"/>
              </w:rPr>
              <w:t>11/24/2023</w:t>
            </w:r>
          </w:p>
        </w:tc>
        <w:tc>
          <w:tcPr>
            <w:tcW w:w="10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4"/>
              <w:spacing w:after="0"/>
              <w:rPr>
                <w:sz w:val="20"/>
                <w:szCs w:val="20"/>
                <w:color w:val="auto"/>
              </w:rPr>
            </w:pPr>
            <w:r>
              <w:rPr>
                <w:rFonts w:ascii="Times New Roman" w:cs="Times New Roman" w:eastAsia="Times New Roman" w:hAnsi="Times New Roman"/>
                <w:sz w:val="12"/>
                <w:szCs w:val="12"/>
                <w:color w:val="0000FF"/>
              </w:rPr>
              <w:t>S</w:t>
            </w:r>
          </w:p>
        </w:tc>
        <w:tc>
          <w:tcPr>
            <w:tcW w:w="780" w:type="dxa"/>
            <w:vAlign w:val="bottom"/>
            <w:tcBorders>
              <w:bottom w:val="single" w:sz="8" w:color="2C2C2C"/>
            </w:tcBorders>
            <w:gridSpan w:val="2"/>
          </w:tcPr>
          <w:p>
            <w:pPr>
              <w:jc w:val="center"/>
              <w:ind w:left="78"/>
              <w:spacing w:after="0"/>
              <w:rPr>
                <w:sz w:val="20"/>
                <w:szCs w:val="20"/>
                <w:color w:val="auto"/>
              </w:rPr>
            </w:pPr>
            <w:r>
              <w:rPr>
                <w:rFonts w:ascii="Times New Roman" w:cs="Times New Roman" w:eastAsia="Times New Roman" w:hAnsi="Times New Roman"/>
                <w:sz w:val="16"/>
                <w:szCs w:val="16"/>
                <w:color w:val="0000FF"/>
                <w:w w:val="93"/>
              </w:rPr>
              <w:t>14,937</w:t>
            </w:r>
            <w:r>
              <w:rPr>
                <w:rFonts w:ascii="Times New Roman" w:cs="Times New Roman" w:eastAsia="Times New Roman" w:hAnsi="Times New Roman"/>
                <w:sz w:val="20"/>
                <w:szCs w:val="20"/>
                <w:color w:val="008000"/>
                <w:w w:val="93"/>
                <w:vertAlign w:val="superscript"/>
              </w:rPr>
              <w:t>(2)</w:t>
            </w:r>
          </w:p>
        </w:tc>
        <w:tc>
          <w:tcPr>
            <w:tcW w:w="5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20" w:type="dxa"/>
            <w:vAlign w:val="bottom"/>
            <w:tcBorders>
              <w:bottom w:val="single" w:sz="8" w:color="2C2C2C"/>
            </w:tcBorders>
          </w:tcPr>
          <w:p>
            <w:pPr>
              <w:jc w:val="center"/>
              <w:ind w:left="51"/>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9.3688</w:t>
            </w:r>
            <w:r>
              <w:rPr>
                <w:rFonts w:ascii="Times New Roman" w:cs="Times New Roman" w:eastAsia="Times New Roman" w:hAnsi="Times New Roman"/>
                <w:sz w:val="20"/>
                <w:szCs w:val="20"/>
                <w:color w:val="008000"/>
                <w:w w:val="96"/>
                <w:vertAlign w:val="superscript"/>
              </w:rPr>
              <w:t>(3)</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6"/>
                <w:szCs w:val="16"/>
                <w:color w:val="0000FF"/>
              </w:rPr>
              <w:t>64,658</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60" w:type="dxa"/>
            <w:vAlign w:val="bottom"/>
            <w:tcBorders>
              <w:top w:val="single" w:sz="8" w:color="2C2C2C"/>
            </w:tcBorders>
            <w:gridSpan w:val="11"/>
          </w:tcPr>
          <w:p>
            <w:pPr>
              <w:ind w:left="2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80" w:type="dxa"/>
            <w:vAlign w:val="bottom"/>
            <w:gridSpan w:val="10"/>
          </w:tcPr>
          <w:p>
            <w:pPr>
              <w:ind w:left="8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104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0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10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10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Acquired (A) or</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4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Disposed of (D)</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(Instr. 3, 4 and</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5)</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8"/>
              <w:spacing w:after="0" w:line="124" w:lineRule="exact"/>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104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820" w:type="dxa"/>
            <w:vAlign w:val="bottom"/>
            <w:vMerge w:val="restart"/>
          </w:tcPr>
          <w:p>
            <w:pPr>
              <w:jc w:val="right"/>
              <w:ind w:right="131"/>
              <w:spacing w:after="0"/>
              <w:rPr>
                <w:sz w:val="20"/>
                <w:szCs w:val="20"/>
                <w:color w:val="auto"/>
              </w:rPr>
            </w:pPr>
            <w:r>
              <w:rPr>
                <w:rFonts w:ascii="Times New Roman" w:cs="Times New Roman" w:eastAsia="Times New Roman" w:hAnsi="Times New Roman"/>
                <w:sz w:val="16"/>
                <w:szCs w:val="16"/>
                <w:color w:val="0000FF"/>
              </w:rPr>
              <w:t>29,816</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30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40" w:type="dxa"/>
            <w:vAlign w:val="bottom"/>
            <w:vMerge w:val="restart"/>
          </w:tcPr>
          <w:p>
            <w:pPr>
              <w:jc w:val="right"/>
              <w:ind w:right="182"/>
              <w:spacing w:after="0" w:line="136" w:lineRule="exact"/>
              <w:rPr>
                <w:sz w:val="20"/>
                <w:szCs w:val="20"/>
                <w:color w:val="auto"/>
              </w:rPr>
            </w:pPr>
            <w:r>
              <w:rPr>
                <w:rFonts w:ascii="Times New Roman" w:cs="Times New Roman" w:eastAsia="Times New Roman" w:hAnsi="Times New Roman"/>
                <w:sz w:val="12"/>
                <w:szCs w:val="12"/>
                <w:color w:val="0000FF"/>
              </w:rPr>
              <w:t>11/23/2023</w:t>
            </w: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restart"/>
          </w:tcPr>
          <w:p>
            <w:pPr>
              <w:ind w:left="100"/>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1040" w:type="dxa"/>
            <w:vAlign w:val="bottom"/>
            <w:vMerge w:val="restart"/>
          </w:tcPr>
          <w:p>
            <w:pPr>
              <w:jc w:val="right"/>
              <w:ind w:right="164"/>
              <w:spacing w:after="0" w:line="136" w:lineRule="exact"/>
              <w:rPr>
                <w:sz w:val="20"/>
                <w:szCs w:val="20"/>
                <w:color w:val="auto"/>
              </w:rPr>
            </w:pPr>
            <w:r>
              <w:rPr>
                <w:rFonts w:ascii="Times New Roman" w:cs="Times New Roman" w:eastAsia="Times New Roman" w:hAnsi="Times New Roman"/>
                <w:sz w:val="12"/>
                <w:szCs w:val="12"/>
                <w:color w:val="0000FF"/>
              </w:rPr>
              <w:t>29,816</w:t>
            </w: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20" w:type="dxa"/>
            <w:vAlign w:val="bottom"/>
            <w:vMerge w:val="restart"/>
          </w:tcPr>
          <w:p>
            <w:pPr>
              <w:ind w:left="36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300" w:type="dxa"/>
            <w:vAlign w:val="bottom"/>
          </w:tcPr>
          <w:p>
            <w:pPr>
              <w:spacing w:after="0"/>
              <w:rPr>
                <w:sz w:val="5"/>
                <w:szCs w:val="5"/>
                <w:color w:val="auto"/>
              </w:rPr>
            </w:pP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restart"/>
          </w:tcPr>
          <w:p>
            <w:pPr>
              <w:jc w:val="center"/>
              <w:ind w:right="72"/>
              <w:spacing w:after="0"/>
              <w:rPr>
                <w:sz w:val="20"/>
                <w:szCs w:val="20"/>
                <w:color w:val="auto"/>
              </w:rPr>
            </w:pPr>
            <w:r>
              <w:rPr>
                <w:rFonts w:ascii="Times New Roman" w:cs="Times New Roman" w:eastAsia="Times New Roman" w:hAnsi="Times New Roman"/>
                <w:sz w:val="12"/>
                <w:szCs w:val="12"/>
                <w:color w:val="0000FF"/>
              </w:rPr>
              <w:t>Stock</w:t>
            </w:r>
          </w:p>
        </w:tc>
        <w:tc>
          <w:tcPr>
            <w:tcW w:w="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3,362.9828</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Times New Roman" w:cs="Times New Roman" w:eastAsia="Times New Roman" w:hAnsi="Times New Roman"/>
                <w:sz w:val="12"/>
                <w:szCs w:val="12"/>
                <w:color w:val="0000FF"/>
              </w:rPr>
              <w:t>Equivalent</w:t>
            </w:r>
          </w:p>
        </w:tc>
        <w:tc>
          <w:tcPr>
            <w:tcW w:w="740" w:type="dxa"/>
            <w:vAlign w:val="bottom"/>
          </w:tcPr>
          <w:p>
            <w:pPr>
              <w:ind w:left="300"/>
              <w:spacing w:after="0" w:line="12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40" w:type="dxa"/>
            <w:vAlign w:val="bottom"/>
          </w:tcPr>
          <w:p>
            <w:pPr>
              <w:jc w:val="right"/>
              <w:ind w:right="182"/>
              <w:spacing w:after="0" w:line="124" w:lineRule="exact"/>
              <w:rPr>
                <w:sz w:val="20"/>
                <w:szCs w:val="20"/>
                <w:color w:val="auto"/>
              </w:rPr>
            </w:pPr>
            <w:r>
              <w:rPr>
                <w:rFonts w:ascii="Times New Roman" w:cs="Times New Roman" w:eastAsia="Times New Roman" w:hAnsi="Times New Roman"/>
                <w:sz w:val="12"/>
                <w:szCs w:val="12"/>
                <w:color w:val="0000FF"/>
              </w:rPr>
              <w:t>11/23/2023</w:t>
            </w: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100"/>
              <w:spacing w:after="0" w:line="124" w:lineRule="exact"/>
              <w:rPr>
                <w:sz w:val="20"/>
                <w:szCs w:val="20"/>
                <w:color w:val="auto"/>
              </w:rPr>
            </w:pPr>
            <w:r>
              <w:rPr>
                <w:rFonts w:ascii="Times New Roman" w:cs="Times New Roman" w:eastAsia="Times New Roman" w:hAnsi="Times New Roman"/>
                <w:sz w:val="12"/>
                <w:szCs w:val="12"/>
                <w:color w:val="0000FF"/>
              </w:rPr>
              <w:t>M</w:t>
            </w:r>
          </w:p>
        </w:tc>
        <w:tc>
          <w:tcPr>
            <w:tcW w:w="104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2"/>
                <w:szCs w:val="12"/>
                <w:color w:val="0000FF"/>
              </w:rPr>
              <w:t>3,362.9828</w:t>
            </w:r>
          </w:p>
        </w:tc>
        <w:tc>
          <w:tcPr>
            <w:tcW w:w="7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240"/>
              <w:spacing w:after="0" w:line="12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20" w:type="dxa"/>
            <w:vAlign w:val="bottom"/>
          </w:tcPr>
          <w:p>
            <w:pPr>
              <w:ind w:left="360"/>
              <w:spacing w:after="0" w:line="124" w:lineRule="exact"/>
              <w:rPr>
                <w:sz w:val="20"/>
                <w:szCs w:val="20"/>
                <w:color w:val="auto"/>
              </w:rPr>
            </w:pPr>
            <w:r>
              <w:rPr>
                <w:rFonts w:ascii="Times New Roman" w:cs="Times New Roman" w:eastAsia="Times New Roman" w:hAnsi="Times New Roman"/>
                <w:sz w:val="12"/>
                <w:szCs w:val="12"/>
                <w:color w:val="0000FF"/>
              </w:rPr>
              <w:t>0</w:t>
            </w:r>
          </w:p>
        </w:tc>
        <w:tc>
          <w:tcPr>
            <w:tcW w:w="300" w:type="dxa"/>
            <w:vAlign w:val="bottom"/>
          </w:tcPr>
          <w:p>
            <w:pPr>
              <w:spacing w:after="0"/>
              <w:rPr>
                <w:sz w:val="10"/>
                <w:szCs w:val="10"/>
                <w:color w:val="auto"/>
              </w:rPr>
            </w:pPr>
          </w:p>
        </w:tc>
        <w:tc>
          <w:tcPr>
            <w:tcW w:w="620" w:type="dxa"/>
            <w:vAlign w:val="bottom"/>
          </w:tcPr>
          <w:p>
            <w:pPr>
              <w:ind w:left="320"/>
              <w:spacing w:after="0" w:line="12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center"/>
              <w:ind w:right="72"/>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-1947545</wp:posOffset>
            </wp:positionV>
            <wp:extent cx="28575" cy="1953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5326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ind w:left="40" w:right="360" w:hanging="4"/>
        <w:spacing w:after="0" w:line="257"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5 pursuant to the terms of the restricted stock unit (RSU) award agreement under the Viatris Inc. 2020 Stock Incentive Plan.</w:t>
      </w:r>
    </w:p>
    <w:p>
      <w:pPr>
        <w:spacing w:after="0" w:line="173"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sold to satisfy the tax liability associated with the vesting and settlement of the RSUs granted on November 23, 2020 and the related dividend equivalent units (DEUs).</w:t>
      </w:r>
    </w:p>
    <w:p>
      <w:pPr>
        <w:spacing w:after="0" w:line="47" w:lineRule="exact"/>
        <w:rPr>
          <w:rFonts w:ascii="Times New Roman" w:cs="Times New Roman" w:eastAsia="Times New Roman" w:hAnsi="Times New Roman"/>
          <w:sz w:val="12"/>
          <w:szCs w:val="12"/>
          <w:color w:val="008000"/>
        </w:rPr>
      </w:pPr>
    </w:p>
    <w:p>
      <w:pPr>
        <w:ind w:left="40" w:right="220" w:hanging="4"/>
        <w:spacing w:after="0" w:line="255"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weighted average price of the reporting person's disposition of 14,937 shares of common stock in transactions ranging from $9.3387 to $9.3900. The reporting person undertakes to provide to the issuer, any security holder of the issuer, or the staff of the Securities and Exchange Commission, upon request, full information regarding the number of shares of common stock sold at each separate price within the range set forth in this footnote.</w:t>
      </w:r>
    </w:p>
    <w:p>
      <w:pPr>
        <w:spacing w:after="0" w:line="16"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These RSUs vested in full on November 23, 2023.</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29,816 RSUs previously granted on November 23, 2020 and vested on the same schedule as the underlying RSUs.</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2"/>
          <w:szCs w:val="32"/>
          <w:color w:val="0000FF"/>
          <w:vertAlign w:val="subscript"/>
        </w:rPr>
        <w:t>11/24/2023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-26035</wp:posOffset>
            </wp:positionV>
            <wp:extent cx="133223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-17780</wp:posOffset>
            </wp:positionV>
            <wp:extent cx="4438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3865" cy="762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-80010</wp:posOffset>
            </wp:positionV>
            <wp:extent cx="4603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4"/>
          <w:szCs w:val="24"/>
          <w:color w:val="auto"/>
        </w:rPr>
      </w:pPr>
    </w:p>
    <w:p>
      <w:pPr>
        <w:jc w:val="both"/>
        <w:ind w:left="40" w:right="3920" w:hanging="4"/>
        <w:spacing w:after="0" w:line="321" w:lineRule="auto"/>
        <w:tabs>
          <w:tab w:leader="none" w:pos="17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48812"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2023-11-24T17:08:05Z</dcterms:created>
  <dcterms:modified xsi:type="dcterms:W3CDTF">2023-11-24T17:08:05Z</dcterms:modified>
</cp:coreProperties>
</file>