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-601345</wp:posOffset>
            </wp:positionV>
            <wp:extent cx="5651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3907790</wp:posOffset>
            </wp:positionH>
            <wp:positionV relativeFrom="paragraph">
              <wp:posOffset>-601345</wp:posOffset>
            </wp:positionV>
            <wp:extent cx="5651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8970" cy="5357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535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Lyons Dillon JoEllen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 PA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13,996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39,045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39,380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13,996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13,996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334.4826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334.4826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43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19,608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03/04/2022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19,608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19,608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-2211070</wp:posOffset>
            </wp:positionV>
            <wp:extent cx="28575" cy="2216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1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40" w:hanging="4"/>
        <w:spacing w:after="0" w:line="268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Fractional shares have been rounded up in connection with the settlement described in footnote 3 pursuant to the terms of the restricted stock unit (RSU) award agreement under the Viatris Inc. 2020 Stock Incentive Plan.</w:t>
      </w:r>
    </w:p>
    <w:p>
      <w:pPr>
        <w:spacing w:after="0" w:line="1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 Inc. (Viatris). These RSUs vested in full on March 2, 2022.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that accrued with respect to the RSUs previously granted on March 2, 2021 and vested on the same schedule as the underlying RSUs.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Viatris. These RSUs will vest on March 4, 2023.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-1270</wp:posOffset>
            </wp:positionV>
            <wp:extent cx="133540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-13335</wp:posOffset>
            </wp:positionV>
            <wp:extent cx="44513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648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900" w:hanging="4"/>
        <w:spacing w:after="0" w:line="320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0168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2022-03-04T19:25:21Z</dcterms:created>
  <dcterms:modified xsi:type="dcterms:W3CDTF">2022-03-04T19:25:21Z</dcterms:modified>
</cp:coreProperties>
</file>