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November 6, 2025</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6, 2025, Viatris Inc. (“Viatris” or the “Company”) issued a press release reporting the Company's financial results for the period ended September 30, 2025.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third quarter of 2025, dated November 6, 2025.</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Viatris Reports Third Quarter 2025 Results and Updates 2025 Financial Guidance</w:t>
      </w:r>
    </w:p>
    <w:p>
      <w:pPr>
        <w:spacing w:after="0" w:line="2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Delivers Total Revenues in Line With Expectations, Reflecting Strong Execution of its Global Business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Makes Late-Stage Pipeline Progress Including NDA Submission for Low-Dose Estrogen Weekly Patch</w:t>
      </w:r>
    </w:p>
    <w:p>
      <w:pPr>
        <w:spacing w:after="0" w:line="246" w:lineRule="exact"/>
        <w:rPr>
          <w:rFonts w:ascii="Arial" w:cs="Arial" w:eastAsia="Arial" w:hAnsi="Arial"/>
          <w:sz w:val="22"/>
          <w:szCs w:val="22"/>
          <w:color w:val="auto"/>
        </w:rPr>
      </w:pPr>
    </w:p>
    <w:p>
      <w:pPr>
        <w:ind w:left="660" w:right="140" w:hanging="328"/>
        <w:spacing w:after="0" w:line="24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Acquires Aculys Pharma Including Rights to Pitolisant in Japan and Spydia® in Japan and Certain Other Markets in the Asia-Pacific Region</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Returns More Than $920 Million of Capital to Shareholders Year-to-Date, Including $500 Million in Share Repurchases</w:t>
      </w:r>
    </w:p>
    <w:p>
      <w:pPr>
        <w:spacing w:after="0" w:line="233" w:lineRule="exact"/>
        <w:rPr>
          <w:rFonts w:ascii="Arial" w:cs="Arial" w:eastAsia="Arial" w:hAnsi="Arial"/>
          <w:sz w:val="22"/>
          <w:szCs w:val="22"/>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Raises and Narrows 2025 Financial Guidance Ranges for Total Revenues, Adjusted EBITDA and Adjusted EPS</w:t>
      </w:r>
      <w:r>
        <w:rPr>
          <w:rFonts w:ascii="Arial" w:cs="Arial" w:eastAsia="Arial" w:hAnsi="Arial"/>
          <w:sz w:val="20"/>
          <w:szCs w:val="20"/>
          <w:color w:val="auto"/>
        </w:rPr>
        <w:t>[1]</w:t>
      </w:r>
    </w:p>
    <w:p>
      <w:pPr>
        <w:spacing w:after="0" w:line="200" w:lineRule="exact"/>
        <w:rPr>
          <w:sz w:val="20"/>
          <w:szCs w:val="20"/>
          <w:color w:val="auto"/>
        </w:rPr>
      </w:pPr>
    </w:p>
    <w:p>
      <w:pPr>
        <w:spacing w:after="0" w:line="274"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 xml:space="preserve">PITTSBURGH – November 6, 2025 </w:t>
      </w:r>
      <w:r>
        <w:rPr>
          <w:rFonts w:ascii="Arial" w:cs="Arial" w:eastAsia="Arial" w:hAnsi="Arial"/>
          <w:sz w:val="20"/>
          <w:szCs w:val="20"/>
          <w:color w:val="auto"/>
        </w:rPr>
        <w:t>– Viatris Inc. (Nasdaq: VTRS) today reported strong third quarter 2025 financial results and</w:t>
      </w:r>
      <w:r>
        <w:rPr>
          <w:rFonts w:ascii="Arial" w:cs="Arial" w:eastAsia="Arial" w:hAnsi="Arial"/>
          <w:sz w:val="20"/>
          <w:szCs w:val="20"/>
          <w:b w:val="1"/>
          <w:bCs w:val="1"/>
          <w:color w:val="auto"/>
        </w:rPr>
        <w:t xml:space="preserve"> </w:t>
      </w:r>
      <w:r>
        <w:rPr>
          <w:rFonts w:ascii="Arial" w:cs="Arial" w:eastAsia="Arial" w:hAnsi="Arial"/>
          <w:sz w:val="20"/>
          <w:szCs w:val="20"/>
          <w:color w:val="auto"/>
        </w:rPr>
        <w:t>updated full-year financial guidance.</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Executive Commentary</w:t>
      </w: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“We delivered another strong quarter by staying focused on our 2025 strategic priorities,” said </w:t>
      </w:r>
      <w:r>
        <w:rPr>
          <w:rFonts w:ascii="Arial" w:cs="Arial" w:eastAsia="Arial" w:hAnsi="Arial"/>
          <w:sz w:val="20"/>
          <w:szCs w:val="20"/>
          <w:b w:val="1"/>
          <w:bCs w:val="1"/>
          <w:color w:val="7030A0"/>
        </w:rPr>
        <w:t>Scott A. Smith, Chief Executive</w:t>
      </w:r>
      <w:r>
        <w:rPr>
          <w:rFonts w:ascii="Arial" w:cs="Arial" w:eastAsia="Arial" w:hAnsi="Arial"/>
          <w:sz w:val="20"/>
          <w:szCs w:val="20"/>
          <w:color w:val="auto"/>
        </w:rPr>
        <w:t xml:space="preserve"> </w:t>
      </w:r>
      <w:r>
        <w:rPr>
          <w:rFonts w:ascii="Arial" w:cs="Arial" w:eastAsia="Arial" w:hAnsi="Arial"/>
          <w:sz w:val="20"/>
          <w:szCs w:val="20"/>
          <w:b w:val="1"/>
          <w:bCs w:val="1"/>
          <w:color w:val="7030A0"/>
        </w:rPr>
        <w:t>Officer, Viatris</w:t>
      </w:r>
      <w:r>
        <w:rPr>
          <w:rFonts w:ascii="Arial" w:cs="Arial" w:eastAsia="Arial" w:hAnsi="Arial"/>
          <w:sz w:val="20"/>
          <w:szCs w:val="20"/>
          <w:color w:val="000000"/>
        </w:rPr>
        <w:t>. “Our performance this quarter reflects the continued strength of our execution across markets. We are</w:t>
      </w:r>
      <w:r>
        <w:rPr>
          <w:rFonts w:ascii="Arial" w:cs="Arial" w:eastAsia="Arial" w:hAnsi="Arial"/>
          <w:sz w:val="20"/>
          <w:szCs w:val="20"/>
          <w:b w:val="1"/>
          <w:bCs w:val="1"/>
          <w:color w:val="7030A0"/>
        </w:rPr>
        <w:t xml:space="preserve"> </w:t>
      </w:r>
      <w:r>
        <w:rPr>
          <w:rFonts w:ascii="Arial" w:cs="Arial" w:eastAsia="Arial" w:hAnsi="Arial"/>
          <w:sz w:val="20"/>
          <w:szCs w:val="20"/>
          <w:color w:val="000000"/>
        </w:rPr>
        <w:t>advancing our pipeline with key regulatory submissions and preparing for multiple potential launches, while preparing to take meaningful actions through our enterprise-wide strategic review to position Viatris for sustainable growth in 2026 and beyond. We remain confident in our strategy, our people, and our ability to deliver significant impact for patients and long-term value for shareholders.”</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 xml:space="preserve">“Our third-quarter results again demonstrate strong operational execution and disciplined and balanced capital allocation,” said </w:t>
      </w:r>
      <w:r>
        <w:rPr>
          <w:rFonts w:ascii="Arial" w:cs="Arial" w:eastAsia="Arial" w:hAnsi="Arial"/>
          <w:sz w:val="20"/>
          <w:szCs w:val="20"/>
          <w:b w:val="1"/>
          <w:bCs w:val="1"/>
          <w:color w:val="7030A0"/>
        </w:rPr>
        <w:t>Doretta Mistras, Chief Financial Officer, Viatris</w:t>
      </w:r>
      <w:r>
        <w:rPr>
          <w:rFonts w:ascii="Arial" w:cs="Arial" w:eastAsia="Arial" w:hAnsi="Arial"/>
          <w:sz w:val="20"/>
          <w:szCs w:val="20"/>
          <w:color w:val="000000"/>
        </w:rPr>
        <w:t>. “We have returned more than $920 million of capital to shareholders year-to-date, including $ 500 million in share repurchases. We are raising and narrowing our financial guidance ranges across certain metrics primarily driven by foreign exchange and share repurchases, and we remain on track to deliver on all of our 2025 financial commitments.”</w:t>
      </w:r>
    </w:p>
    <w:p>
      <w:pPr>
        <w:sectPr>
          <w:pgSz w:w="11900" w:h="16838" w:orient="portrait"/>
          <w:cols w:equalWidth="0" w:num="1">
            <w:col w:w="11200"/>
          </w:cols>
          <w:pgMar w:left="320" w:top="1440" w:right="379" w:bottom="1440" w:gutter="0" w:footer="0" w:header="0"/>
        </w:sectPr>
      </w:pPr>
    </w:p>
    <w:bookmarkStart w:id="5" w:name="page6"/>
    <w:bookmarkEnd w:id="5"/>
    <w:p>
      <w:pPr>
        <w:ind w:left="-8" w:firstLine="8"/>
        <w:spacing w:after="0" w:line="254" w:lineRule="auto"/>
        <w:tabs>
          <w:tab w:leader="none" w:pos="267"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Viatris is not providing forward-looking guidance for U.S. GAAP net (loss) earnings or U.S. GAAP diluted EPS or a quantitative reconciliation of its 2025 adjusted EBITDA or adjusted EPS guidance. U.S. GAAP net cash provided by operating activities for 2025 is estimated to be between $2.2 billion and $2.45 billion, with a midpoint of approximately $2.325 billion. 2025 financial guidance ranges as provided on November 6, 2025, exclude the impact of any transaction-related costs (as defined below), and acquired IPR&amp;D for unsigned deals as they cannot be reasonably forecasted. See “2025 Financial Guidance” and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52"/>
          </w:cols>
          <w:pgMar w:left="328" w:top="887" w:right="4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7030A0"/>
        </w:rPr>
        <w:t>Third Quarter Results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5"/>
          </w:tcPr>
          <w:p>
            <w:pPr>
              <w:jc w:val="center"/>
              <w:ind w:left="6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ind w:left="40"/>
              <w:spacing w:after="0" w:line="198"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(2)</w:t>
            </w:r>
          </w:p>
        </w:tc>
        <w:tc>
          <w:tcPr>
            <w:tcW w:w="10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3,759.9</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3,751.2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41"/>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3,747.5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3,738.0</w:t>
            </w: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(2)%</w:t>
            </w:r>
          </w:p>
        </w:tc>
        <w:tc>
          <w:tcPr>
            <w:tcW w:w="1400" w:type="dxa"/>
            <w:vAlign w:val="bottom"/>
            <w:gridSpan w:val="2"/>
          </w:tcPr>
          <w:p>
            <w:pPr>
              <w:jc w:val="right"/>
              <w:ind w:right="41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2,298.7</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rPr>
              <w:t>(5)%</w:t>
            </w:r>
          </w:p>
        </w:tc>
        <w:tc>
          <w:tcPr>
            <w:tcW w:w="140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533.2</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rPr>
              <w:t>7%</w:t>
            </w:r>
          </w:p>
        </w:tc>
        <w:tc>
          <w:tcPr>
            <w:tcW w:w="1400" w:type="dxa"/>
            <w:vAlign w:val="bottom"/>
            <w:gridSpan w:val="2"/>
          </w:tcPr>
          <w:p>
            <w:pPr>
              <w:jc w:val="right"/>
              <w:ind w:right="47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344.3</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(10)%</w:t>
            </w:r>
          </w:p>
        </w:tc>
        <w:tc>
          <w:tcPr>
            <w:tcW w:w="140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561.8</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rPr>
              <w:t>9%</w:t>
            </w:r>
          </w:p>
        </w:tc>
        <w:tc>
          <w:tcPr>
            <w:tcW w:w="1400" w:type="dxa"/>
            <w:vAlign w:val="bottom"/>
            <w:gridSpan w:val="2"/>
          </w:tcPr>
          <w:p>
            <w:pPr>
              <w:jc w:val="right"/>
              <w:ind w:right="47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2,362.2</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rPr>
              <w:t>1%</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1,375.8</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(6)%</w:t>
            </w:r>
          </w:p>
        </w:tc>
        <w:tc>
          <w:tcPr>
            <w:tcW w:w="1400" w:type="dxa"/>
            <w:vAlign w:val="bottom"/>
            <w:gridSpan w:val="2"/>
          </w:tcPr>
          <w:p>
            <w:pPr>
              <w:jc w:val="right"/>
              <w:ind w:right="41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1,371.5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1,459.2</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2,104.4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2,192.9</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restart"/>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20" w:type="dxa"/>
            <w:vAlign w:val="bottom"/>
            <w:vMerge w:val="continue"/>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(Loss) Earnings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897.6</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0.75</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w w:val="98"/>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w w:val="98"/>
              </w:rPr>
              <w:t>(10)%</w:t>
            </w:r>
          </w:p>
        </w:tc>
        <w:tc>
          <w:tcPr>
            <w:tcW w:w="1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905.8</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1,284.6</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(10)%</w:t>
            </w:r>
          </w:p>
        </w:tc>
        <w:tc>
          <w:tcPr>
            <w:tcW w:w="140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826.5</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77.0</w:t>
            </w:r>
          </w:p>
        </w:tc>
        <w:tc>
          <w:tcPr>
            <w:tcW w:w="102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6"/>
                <w:szCs w:val="16"/>
                <w:color w:val="auto"/>
                <w:w w:val="99"/>
              </w:rPr>
              <w:t>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749.5</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40" w:hanging="208"/>
        <w:spacing w:after="0"/>
        <w:tabs>
          <w:tab w:leader="none" w:pos="540" w:val="left"/>
        </w:tabs>
        <w:numPr>
          <w:ilvl w:val="0"/>
          <w:numId w:val="5"/>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5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costs of $70 million, free cash flow for the three months ended September 30, 2025, was $728 million. Excluding the impact of transaction-related costs of $116 million, free cash flow for the three months ended September 30, 2024, was $866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0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left="66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left="6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2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(1)(2)</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10,596.3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11,211.2</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10,559.7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11,177.4</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w:t>
            </w:r>
          </w:p>
        </w:tc>
        <w:tc>
          <w:tcPr>
            <w:tcW w:w="1360" w:type="dxa"/>
            <w:vAlign w:val="bottom"/>
            <w:gridSpan w:val="2"/>
          </w:tcPr>
          <w:p>
            <w:pPr>
              <w:jc w:val="right"/>
              <w:ind w:right="36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6,266.6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6,783.3</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360" w:type="dxa"/>
            <w:vAlign w:val="bottom"/>
            <w:gridSpan w:val="2"/>
            <w:shd w:val="clear" w:color="auto" w:fill="CCEEFF"/>
          </w:tcPr>
          <w:p>
            <w:pPr>
              <w:jc w:val="right"/>
              <w:ind w:right="364"/>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1,645.4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1,737.7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(4)%</w:t>
            </w:r>
          </w:p>
        </w:tc>
        <w:tc>
          <w:tcPr>
            <w:tcW w:w="1360" w:type="dxa"/>
            <w:vAlign w:val="bottom"/>
            <w:gridSpan w:val="2"/>
          </w:tcPr>
          <w:p>
            <w:pPr>
              <w:jc w:val="right"/>
              <w:ind w:right="42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1,011.7</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360" w:type="dxa"/>
            <w:vAlign w:val="bottom"/>
            <w:gridSpan w:val="2"/>
            <w:shd w:val="clear" w:color="auto" w:fill="CCEEFF"/>
          </w:tcPr>
          <w:p>
            <w:pPr>
              <w:jc w:val="right"/>
              <w:ind w:right="36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1,759.6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1,644.7</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360" w:type="dxa"/>
            <w:vAlign w:val="bottom"/>
            <w:gridSpan w:val="2"/>
          </w:tcPr>
          <w:p>
            <w:pPr>
              <w:jc w:val="right"/>
              <w:ind w:right="424"/>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6,838.2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7,034.4</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360" w:type="dxa"/>
            <w:vAlign w:val="bottom"/>
            <w:gridSpan w:val="2"/>
            <w:shd w:val="clear" w:color="auto" w:fill="CCEEFF"/>
          </w:tcPr>
          <w:p>
            <w:pPr>
              <w:jc w:val="right"/>
              <w:ind w:right="42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3,721.5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4,143.0</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1360" w:type="dxa"/>
            <w:vAlign w:val="bottom"/>
            <w:gridSpan w:val="2"/>
          </w:tcPr>
          <w:p>
            <w:pPr>
              <w:jc w:val="right"/>
              <w:ind w:right="364"/>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3,865.6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4,408.6</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5,952.4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6,551.6</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Loss </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Loss Per Share </w:t>
            </w:r>
            <w:r>
              <w:rPr>
                <w:rFonts w:ascii="Arial" w:cs="Arial" w:eastAsia="Arial" w:hAnsi="Arial"/>
                <w:sz w:val="21"/>
                <w:szCs w:val="2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2,536.8</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2.11</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40" w:type="dxa"/>
            <w:vAlign w:val="bottom"/>
          </w:tcPr>
          <w:p>
            <w:pPr>
              <w:jc w:val="right"/>
              <w:ind w:right="36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(938.8)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2,480.1</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3,685.9</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1,820.2</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185.6</w:t>
            </w:r>
          </w:p>
        </w:tc>
        <w:tc>
          <w:tcPr>
            <w:tcW w:w="102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1,634.6</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80" w:hanging="248"/>
        <w:spacing w:after="0"/>
        <w:tabs>
          <w:tab w:leader="none" w:pos="580" w:val="left"/>
        </w:tabs>
        <w:numPr>
          <w:ilvl w:val="0"/>
          <w:numId w:val="6"/>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6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2025, includes the previously disclosed goodwill impairment charge of $2.9 billion as a result of the interim goodwill impairment test performed as of March 31, 2025.</w:t>
      </w:r>
    </w:p>
    <w:p>
      <w:pPr>
        <w:spacing w:after="0" w:line="39" w:lineRule="exact"/>
        <w:rPr>
          <w:rFonts w:ascii="Arial" w:cs="Arial" w:eastAsia="Arial" w:hAnsi="Arial"/>
          <w:sz w:val="19"/>
          <w:szCs w:val="19"/>
          <w:color w:val="auto"/>
          <w:vertAlign w:val="superscript"/>
        </w:rPr>
      </w:pPr>
    </w:p>
    <w:p>
      <w:pPr>
        <w:ind w:left="660" w:right="20" w:hanging="328"/>
        <w:spacing w:after="0" w:line="222" w:lineRule="auto"/>
        <w:tabs>
          <w:tab w:leader="none" w:pos="619"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costs of $186 million, free cash flow for the nine months ended September 30, 2025, was $1.5 billion. Excluding the impact of transaction-related costs of $306 million, free cash flow for the nine months ended September 30, 2024, was $1.9 billion.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Quarterly Financial Highlights</w:t>
      </w:r>
    </w:p>
    <w:p>
      <w:pPr>
        <w:spacing w:after="0" w:line="272" w:lineRule="exact"/>
        <w:rPr>
          <w:sz w:val="20"/>
          <w:szCs w:val="20"/>
          <w:color w:val="auto"/>
        </w:rPr>
      </w:pPr>
    </w:p>
    <w:p>
      <w:pPr>
        <w:ind w:left="660" w:right="280" w:hanging="328"/>
        <w:spacing w:after="0" w:line="250" w:lineRule="auto"/>
        <w:tabs>
          <w:tab w:leader="none" w:pos="65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Third quarter 2025 total revenues were $3.8 billion, flat on a reported basis and down 1% on a divestiture-adjusted operational basis compared to third quarter 2024, primarily driven by the negative Indore Impact. Excluding the Indore Impact, divestiture-adjusted operational total revenues increased 1% compared to third quarter 2024.</w:t>
      </w:r>
    </w:p>
    <w:p>
      <w:pPr>
        <w:spacing w:after="0" w:line="229" w:lineRule="exact"/>
        <w:rPr>
          <w:rFonts w:ascii="Arial" w:cs="Arial" w:eastAsia="Arial" w:hAnsi="Arial"/>
          <w:sz w:val="22"/>
          <w:szCs w:val="22"/>
          <w:b w:val="1"/>
          <w:bCs w:val="1"/>
          <w:color w:val="auto"/>
        </w:rPr>
      </w:pPr>
    </w:p>
    <w:p>
      <w:pPr>
        <w:ind w:left="660" w:right="520" w:hanging="328"/>
        <w:spacing w:after="0" w:line="262" w:lineRule="auto"/>
        <w:tabs>
          <w:tab w:leader="none" w:pos="655" w:val="left"/>
        </w:tabs>
        <w:numPr>
          <w:ilvl w:val="0"/>
          <w:numId w:val="7"/>
        </w:numPr>
        <w:rPr>
          <w:rFonts w:ascii="Arial" w:cs="Arial" w:eastAsia="Arial" w:hAnsi="Arial"/>
          <w:sz w:val="22"/>
          <w:szCs w:val="22"/>
          <w:b w:val="1"/>
          <w:bCs w:val="1"/>
          <w:color w:val="auto"/>
        </w:rPr>
      </w:pPr>
      <w:r>
        <w:rPr>
          <w:rFonts w:ascii="Arial" w:cs="Arial" w:eastAsia="Arial" w:hAnsi="Arial"/>
          <w:sz w:val="20"/>
          <w:szCs w:val="20"/>
          <w:color w:val="auto"/>
        </w:rPr>
        <w:t>Brands net sales demonstrated continued strength in Greater China and Emerging Markets, in addition to growth in certain key brands in Developed Markets.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91" w:right="339" w:bottom="1440" w:gutter="0" w:footer="0" w:header="0"/>
        </w:sectPr>
      </w:pPr>
    </w:p>
    <w:bookmarkStart w:id="8" w:name="page9"/>
    <w:bookmarkEnd w:id="8"/>
    <w:p>
      <w:pPr>
        <w:ind w:left="660" w:right="180" w:hanging="328"/>
        <w:spacing w:after="0" w:line="262"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Generics net sales reflect the expected negative Indore Impact, partially offset by growth in certain complex products in North America, strong performance across key European markets, and solid growth in Emerging Markets.</w:t>
      </w:r>
    </w:p>
    <w:p>
      <w:pPr>
        <w:spacing w:after="0" w:line="215" w:lineRule="exact"/>
        <w:rPr>
          <w:rFonts w:ascii="Arial" w:cs="Arial" w:eastAsia="Arial" w:hAnsi="Arial"/>
          <w:sz w:val="22"/>
          <w:szCs w:val="22"/>
          <w:b w:val="1"/>
          <w:bCs w:val="1"/>
          <w:color w:val="auto"/>
        </w:rPr>
      </w:pPr>
    </w:p>
    <w:p>
      <w:pPr>
        <w:ind w:left="660" w:hanging="328"/>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The Company generated approximately $100 million in new product revenues in the quarter.</w:t>
      </w:r>
    </w:p>
    <w:p>
      <w:pPr>
        <w:spacing w:after="0" w:line="260" w:lineRule="exact"/>
        <w:rPr>
          <w:rFonts w:ascii="Arial" w:cs="Arial" w:eastAsia="Arial" w:hAnsi="Arial"/>
          <w:sz w:val="22"/>
          <w:szCs w:val="22"/>
          <w:b w:val="1"/>
          <w:bCs w:val="1"/>
          <w:color w:val="auto"/>
        </w:rPr>
      </w:pPr>
    </w:p>
    <w:p>
      <w:pPr>
        <w:ind w:left="660" w:right="80" w:hanging="328"/>
        <w:spacing w:after="0" w:line="251"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Third quarter 2025 U.S. GAAP net loss was $(128) million compared to U.S. GAAP net earnings of $95 million in the third quarter of 2024, and U.S. GAAP diluted EPS was $(0.11) per share in Q3 2025 compared to $0.08 per share in Q3 2024. The loss in the current quarter was primarily driven by a reduction in the fair value of the Company's investment in the compulsory convertible preferred shares of Biocon Biologics and an increase in income tax expense.</w:t>
      </w:r>
    </w:p>
    <w:p>
      <w:pPr>
        <w:spacing w:after="0" w:line="228" w:lineRule="exact"/>
        <w:rPr>
          <w:rFonts w:ascii="Arial" w:cs="Arial" w:eastAsia="Arial" w:hAnsi="Arial"/>
          <w:sz w:val="22"/>
          <w:szCs w:val="22"/>
          <w:b w:val="1"/>
          <w:bCs w:val="1"/>
          <w:color w:val="auto"/>
        </w:rPr>
      </w:pPr>
    </w:p>
    <w:p>
      <w:pPr>
        <w:ind w:left="660" w:right="200" w:hanging="328"/>
        <w:spacing w:after="0" w:line="251"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Third quarter 2025 adjusted EBITDA was $1.2 billion, down 10% on a reported basis and down 8% on a divestiture-adjusted operational basis compared to the third quarter of 2024, and adjusted EPS was $0.67 per share in Q3 2025, down 11% on a reported basis and down 9% on a divestiture-adjusted operational basis compared to Q3 2024, in each case primarily driven by the negative Indore Impact.</w:t>
      </w:r>
    </w:p>
    <w:p>
      <w:pPr>
        <w:spacing w:after="0" w:line="242" w:lineRule="exact"/>
        <w:rPr>
          <w:rFonts w:ascii="Arial" w:cs="Arial" w:eastAsia="Arial" w:hAnsi="Arial"/>
          <w:sz w:val="22"/>
          <w:szCs w:val="22"/>
          <w:b w:val="1"/>
          <w:bCs w:val="1"/>
          <w:color w:val="auto"/>
        </w:rPr>
      </w:pPr>
    </w:p>
    <w:p>
      <w:pPr>
        <w:ind w:left="660" w:right="460" w:hanging="328"/>
        <w:spacing w:after="0" w:line="247"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In the quarter, the Company generated U.S. GAAP net cash provided by operating activities of $745 million and free cash flow of $658 million, including $70 million in transaction-related costs.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Additional Highlights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Brands</w:t>
      </w:r>
    </w:p>
    <w:p>
      <w:pPr>
        <w:spacing w:after="0" w:line="256" w:lineRule="exact"/>
        <w:rPr>
          <w:sz w:val="20"/>
          <w:szCs w:val="20"/>
          <w:color w:val="auto"/>
        </w:rPr>
      </w:pPr>
    </w:p>
    <w:p>
      <w:pPr>
        <w:ind w:left="660" w:hanging="328"/>
        <w:spacing w:after="0" w:line="252"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Acquisition of Aculys Pharma, Inc.: </w:t>
      </w:r>
      <w:r>
        <w:rPr>
          <w:rFonts w:ascii="Arial" w:cs="Arial" w:eastAsia="Arial" w:hAnsi="Arial"/>
          <w:sz w:val="20"/>
          <w:szCs w:val="20"/>
          <w:color w:val="auto"/>
        </w:rPr>
        <w:t>The Company announced the completion of its acquisition of Aculys Pharma, Inc.,</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 biopharmaceutical company in Japan. As part of the transaction, Viatris has acquired exclusive development and commercialization rights in Japan for pitolisant, a selective/inverse agonist of the histamine H3 receptor. Based on the strength of recent Phase 3 clinical trial results in Japanese patients and the positive benefit-risk profile established globally, the Company is on track to file two JNDAs for pitolisant in Japan for two indications in the fourth quarter of 2025. One indication is for the treatment of excessive daytime sleepiness or cataplexy in adult patients with narcolepsy and the second is for the treatment of excessive daytime sleepiness associated with obstructive sleep apnea syndrome. The transaction also includes exclusive rights in Japan and certain other markets in the Asia-Pacific region for Spydia® Nasal Spray, which was approved in Japan in June 2025 for the treatment of status epilepticus.</w:t>
      </w:r>
    </w:p>
    <w:p>
      <w:pPr>
        <w:spacing w:after="0" w:line="202" w:lineRule="exact"/>
        <w:rPr>
          <w:rFonts w:ascii="Arial" w:cs="Arial" w:eastAsia="Arial" w:hAnsi="Arial"/>
          <w:sz w:val="20"/>
          <w:szCs w:val="20"/>
          <w:b w:val="1"/>
          <w:bCs w:val="1"/>
          <w:color w:val="auto"/>
        </w:rPr>
      </w:pPr>
    </w:p>
    <w:p>
      <w:pPr>
        <w:ind w:left="660" w:right="60" w:hanging="328"/>
        <w:spacing w:after="0" w:line="315" w:lineRule="auto"/>
        <w:tabs>
          <w:tab w:leader="none" w:pos="648"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Low-Dose Estrogen Weekly Patch: </w:t>
      </w:r>
      <w:r>
        <w:rPr>
          <w:rFonts w:ascii="Arial" w:cs="Arial" w:eastAsia="Arial" w:hAnsi="Arial"/>
          <w:sz w:val="19"/>
          <w:szCs w:val="19"/>
          <w:color w:val="auto"/>
        </w:rPr>
        <w:t>The New Drug Application for the Company’s low-dose estrogen weekly patch was</w:t>
      </w:r>
      <w:r>
        <w:rPr>
          <w:rFonts w:ascii="Arial" w:cs="Arial" w:eastAsia="Arial" w:hAnsi="Arial"/>
          <w:sz w:val="19"/>
          <w:szCs w:val="19"/>
          <w:b w:val="1"/>
          <w:bCs w:val="1"/>
          <w:color w:val="auto"/>
        </w:rPr>
        <w:t xml:space="preserve"> </w:t>
      </w:r>
      <w:r>
        <w:rPr>
          <w:rFonts w:ascii="Arial" w:cs="Arial" w:eastAsia="Arial" w:hAnsi="Arial"/>
          <w:sz w:val="19"/>
          <w:szCs w:val="19"/>
          <w:color w:val="auto"/>
        </w:rPr>
        <w:t>submitted to the U.S. Food and Drug Administration (FDA) in late Q3. The Company anticipates approval by mid-2026.</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Generics</w:t>
      </w:r>
    </w:p>
    <w:p>
      <w:pPr>
        <w:spacing w:after="0" w:line="256" w:lineRule="exact"/>
        <w:rPr>
          <w:sz w:val="20"/>
          <w:szCs w:val="20"/>
          <w:color w:val="auto"/>
        </w:rPr>
      </w:pPr>
    </w:p>
    <w:p>
      <w:pPr>
        <w:ind w:left="660" w:right="140" w:hanging="328"/>
        <w:spacing w:after="0" w:line="260" w:lineRule="auto"/>
        <w:tabs>
          <w:tab w:leader="none" w:pos="648"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Iron Sucrose Injection: </w:t>
      </w:r>
      <w:r>
        <w:rPr>
          <w:rFonts w:ascii="Arial" w:cs="Arial" w:eastAsia="Arial" w:hAnsi="Arial"/>
          <w:sz w:val="20"/>
          <w:szCs w:val="20"/>
          <w:color w:val="auto"/>
        </w:rPr>
        <w:t>The Company announced that the FDA approved its Iron Sucrose Injection, USP, an</w:t>
      </w:r>
      <w:r>
        <w:rPr>
          <w:rFonts w:ascii="Arial" w:cs="Arial" w:eastAsia="Arial" w:hAnsi="Arial"/>
          <w:sz w:val="20"/>
          <w:szCs w:val="20"/>
          <w:b w:val="1"/>
          <w:bCs w:val="1"/>
          <w:color w:val="auto"/>
        </w:rPr>
        <w:t xml:space="preserve"> </w:t>
      </w:r>
      <w:r>
        <w:rPr>
          <w:rFonts w:ascii="Arial" w:cs="Arial" w:eastAsia="Arial" w:hAnsi="Arial"/>
          <w:sz w:val="20"/>
          <w:szCs w:val="20"/>
          <w:color w:val="auto"/>
        </w:rPr>
        <w:t>intravenous iron replacement product used to treat iron deficiency anemia in adult and pediatric patients (2 years of age and older) with chronic kidney disease. The product was made available in single dose vials in the following strengths: 50 mg/2.5mL, 100mg/5mL and 200mg/10mL.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1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7030A0"/>
        </w:rPr>
        <w:t>Capital Allocation</w:t>
      </w:r>
    </w:p>
    <w:p>
      <w:pPr>
        <w:spacing w:after="0" w:line="231" w:lineRule="exact"/>
        <w:rPr>
          <w:sz w:val="20"/>
          <w:szCs w:val="20"/>
          <w:color w:val="auto"/>
        </w:rPr>
      </w:pPr>
    </w:p>
    <w:p>
      <w:pPr>
        <w:ind w:right="620"/>
        <w:spacing w:after="0" w:line="262" w:lineRule="auto"/>
        <w:rPr>
          <w:sz w:val="20"/>
          <w:szCs w:val="20"/>
          <w:color w:val="auto"/>
        </w:rPr>
      </w:pPr>
      <w:r>
        <w:rPr>
          <w:rFonts w:ascii="Arial" w:cs="Arial" w:eastAsia="Arial" w:hAnsi="Arial"/>
          <w:sz w:val="20"/>
          <w:szCs w:val="20"/>
          <w:color w:val="auto"/>
        </w:rPr>
        <w:t>Year-to-date, the Company has returned more than $920 million of capital to shareholders, including $500 million in share repurchases. The Company remains on track to deliver on its commitment of returning more than $1 billion of capital to shareholders through dividends and share repurchases in 2025.</w:t>
      </w:r>
    </w:p>
    <w:p>
      <w:pPr>
        <w:spacing w:after="0" w:line="192" w:lineRule="exact"/>
        <w:rPr>
          <w:sz w:val="20"/>
          <w:szCs w:val="20"/>
          <w:color w:val="auto"/>
        </w:rPr>
      </w:pPr>
    </w:p>
    <w:p>
      <w:pPr>
        <w:ind w:right="740"/>
        <w:spacing w:after="0" w:line="313" w:lineRule="auto"/>
        <w:rPr>
          <w:sz w:val="20"/>
          <w:szCs w:val="20"/>
          <w:color w:val="auto"/>
        </w:rPr>
      </w:pPr>
      <w:r>
        <w:rPr>
          <w:rFonts w:ascii="Arial" w:cs="Arial" w:eastAsia="Arial" w:hAnsi="Arial"/>
          <w:sz w:val="19"/>
          <w:szCs w:val="19"/>
          <w:color w:val="auto"/>
        </w:rPr>
        <w:t>From a business development perspective, the Company continues to pursue targeted, accretive business development opportunities that leverage its unique commercial and R&amp;D infrastructure and strengthen its business in key markets.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Enterprise-wide Strategic Review</w:t>
      </w:r>
    </w:p>
    <w:p>
      <w:pPr>
        <w:spacing w:after="0" w:line="24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Viatris has made significant progress on its enterprise-wide strategic review since it announced the initiative in February and continues to perform a detailed analysis of the totality of its business. As part of the analysis to date, the Company has identified areas for potential operating efficiencies, including from:</w:t>
      </w:r>
    </w:p>
    <w:p>
      <w:pPr>
        <w:spacing w:after="0" w:line="20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its commercial sales and marketing model and product mix;</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its R&amp;D, medical and regulatory activities;</w:t>
      </w: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its sourcing, manufacturing and supply chain, including inventory optimization;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how its corporate functions provide support.</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While the review is still ongoing, the Company anticipates being able to deliver meaningful net cost savings over a multi-year period while also being able to reinvest a portion of the savings back into the business to fund growth opportunities.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Investor Event</w:t>
      </w: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Viatris plans to hold an Investor Event in the first quarter of 2026 at which the Company plans to provide a strategic and financial outlook, an update on its pipeline and portfolio and details on its enterprise-wide strategic review.</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0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7030A0"/>
        </w:rPr>
        <w:t>2025 Financial Guidance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Viatris is updating its 2025 financial guidance ranges, as set forth below. The Company is not providing forward-looking</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guidance for U.S. GAAP net (loss) earnings or U.S. GAAP diluted (loss) earnings per share (EPS) or a quantitative reconciliation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of its 2025 adjusted EBITDA or adjusted EPS guidance to the most directly comparable U.S. GAAP measures, U.S. GAAP net</w:t>
      </w:r>
    </w:p>
    <w:p>
      <w:pPr>
        <w:spacing w:after="0"/>
        <w:rPr>
          <w:sz w:val="20"/>
          <w:szCs w:val="20"/>
          <w:color w:val="auto"/>
        </w:rPr>
      </w:pPr>
      <w:r>
        <w:rPr>
          <w:rFonts w:ascii="Arial" w:cs="Arial" w:eastAsia="Arial" w:hAnsi="Arial"/>
          <w:sz w:val="20"/>
          <w:szCs w:val="20"/>
          <w:color w:val="auto"/>
        </w:rPr>
        <w:t>(loss) earnings or U.S. GAAP diluted EPS, respectively, because it is unable to predict with reasonable certainty the ultimate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outcome of certain significant items, including integration, acquisition and divestiture-related expenses, restructuring expenses,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asset impairments, litigation settlements, future share repurchases, and other contingencies, such as changes to contingent</w:t>
      </w:r>
    </w:p>
    <w:p>
      <w:pPr>
        <w:spacing w:after="0"/>
        <w:rPr>
          <w:sz w:val="20"/>
          <w:szCs w:val="20"/>
          <w:color w:val="auto"/>
        </w:rPr>
      </w:pPr>
      <w:r>
        <w:rPr>
          <w:rFonts w:ascii="Arial" w:cs="Arial" w:eastAsia="Arial" w:hAnsi="Arial"/>
          <w:sz w:val="20"/>
          <w:szCs w:val="20"/>
          <w:color w:val="auto"/>
        </w:rPr>
        <w:t>consideration, acquired IPR&amp;D and certain other gains or losses, including for the fair value accounting for non-marketable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equity investments, as well as related income tax accounting, because certain of these items have not occurred, are out of the</w:t>
      </w:r>
    </w:p>
    <w:p>
      <w:pPr>
        <w:spacing w:after="0"/>
        <w:rPr>
          <w:sz w:val="20"/>
          <w:szCs w:val="20"/>
          <w:color w:val="auto"/>
        </w:rPr>
      </w:pPr>
      <w:r>
        <w:rPr>
          <w:rFonts w:ascii="Arial" w:cs="Arial" w:eastAsia="Arial" w:hAnsi="Arial"/>
          <w:sz w:val="20"/>
          <w:szCs w:val="20"/>
          <w:color w:val="auto"/>
        </w:rPr>
        <w:t>Company’s control, and/or cannot be reasonably predicted without unreasonable effort. These items are uncertain, depend 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various factors, and could have a material impact on U.S. GAAP reported results for the guidance period. With respect to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Estimated Ranges provided on November 6, 2025, U.S. GAAP net cash provided by operating activities for 2025 is estimated to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be between $2.2 billion and $2.45 billion, with a midpoint of approximately $2.325 billion. With respect to the Estimated Ranges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provided on August 7, 2025, U.S. GAAP net cash provided by operating activities for 2025 was estimated to be between $2.2</w:t>
      </w:r>
    </w:p>
    <w:p>
      <w:pPr>
        <w:spacing w:after="0"/>
        <w:rPr>
          <w:sz w:val="20"/>
          <w:szCs w:val="20"/>
          <w:color w:val="auto"/>
        </w:rPr>
      </w:pPr>
      <w:r>
        <w:rPr>
          <w:rFonts w:ascii="Arial" w:cs="Arial" w:eastAsia="Arial" w:hAnsi="Arial"/>
          <w:sz w:val="20"/>
          <w:szCs w:val="20"/>
          <w:color w:val="auto"/>
        </w:rPr>
        <w:t>billion and $2.5 billion, with a midpoint of approximately $2.35 billion. With respect to the Estimated Ranges provided on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August 7, 2025, Viatris did not provide forward-looking guidance for U.S. GAAP net (loss) earnings or U.S. GAAP diluted EPS or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a quantitative reconciliation of its 2025 adjusted EBITDA or adjusted EPS guidance. Please see “Non-GAAP Financial</w:t>
      </w:r>
    </w:p>
    <w:p>
      <w:pPr>
        <w:spacing w:after="0"/>
        <w:rPr>
          <w:sz w:val="20"/>
          <w:szCs w:val="20"/>
          <w:color w:val="auto"/>
        </w:rPr>
      </w:pPr>
      <w:r>
        <w:rPr>
          <w:rFonts w:ascii="Arial" w:cs="Arial" w:eastAsia="Arial" w:hAnsi="Arial"/>
          <w:sz w:val="20"/>
          <w:szCs w:val="20"/>
          <w:color w:val="auto"/>
        </w:rPr>
        <w:t>Measures” for additional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w:t>
            </w: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(2)</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 xml:space="preserve">Midpoint </w:t>
            </w:r>
            <w:r>
              <w:rPr>
                <w:rFonts w:ascii="Arial" w:cs="Arial" w:eastAsia="Arial" w:hAnsi="Arial"/>
                <w:sz w:val="18"/>
                <w:szCs w:val="18"/>
                <w:b w:val="1"/>
                <w:bCs w:val="1"/>
                <w:color w:val="auto"/>
                <w:w w:val="98"/>
                <w:vertAlign w:val="superscript"/>
              </w:rPr>
              <w:t>(2)</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YTD FX</w:t>
            </w: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(4)</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Midpoint</w:t>
            </w:r>
          </w:p>
        </w:tc>
        <w:tc>
          <w:tcPr>
            <w:tcW w:w="320" w:type="dxa"/>
            <w:vAlign w:val="bottom"/>
          </w:tcPr>
          <w:p>
            <w:pPr>
              <w:spacing w:after="0"/>
              <w:rPr>
                <w:sz w:val="20"/>
                <w:szCs w:val="20"/>
                <w:color w:val="auto"/>
              </w:rPr>
            </w:pPr>
            <w:r>
              <w:rPr>
                <w:rFonts w:ascii="Arial" w:cs="Arial" w:eastAsia="Arial" w:hAnsi="Arial"/>
                <w:sz w:val="9"/>
                <w:szCs w:val="9"/>
                <w:b w:val="1"/>
                <w:bCs w:val="1"/>
                <w:color w:val="auto"/>
              </w:rPr>
              <w:t>(4)</w:t>
            </w:r>
          </w:p>
        </w:tc>
      </w:tr>
      <w:tr>
        <w:trPr>
          <w:trHeight w:val="175"/>
        </w:trPr>
        <w:tc>
          <w:tcPr>
            <w:tcW w:w="1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EPS)</w:t>
            </w:r>
          </w:p>
        </w:tc>
        <w:tc>
          <w:tcPr>
            <w:tcW w:w="1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August 7, 2025</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August 7, 2025</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IPR&amp;D</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xml:space="preserve">Repurchases </w:t>
            </w:r>
            <w:r>
              <w:rPr>
                <w:rFonts w:ascii="Arial" w:cs="Arial" w:eastAsia="Arial" w:hAnsi="Arial"/>
                <w:sz w:val="9"/>
                <w:szCs w:val="9"/>
                <w:b w:val="1"/>
                <w:bCs w:val="1"/>
                <w:color w:val="auto"/>
              </w:rPr>
              <w:t>(3)</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November 6, 2025</w:t>
            </w: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w w:val="97"/>
              </w:rPr>
              <w:t>November 6,</w:t>
            </w:r>
          </w:p>
        </w:tc>
        <w:tc>
          <w:tcPr>
            <w:tcW w:w="320" w:type="dxa"/>
            <w:vAlign w:val="bottom"/>
          </w:tcPr>
          <w:p>
            <w:pPr>
              <w:spacing w:after="0"/>
              <w:rPr>
                <w:sz w:val="20"/>
                <w:szCs w:val="20"/>
                <w:color w:val="auto"/>
              </w:rPr>
            </w:pPr>
            <w:r>
              <w:rPr>
                <w:rFonts w:ascii="Arial" w:cs="Arial" w:eastAsia="Arial" w:hAnsi="Arial"/>
                <w:sz w:val="13"/>
                <w:szCs w:val="13"/>
                <w:b w:val="1"/>
                <w:bCs w:val="1"/>
                <w:color w:val="auto"/>
              </w:rPr>
              <w:t>2025</w:t>
            </w:r>
          </w:p>
        </w:tc>
      </w:tr>
      <w:tr>
        <w:trPr>
          <w:trHeight w:val="210"/>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$14,000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$13,750</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$13,900</w:t>
            </w: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$14,300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$14,100</w:t>
            </w:r>
          </w:p>
        </w:tc>
      </w:tr>
      <w:tr>
        <w:trPr>
          <w:trHeight w:val="216"/>
        </w:trPr>
        <w:tc>
          <w:tcPr>
            <w:tcW w:w="1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$3,890</w:t>
            </w:r>
          </w:p>
        </w:tc>
        <w:tc>
          <w:tcPr>
            <w:tcW w:w="940" w:type="dxa"/>
            <w:vAlign w:val="bottom"/>
          </w:tcPr>
          <w:p>
            <w:pPr>
              <w:ind w:left="20"/>
              <w:spacing w:after="0"/>
              <w:rPr>
                <w:sz w:val="20"/>
                <w:szCs w:val="20"/>
                <w:color w:val="auto"/>
              </w:rPr>
            </w:pPr>
            <w:r>
              <w:rPr>
                <w:rFonts w:ascii="Arial" w:cs="Arial" w:eastAsia="Arial" w:hAnsi="Arial"/>
                <w:sz w:val="16"/>
                <w:szCs w:val="16"/>
                <w:color w:val="auto"/>
              </w:rPr>
              <w:t>- $4,190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$4,040</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($35)</w:t>
            </w:r>
          </w:p>
        </w:tc>
        <w:tc>
          <w:tcPr>
            <w:tcW w:w="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$4,000</w:t>
            </w:r>
          </w:p>
        </w:tc>
        <w:tc>
          <w:tcPr>
            <w:tcW w:w="940" w:type="dxa"/>
            <w:vAlign w:val="bottom"/>
          </w:tcPr>
          <w:p>
            <w:pPr>
              <w:ind w:left="20"/>
              <w:spacing w:after="0"/>
              <w:rPr>
                <w:sz w:val="20"/>
                <w:szCs w:val="20"/>
                <w:color w:val="auto"/>
              </w:rPr>
            </w:pPr>
            <w:r>
              <w:rPr>
                <w:rFonts w:ascii="Arial" w:cs="Arial" w:eastAsia="Arial" w:hAnsi="Arial"/>
                <w:sz w:val="16"/>
                <w:szCs w:val="16"/>
                <w:color w:val="auto"/>
              </w:rPr>
              <w:t>- $4,200</w:t>
            </w:r>
          </w:p>
        </w:tc>
        <w:tc>
          <w:tcPr>
            <w:tcW w:w="100" w:type="dxa"/>
            <w:vAlign w:val="bottom"/>
          </w:tcPr>
          <w:p>
            <w:pPr>
              <w:spacing w:after="0"/>
              <w:rPr>
                <w:sz w:val="18"/>
                <w:szCs w:val="18"/>
                <w:color w:val="auto"/>
              </w:rPr>
            </w:pPr>
          </w:p>
        </w:tc>
        <w:tc>
          <w:tcPr>
            <w:tcW w:w="820" w:type="dxa"/>
            <w:vAlign w:val="bottom"/>
          </w:tcPr>
          <w:p>
            <w:pPr>
              <w:jc w:val="center"/>
              <w:ind w:left="244"/>
              <w:spacing w:after="0"/>
              <w:rPr>
                <w:sz w:val="20"/>
                <w:szCs w:val="20"/>
                <w:color w:val="auto"/>
              </w:rPr>
            </w:pPr>
            <w:r>
              <w:rPr>
                <w:rFonts w:ascii="Arial" w:cs="Arial" w:eastAsia="Arial" w:hAnsi="Arial"/>
                <w:sz w:val="16"/>
                <w:szCs w:val="16"/>
                <w:color w:val="auto"/>
              </w:rPr>
              <w:t>$4,100</w:t>
            </w:r>
          </w:p>
        </w:tc>
        <w:tc>
          <w:tcPr>
            <w:tcW w:w="320" w:type="dxa"/>
            <w:vAlign w:val="bottom"/>
          </w:tcPr>
          <w:p>
            <w:pPr>
              <w:spacing w:after="0"/>
              <w:rPr>
                <w:sz w:val="18"/>
                <w:szCs w:val="18"/>
                <w:color w:val="auto"/>
              </w:rPr>
            </w:pPr>
          </w:p>
        </w:tc>
      </w:tr>
      <w:tr>
        <w:trPr>
          <w:trHeight w:val="216"/>
        </w:trPr>
        <w:tc>
          <w:tcPr>
            <w:tcW w:w="1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64"/>
              <w:spacing w:after="0"/>
              <w:rPr>
                <w:sz w:val="20"/>
                <w:szCs w:val="20"/>
                <w:color w:val="auto"/>
              </w:rPr>
            </w:pPr>
            <w:r>
              <w:rPr>
                <w:rFonts w:ascii="Arial" w:cs="Arial" w:eastAsia="Arial" w:hAnsi="Arial"/>
                <w:sz w:val="16"/>
                <w:szCs w:val="16"/>
                <w:color w:val="auto"/>
                <w:w w:val="99"/>
              </w:rPr>
              <w:t>$2.30</w:t>
            </w:r>
          </w:p>
        </w:tc>
        <w:tc>
          <w:tcPr>
            <w:tcW w:w="320" w:type="dxa"/>
            <w:vAlign w:val="bottom"/>
            <w:shd w:val="clear" w:color="auto" w:fill="CCEEFF"/>
          </w:tcPr>
          <w:p>
            <w:pPr>
              <w:spacing w:after="0"/>
              <w:rPr>
                <w:sz w:val="18"/>
                <w:szCs w:val="18"/>
                <w:color w:val="auto"/>
              </w:rPr>
            </w:pPr>
          </w:p>
        </w:tc>
      </w:tr>
      <w:tr>
        <w:trPr>
          <w:trHeight w:val="298"/>
        </w:trPr>
        <w:tc>
          <w:tcPr>
            <w:tcW w:w="1780" w:type="dxa"/>
            <w:vAlign w:val="bottom"/>
          </w:tcPr>
          <w:p>
            <w:pPr>
              <w:ind w:left="2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$1,800</w:t>
            </w:r>
          </w:p>
        </w:tc>
        <w:tc>
          <w:tcPr>
            <w:tcW w:w="940" w:type="dxa"/>
            <w:vAlign w:val="bottom"/>
          </w:tcPr>
          <w:p>
            <w:pPr>
              <w:ind w:left="20"/>
              <w:spacing w:after="0"/>
              <w:rPr>
                <w:sz w:val="20"/>
                <w:szCs w:val="20"/>
                <w:color w:val="auto"/>
              </w:rPr>
            </w:pPr>
            <w:r>
              <w:rPr>
                <w:rFonts w:ascii="Arial" w:cs="Arial" w:eastAsia="Arial" w:hAnsi="Arial"/>
                <w:sz w:val="16"/>
                <w:szCs w:val="16"/>
                <w:color w:val="auto"/>
              </w:rPr>
              <w:t>- $2,200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840" w:type="dxa"/>
            <w:vAlign w:val="bottom"/>
          </w:tcPr>
          <w:p>
            <w:pPr>
              <w:jc w:val="right"/>
              <w:spacing w:after="0"/>
              <w:rPr>
                <w:sz w:val="20"/>
                <w:szCs w:val="20"/>
                <w:color w:val="auto"/>
              </w:rPr>
            </w:pPr>
            <w:r>
              <w:rPr>
                <w:rFonts w:ascii="Arial" w:cs="Arial" w:eastAsia="Arial" w:hAnsi="Arial"/>
                <w:sz w:val="16"/>
                <w:szCs w:val="16"/>
                <w:color w:val="auto"/>
              </w:rPr>
              <w:t>$1,850</w:t>
            </w:r>
          </w:p>
        </w:tc>
        <w:tc>
          <w:tcPr>
            <w:tcW w:w="940" w:type="dxa"/>
            <w:vAlign w:val="bottom"/>
          </w:tcPr>
          <w:p>
            <w:pPr>
              <w:ind w:left="20"/>
              <w:spacing w:after="0"/>
              <w:rPr>
                <w:sz w:val="20"/>
                <w:szCs w:val="20"/>
                <w:color w:val="auto"/>
              </w:rPr>
            </w:pPr>
            <w:r>
              <w:rPr>
                <w:rFonts w:ascii="Arial" w:cs="Arial" w:eastAsia="Arial" w:hAnsi="Arial"/>
                <w:sz w:val="16"/>
                <w:szCs w:val="16"/>
                <w:color w:val="auto"/>
              </w:rPr>
              <w:t>- $2,150</w:t>
            </w:r>
          </w:p>
        </w:tc>
        <w:tc>
          <w:tcPr>
            <w:tcW w:w="100" w:type="dxa"/>
            <w:vAlign w:val="bottom"/>
          </w:tcPr>
          <w:p>
            <w:pPr>
              <w:spacing w:after="0"/>
              <w:rPr>
                <w:sz w:val="24"/>
                <w:szCs w:val="24"/>
                <w:color w:val="auto"/>
              </w:rPr>
            </w:pPr>
          </w:p>
        </w:tc>
        <w:tc>
          <w:tcPr>
            <w:tcW w:w="820" w:type="dxa"/>
            <w:vAlign w:val="bottom"/>
          </w:tcPr>
          <w:p>
            <w:pPr>
              <w:jc w:val="center"/>
              <w:ind w:left="244"/>
              <w:spacing w:after="0"/>
              <w:rPr>
                <w:sz w:val="20"/>
                <w:szCs w:val="20"/>
                <w:color w:val="auto"/>
              </w:rPr>
            </w:pPr>
            <w:r>
              <w:rPr>
                <w:rFonts w:ascii="Arial" w:cs="Arial" w:eastAsia="Arial" w:hAnsi="Arial"/>
                <w:sz w:val="16"/>
                <w:szCs w:val="16"/>
                <w:color w:val="auto"/>
              </w:rPr>
              <w:t>$2,000</w:t>
            </w:r>
          </w:p>
        </w:tc>
        <w:tc>
          <w:tcPr>
            <w:tcW w:w="320" w:type="dxa"/>
            <w:vAlign w:val="bottom"/>
          </w:tcPr>
          <w:p>
            <w:pPr>
              <w:spacing w:after="0"/>
              <w:rPr>
                <w:sz w:val="24"/>
                <w:szCs w:val="24"/>
                <w:color w:val="auto"/>
              </w:rPr>
            </w:pPr>
          </w:p>
        </w:tc>
      </w:tr>
    </w:tbl>
    <w:p>
      <w:pPr>
        <w:spacing w:after="0" w:line="246" w:lineRule="exact"/>
        <w:rPr>
          <w:sz w:val="20"/>
          <w:szCs w:val="20"/>
          <w:color w:val="auto"/>
        </w:rPr>
      </w:pPr>
    </w:p>
    <w:p>
      <w:pPr>
        <w:ind w:left="540" w:hanging="208"/>
        <w:spacing w:after="0"/>
        <w:tabs>
          <w:tab w:leader="none" w:pos="540" w:val="left"/>
        </w:tabs>
        <w:numPr>
          <w:ilvl w:val="0"/>
          <w:numId w:val="12"/>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55" w:lineRule="exact"/>
        <w:rPr>
          <w:rFonts w:ascii="Arial" w:cs="Arial" w:eastAsia="Arial" w:hAnsi="Arial"/>
          <w:sz w:val="9"/>
          <w:szCs w:val="9"/>
          <w:color w:val="auto"/>
        </w:rPr>
      </w:pPr>
    </w:p>
    <w:p>
      <w:pPr>
        <w:ind w:left="660" w:hanging="328"/>
        <w:spacing w:after="0" w:line="222" w:lineRule="auto"/>
        <w:tabs>
          <w:tab w:leader="none" w:pos="554"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2025 Financial Guidance as provided on August 7, 2025, excluded the impact of transaction-related costs. Also excluded any acquired IPR&amp;D for unsigned deals to be incurred in any future period as it could not be reasonably forecasted.</w:t>
      </w:r>
    </w:p>
    <w:p>
      <w:pPr>
        <w:spacing w:after="0" w:line="26" w:lineRule="exact"/>
        <w:rPr>
          <w:rFonts w:ascii="Arial" w:cs="Arial" w:eastAsia="Arial" w:hAnsi="Arial"/>
          <w:sz w:val="19"/>
          <w:szCs w:val="19"/>
          <w:color w:val="auto"/>
          <w:vertAlign w:val="superscript"/>
        </w:rPr>
      </w:pPr>
    </w:p>
    <w:p>
      <w:pPr>
        <w:ind w:left="660" w:hanging="328"/>
        <w:spacing w:after="0" w:line="222" w:lineRule="auto"/>
        <w:tabs>
          <w:tab w:leader="none" w:pos="621"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estimated impact of shares repurchased in 2025 through and including November 5, 2025 and does not include the expected impact of additional share repurchases in 2025 after such date.</w:t>
      </w:r>
    </w:p>
    <w:p>
      <w:pPr>
        <w:spacing w:after="0" w:line="26" w:lineRule="exact"/>
        <w:rPr>
          <w:rFonts w:ascii="Arial" w:cs="Arial" w:eastAsia="Arial" w:hAnsi="Arial"/>
          <w:sz w:val="19"/>
          <w:szCs w:val="19"/>
          <w:color w:val="auto"/>
          <w:vertAlign w:val="superscript"/>
        </w:rPr>
      </w:pPr>
    </w:p>
    <w:p>
      <w:pPr>
        <w:ind w:left="660" w:right="80" w:hanging="328"/>
        <w:spacing w:after="0" w:line="222" w:lineRule="auto"/>
        <w:tabs>
          <w:tab w:leader="none" w:pos="554"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2025 Financial Guidance as provided on November 6, 2025, excludes the impact of transaction-related costs. Also excludes any acquired IPR&amp;D for unsigned deals to be incurred in any future period as it cannot be reasonably forecasted.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Conference Call and Earnings Materials</w:t>
      </w:r>
    </w:p>
    <w:p>
      <w:pPr>
        <w:spacing w:after="0" w:line="204"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Viatris will host a conference call and live webcast today at 8:30 a.m. ET to review the Company's third quarter 2025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31"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844.308.3344 or 412.317.1896 for international callers. The “Viatris Q3 2025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0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7030A0"/>
        </w:rPr>
        <w:t>About Viatris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Non-GAAP Financial Measures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transaction-related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2024 adjusted total revenues excluding divestitures, 2024 adjusted net sales excluding divestitures, divestiture-adjusted operational change, and divestiture-adjusted operational change excluding the Indore Impact,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1" w:right="339" w:bottom="1440" w:gutter="0" w:footer="0" w:header="0"/>
        </w:sectPr>
      </w:pPr>
    </w:p>
    <w:bookmarkStart w:id="12" w:name="page13"/>
    <w:bookmarkEnd w:id="12"/>
    <w:p>
      <w:pPr>
        <w:ind w:right="20"/>
        <w:spacing w:after="0" w:line="264" w:lineRule="auto"/>
        <w:rPr>
          <w:sz w:val="20"/>
          <w:szCs w:val="20"/>
          <w:color w:val="auto"/>
        </w:rPr>
      </w:pPr>
      <w:r>
        <w:rPr>
          <w:rFonts w:ascii="Arial" w:cs="Arial" w:eastAsia="Arial" w:hAnsi="Arial"/>
          <w:sz w:val="19"/>
          <w:szCs w:val="19"/>
          <w:color w:val="auto"/>
        </w:rPr>
        <w:t>presentation also provides useful information to investors for the same reason. Divestiture-adjusted operational change refers to operational change, further adjusted for the impact of divestitures that closed during 2024 by excluding proportionate net sales from those divested businesses from the comparable 2024 period, and divestiture-adjusted operational change excluding the Indore Impact refers to divestiture-adjusted operational change further adjusted for the negative Indore Impact. The "Summary of Total Revenues by Segment" table below compares total revenues and net sales on an actual and constant currency basis for each reportable segment for the quarters and nine months ended September 30, 2025 and 2024, as well as divestiture-adjusted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September 30, 2025.</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With respect to the guidance ranges as provided on August 7, 2025, at that time the Company did not provide forward-looking guidance for U.S. GAAP net (loss) earnings or U.S. GAAP diluted EPS or a quantitative reconciliation of its 2025 adjusted EBITDA or adjusted EPS guidance to the most directly comparable U.S. GAAP measures, U.S. GAAP net (loss) earnings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transaction-related costs as well as any acquired IPR&amp;D for unsigned deals to be incurred in any future period as it could not be reasonably forecasted. With respect to the Estimated Ranges provided as of August 7, 2025, U.S. GAAP net cash provided by operating activities for 2025 was estimated to be between $2.2 billion and $2.5 billion, with a midpoint of approximately $2.35 billion.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Certain Key Terms and Presentation Matters</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2025 and the carryover impact of new products, including business development, launched within the last 12 months.</w:t>
      </w:r>
    </w:p>
    <w:p>
      <w:pPr>
        <w:spacing w:after="0" w:line="140" w:lineRule="exact"/>
        <w:rPr>
          <w:sz w:val="20"/>
          <w:szCs w:val="20"/>
          <w:color w:val="auto"/>
        </w:rPr>
      </w:pPr>
    </w:p>
    <w:p>
      <w:pPr>
        <w:jc w:val="both"/>
        <w:ind w:right="500"/>
        <w:spacing w:after="0" w:line="290"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2025 constant currency net sales, total revenues, adjusted EBITDA, and adjusted EPS to the corresponding amount in the prior year.</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9"/>
          <w:szCs w:val="19"/>
          <w:u w:val="single" w:color="auto"/>
          <w:color w:val="auto"/>
        </w:rPr>
        <w:t>Divestiture-adjusted operational change:</w:t>
      </w:r>
      <w:r>
        <w:rPr>
          <w:rFonts w:ascii="Arial" w:cs="Arial" w:eastAsia="Arial" w:hAnsi="Arial"/>
          <w:sz w:val="19"/>
          <w:szCs w:val="19"/>
          <w:color w:val="auto"/>
        </w:rPr>
        <w:t xml:space="preserve"> Refers to operational changes, further adjusted for the impact of the proportionate results from the divestitures that closed in 2024, from the 2024 period by excluding such net sales or revenues from those divested businesses from comparable prior periods. Also, for adjusted EBITDA and adjusted EPS, refers to operational changes, adjusted as outlined in the previous sentence and further adjusted for associated net other income.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ind w:right="20"/>
        <w:spacing w:after="0" w:line="254"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expense (income), net. For comparability purposes, amounts related to the cost reimbursement were reclassified to adjusted SG&amp;A and adjusted R&amp;D during the first quarter of 2024, primarily related to the contribution of the biosimilars business to Biocon Biologics Limited (“Biocon Biologics”) in November 2022.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0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u w:val="single" w:color="auto"/>
          <w:color w:val="auto"/>
        </w:rPr>
        <w:t>Closed divestitures or divestitures closed in 2024</w:t>
      </w:r>
      <w:r>
        <w:rPr>
          <w:rFonts w:ascii="Arial" w:cs="Arial" w:eastAsia="Arial" w:hAnsi="Arial"/>
          <w:sz w:val="20"/>
          <w:szCs w:val="20"/>
          <w:color w:val="auto"/>
        </w:rPr>
        <w:t>: Refers to the divestiture of the Company’s rights to two women’s healthcare products in the U.K. that closed in August 2024, the divestitures of the commercialization rights in the majority of the Upjohn Distributor markets that closed in 2024, the divestiture of the women’s healthcare business that closed in March 2024, the divestiture of the API business in India that closed in June 2024, and the divestiture of the OTC business that closed in July 2024.</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u w:val="single" w:color="auto"/>
          <w:color w:val="auto"/>
        </w:rPr>
        <w:t>Indore Impact:</w:t>
      </w:r>
      <w:r>
        <w:rPr>
          <w:rFonts w:ascii="Arial" w:cs="Arial" w:eastAsia="Arial" w:hAnsi="Arial"/>
          <w:sz w:val="20"/>
          <w:szCs w:val="20"/>
          <w:color w:val="auto"/>
        </w:rPr>
        <w:t xml:space="preserve"> Refers to the estimated negative financial impact on 2025 total revenues and earnings (loss) from operations versus the comparable 2024 periods as a result of supply disruptions and the FDA issued warning letter and import alert related to our oral finished dose manufacturing facility in Indore, India. For the three and nine months ended September 30, 2025, the estimated Indore Impact to total revenues was approximately $100 million and $400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Transaction-related costs:</w:t>
      </w:r>
      <w:r>
        <w:rPr>
          <w:rFonts w:ascii="Arial" w:cs="Arial" w:eastAsia="Arial" w:hAnsi="Arial"/>
          <w:sz w:val="20"/>
          <w:szCs w:val="20"/>
          <w:color w:val="auto"/>
        </w:rPr>
        <w:t xml:space="preserve"> Refers to the impact of any acquisition and divestiture-related transaction costs, including taxes.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Forward-Looking Statements</w:t>
      </w:r>
    </w:p>
    <w:p>
      <w:pPr>
        <w:spacing w:after="0" w:line="23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This press release contains “forward-looking statements”. These statements are made pursuant to the safe harbor provisions of the Private Securities Litigation Reform Act of 1995. Such forward-looking statements may include, without limitation, statements about our 2025 financial guidance; we delivered another strong quarter by staying focused on our 2025 strategic priorities; our performance this quarter reflects the continued strength of our execution across markets; we are advancing our pipeline with key regulatory submissions and preparing for multiple potential launches, while preparing to take meaningful actions through our enterprise-wide strategic review to position Viatris for sustainable growth in 2026 and beyond; we remain confident in our strategy, our people, and our ability to deliver significant impact for patients and long-term value for shareholders; our third-quarter results again demonstrate strong operational execution and disciplined and balanced capital allocation; we are raising and narrowing our financial guidance ranges across certain metrics primarily driven by foreign exchange and share repurchases, and we remain on track to deliver on all of our 2025 financial commitments; based on the strength of recent Phase 3 clinical trial results in Japanese patients and the positive benefit-risk profile established globally, the Company is on track to file two JNDAs for pitolisant in Japan for two indications in the fourth quarter of 2025; one indication is for the treatment of excessive daytime sleepiness or cataplexy in adult patients with narcolepsy and the second is for the treatment of excessive daytime sleepiness associated with obstructive sleep apnea syndrome; the Company anticipates approval of its low-dose estrogen weekly patch by mid-2026; the Company remains on track to deliver on its commitment of returning more than $1 billion of capital to shareholders through dividends and share repurchases in 2025; from a business development perspective, the Company continues to pursue targeted, accretive business development opportunities that leverage its unique commercial and R&amp;D infrastructure and strengthen its business in key markets; Viatris has made significant progress on its enterprise-wide strategic review since it announced the initiative in February and continues to perform a detailed analysis of the totality of its business; as part of the analysis to date, the Company has identified areas for potential operating efficiencies, including from: its commercial sales and marketing model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30" w:right="339" w:bottom="1440" w:gutter="0" w:footer="0" w:header="0"/>
        </w:sectPr>
      </w:pPr>
    </w:p>
    <w:bookmarkStart w:id="14" w:name="page15"/>
    <w:bookmarkEnd w:id="14"/>
    <w:p>
      <w:pPr>
        <w:spacing w:after="0" w:line="244" w:lineRule="auto"/>
        <w:rPr>
          <w:sz w:val="20"/>
          <w:szCs w:val="20"/>
          <w:color w:val="auto"/>
        </w:rPr>
      </w:pPr>
      <w:r>
        <w:rPr>
          <w:rFonts w:ascii="Arial" w:cs="Arial" w:eastAsia="Arial" w:hAnsi="Arial"/>
          <w:sz w:val="19"/>
          <w:szCs w:val="19"/>
          <w:color w:val="auto"/>
        </w:rPr>
        <w:t>product mix, its R&amp;D, medical and regulatory activities, its sourcing, manufacturing and supply chain, including inventory optimization; and, how its corporate functions provide support; while the review is still ongoing, the Company anticipates being able to deliver meaningful net cost savings over a multi-year period while also being able to reinvest a portion of the savings back into the business to fund growth opportunities; Viatris plans to hold an Investor Event in the first quarter of 2026 at which the Company plans to provide a strategic and financial outlook, an update on its pipeline and portfolio and details on its enterprise-wide strategic review;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the ongoing risks and uncertainties associated with our recent divestitures; goodwill or impairment charges or other losses; the Company’s failure to achieve expected or targeted future financial and operating performance and results; the potential impact of natural or man-made disasters, public health outbreaks, epidemics, pandemics or social disruption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including but not limited to “at-risk launches”; products in development that receive regulatory approval may not achieve expected levels of market acceptance, efficacy or safety; longer review, response and approval times as a result of evolving regulatory priorities and reductions in personnel at health agencies;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potential for adverse impacts from future tariffs and trade restrictions, inflation rates and global exchange rates; and inherent uncertainties involved in the estimates and judgments used in the preparation of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887" w:right="359" w:bottom="1440" w:gutter="0" w:footer="0" w:header="0"/>
        </w:sectPr>
      </w:pPr>
    </w:p>
    <w:bookmarkStart w:id="15" w:name="page16"/>
    <w:bookmarkEnd w:id="15"/>
    <w:p>
      <w:pPr>
        <w:spacing w:after="0" w:line="247" w:lineRule="auto"/>
        <w:rPr>
          <w:sz w:val="20"/>
          <w:szCs w:val="20"/>
          <w:color w:val="auto"/>
        </w:rPr>
      </w:pPr>
      <w:r>
        <w:rPr>
          <w:rFonts w:ascii="Arial" w:cs="Arial" w:eastAsia="Arial" w:hAnsi="Arial"/>
          <w:sz w:val="19"/>
          <w:szCs w:val="19"/>
          <w:color w:val="auto"/>
        </w:rPr>
        <w:t>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2024, as amended, Part II, Item 1A of the Company’s Quarterly Report on Form 10-Q for the quarter ended March 31, 2025, Part II, Item 1A of the Company’s Quarterly Report on Form 10-Q for the quarter ended September 30, 2025, which is expected to be filed with the SEC on November 6,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Contacts</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887" w:right="3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22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3,747.5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3,738.0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10,559.7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11,177.4</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10,596.3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11,211.2</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6,802.6</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4,408.6</w:t>
            </w:r>
          </w:p>
        </w:tc>
        <w:tc>
          <w:tcPr>
            <w:tcW w:w="0" w:type="dxa"/>
            <w:vAlign w:val="bottom"/>
          </w:tcPr>
          <w:p>
            <w:pPr>
              <w:spacing w:after="0"/>
              <w:rPr>
                <w:sz w:val="1"/>
                <w:szCs w:val="1"/>
                <w:color w:val="auto"/>
              </w:rPr>
            </w:pPr>
          </w:p>
        </w:tc>
      </w:tr>
      <w:tr>
        <w:trPr>
          <w:trHeight w:val="19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4,218.7</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Earnings (loss) from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1,193.3</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34" w:lineRule="auto"/>
        <w:tabs>
          <w:tab w:leader="none" w:pos="56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condensed consolidated statements of operations.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975.3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3,221.3</w:t>
            </w: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3,854.1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1,710.5</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9,520.7</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17,070.9</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9,133.3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5,776.0</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5,771.1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3,047.1</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22,865.4</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18,635.5</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40" w:top="890"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r>
      <w:tr>
        <w:trPr>
          <w:trHeight w:val="19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Lipitor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396.1</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375.6</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1,172.0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1,112.9</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EpiPen® Auto-Injectors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318.9</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Viagra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307.0</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218.5</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Zoloft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177.5</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Influvac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125.4</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Yupelri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Dymista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146.7</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for the three and nine months ended September 30, 2025,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931"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(Loss) Earnings to Adjusted Net Earnings and U.S. GAAP (Loss) Earnings Per Share to Adjusted EPS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Below is a reconciliation of U.S. GAAP net (loss) earnings and diluted (loss) earnings per share to adjusted net earnings and adjusted EPS for the three and nine months ended September 30,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8"/>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U.S. GAAP net (loss) earnings and U.S. GAAP</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4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2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amortization (primarily included</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605.8</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586.0</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1,787.1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1,907.6</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in cost of sales)</w:t>
            </w: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Impairment of goodwill </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239.3</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(primarily amortization of premiums</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discounts on long term debt)</w:t>
            </w: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6"/>
                <w:szCs w:val="16"/>
                <w:color w:val="auto"/>
              </w:rPr>
              <w:t>(Gain) loss on divestitures of businesses (included in</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107.4</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295.8</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 expense (income), net) (b)</w:t>
            </w: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Acquisition and divestiture-related costs (primarily</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included in SG&amp;A) </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(d)</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105.4</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expense (income), net </w:t>
            </w:r>
            <w:r>
              <w:rPr>
                <w:rFonts w:ascii="Arial" w:cs="Arial" w:eastAsia="Arial" w:hAnsi="Arial"/>
                <w:sz w:val="21"/>
                <w:szCs w:val="21"/>
                <w:color w:val="auto"/>
                <w:vertAlign w:val="superscript"/>
              </w:rPr>
              <w:t>(f)</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Tax effect of the above items and other income tax</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related items </w:t>
            </w:r>
            <w:r>
              <w:rPr>
                <w:rFonts w:ascii="Arial" w:cs="Arial" w:eastAsia="Arial" w:hAnsi="Arial"/>
                <w:sz w:val="21"/>
                <w:szCs w:val="21"/>
                <w:color w:val="auto"/>
                <w:vertAlign w:val="superscript"/>
              </w:rPr>
              <w:t>(g)</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w:t>
            </w: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w:t>
            </w:r>
          </w:p>
        </w:tc>
        <w:tc>
          <w:tcPr>
            <w:tcW w:w="4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hanging="328"/>
        <w:spacing w:after="0" w:line="227"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30, 2025, includes a goodwill impairment charge of $2.9 billion as a result of the interim goodwill impairment test performed as of March 31, 2025.</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30,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2025, includes approximately $13.4 million and $44.5 million, respectively, in cost of sales, and approximately $3.7 million and $90.0 million, respectively, in SG&amp;A. For the nine months ended September 30, 2025, includes approximately $2.2 million in R&amp;D.</w:t>
      </w:r>
    </w:p>
    <w:p>
      <w:pPr>
        <w:spacing w:after="0" w:line="29"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2025, includes incremental manufacturing variances at plants slated for sale or closure or undergoing remediation activities of approximately $44.7 million and $113.1 million, respectively.</w:t>
      </w:r>
    </w:p>
    <w:p>
      <w:pPr>
        <w:spacing w:after="0" w:line="24" w:lineRule="exact"/>
        <w:rPr>
          <w:rFonts w:ascii="Arial" w:cs="Arial" w:eastAsia="Arial" w:hAnsi="Arial"/>
          <w:sz w:val="21"/>
          <w:szCs w:val="21"/>
          <w:color w:val="auto"/>
          <w:vertAlign w:val="superscript"/>
        </w:rPr>
      </w:pPr>
    </w:p>
    <w:p>
      <w:pPr>
        <w:ind w:left="660" w:right="20" w:hanging="328"/>
        <w:spacing w:after="0" w:line="252" w:lineRule="auto"/>
        <w:tabs>
          <w:tab w:leader="none" w:pos="65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2025, includes a loss of approximately $100.0 million and $499.8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respectively, as a result of remeasuring the compulsory convertible preferred shares in Biocon Biologics to fair value.</w:t>
      </w:r>
    </w:p>
    <w:p>
      <w:pPr>
        <w:ind w:left="640" w:hanging="308"/>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earnings to EBITDA and adjusted EBITDA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provision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688.5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2,147.0</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905.8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(938.8)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2,480.1</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(Gain) loss on divestitures of businesses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3,156.9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20" w:type="dxa"/>
            <w:vAlign w:val="bottom"/>
            <w:vMerge w:val="restart"/>
          </w:tcPr>
          <w:p>
            <w:pPr>
              <w:jc w:val="center"/>
              <w:ind w:right="108"/>
              <w:spacing w:after="0"/>
              <w:rPr>
                <w:sz w:val="20"/>
                <w:szCs w:val="20"/>
                <w:color w:val="auto"/>
              </w:rPr>
            </w:pPr>
            <w:r>
              <w:rPr>
                <w:rFonts w:ascii="Arial" w:cs="Arial" w:eastAsia="Arial" w:hAnsi="Arial"/>
                <w:sz w:val="14"/>
                <w:szCs w:val="14"/>
                <w:b w:val="1"/>
                <w:bCs w:val="1"/>
                <w:i w:val="1"/>
                <w:iCs w:val="1"/>
                <w:color w:val="auto"/>
              </w:rPr>
              <w:t>(In millions, except %s)</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2,255.6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2,298.7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2,179.6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2,287.6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JANZ</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1820" w:type="dxa"/>
            <w:vAlign w:val="bottom"/>
          </w:tcPr>
          <w:p>
            <w:pPr>
              <w:jc w:val="center"/>
              <w:ind w:right="128"/>
              <w:spacing w:after="0"/>
              <w:rPr>
                <w:sz w:val="20"/>
                <w:szCs w:val="20"/>
                <w:color w:val="auto"/>
              </w:rPr>
            </w:pPr>
            <w:r>
              <w:rPr>
                <w:rFonts w:ascii="Arial" w:cs="Arial" w:eastAsia="Arial" w:hAnsi="Arial"/>
                <w:sz w:val="14"/>
                <w:szCs w:val="14"/>
                <w:color w:val="auto"/>
                <w:w w:val="98"/>
              </w:rPr>
              <w:t>Total net sales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3,747.5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3,738.0</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3,671.1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3,719.4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20" w:type="dxa"/>
            <w:vAlign w:val="bottom"/>
            <w:tcBorders>
              <w:top w:val="single" w:sz="8" w:color="CCEEFF"/>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3,759.9</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3,751.2</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3,683.2</w:t>
            </w:r>
          </w:p>
        </w:tc>
        <w:tc>
          <w:tcPr>
            <w:tcW w:w="10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3,732.6</w:t>
            </w: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20" w:type="dxa"/>
            <w:vAlign w:val="bottom"/>
            <w:vMerge w:val="restart"/>
          </w:tcPr>
          <w:p>
            <w:pPr>
              <w:jc w:val="center"/>
              <w:ind w:right="108"/>
              <w:spacing w:after="0"/>
              <w:rPr>
                <w:sz w:val="20"/>
                <w:szCs w:val="20"/>
                <w:color w:val="auto"/>
              </w:rPr>
            </w:pPr>
            <w:r>
              <w:rPr>
                <w:rFonts w:ascii="Arial" w:cs="Arial" w:eastAsia="Arial" w:hAnsi="Arial"/>
                <w:sz w:val="14"/>
                <w:szCs w:val="14"/>
                <w:b w:val="1"/>
                <w:bCs w:val="1"/>
                <w:i w:val="1"/>
                <w:iCs w:val="1"/>
                <w:color w:val="auto"/>
              </w:rPr>
              <w:t>(In millions, except %s)</w:t>
            </w: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6,266.6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6,783.3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6,163.0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365.6</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6,417.7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JANZ</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1,011.7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899.9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987.7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182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10,559.7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11,177.4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10,506.9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468.3</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10,709.1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10,596.3</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11,211.2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10,543.0</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10,740.5</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closed during 2024 in the relevant period.</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closed during 2024 for the relevant period.</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jc w:val="both"/>
        <w:ind w:left="660" w:right="20" w:hanging="328"/>
        <w:spacing w:after="0" w:line="232" w:lineRule="auto"/>
        <w:tabs>
          <w:tab w:leader="none" w:pos="653"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2025, other revenues in Developed Markets, JANZ, and Emerging Markets were approximately $10.0 million, $1.0 million, and $1.4 million, respectively. For the nine months ended September 30, 2025, other revenues in Developed Markets, JANZ, and Emerging Markets were approximately $27.2 million, $3.0 million, and $6.4 million, respectively.</w:t>
      </w:r>
    </w:p>
    <w:p>
      <w:pPr>
        <w:spacing w:after="0" w:line="15"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2,388.4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6,730.7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6,802.6</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(1,787.1)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(1,907.6)</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including restructuring related costs</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4,643.9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4,659.6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2,192.9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5,952.4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6,551.6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38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691.2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18"/>
                <w:szCs w:val="18"/>
                <w:color w:val="auto"/>
                <w:vertAlign w:val="superscript"/>
              </w:rPr>
              <w:t>(b)</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R&amp;D</w:t>
            </w:r>
          </w:p>
        </w:tc>
        <w:tc>
          <w:tcPr>
            <w:tcW w:w="3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666.4</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581.1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R&amp;D as % of total revenues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38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U.S. GAAP SG&amp;A </w:t>
            </w:r>
            <w:r>
              <w:rPr>
                <w:rFonts w:ascii="Arial" w:cs="Arial" w:eastAsia="Arial" w:hAnsi="Arial"/>
                <w:sz w:val="9"/>
                <w:szCs w:val="9"/>
                <w:b w:val="1"/>
                <w:bCs w:val="1"/>
                <w:color w:val="auto"/>
              </w:rPr>
              <w:t>(c)</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2,763.4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3,057.9</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(239.3)</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9"/>
                <w:szCs w:val="9"/>
                <w:color w:val="auto"/>
              </w:rPr>
              <w:t>(b)</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2,618.0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09"/>
        </w:trPr>
        <w:tc>
          <w:tcPr>
            <w:tcW w:w="6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6,336.0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4,218.7</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0" w:type="dxa"/>
            <w:vAlign w:val="bottom"/>
          </w:tcPr>
          <w:p>
            <w:pPr>
              <w:spacing w:after="0"/>
              <w:rPr>
                <w:sz w:val="1"/>
                <w:szCs w:val="1"/>
                <w:color w:val="auto"/>
              </w:rPr>
            </w:pP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adjustments </w:t>
            </w:r>
            <w:r>
              <w:rPr>
                <w:rFonts w:ascii="Arial" w:cs="Arial" w:eastAsia="Arial" w:hAnsi="Arial"/>
                <w:sz w:val="18"/>
                <w:szCs w:val="18"/>
                <w:color w:val="auto"/>
                <w:vertAlign w:val="superscript"/>
              </w:rPr>
              <w:t>(c)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0" w:type="dxa"/>
            <w:vAlign w:val="bottom"/>
          </w:tcPr>
          <w:p>
            <w:pPr>
              <w:spacing w:after="0"/>
              <w:rPr>
                <w:sz w:val="1"/>
                <w:szCs w:val="1"/>
                <w:color w:val="auto"/>
              </w:rPr>
            </w:pPr>
          </w:p>
        </w:tc>
      </w:tr>
      <w:tr>
        <w:trPr>
          <w:trHeight w:val="198"/>
        </w:trPr>
        <w:tc>
          <w:tcPr>
            <w:tcW w:w="6100" w:type="dxa"/>
            <w:vAlign w:val="bottom"/>
          </w:tcPr>
          <w:p>
            <w:pPr>
              <w:ind w:left="220"/>
              <w:spacing w:after="0"/>
              <w:rPr>
                <w:sz w:val="20"/>
                <w:szCs w:val="20"/>
                <w:color w:val="auto"/>
              </w:rPr>
            </w:pPr>
            <w:r>
              <w:rPr>
                <w:rFonts w:ascii="Arial" w:cs="Arial" w:eastAsia="Arial" w:hAnsi="Arial"/>
                <w:sz w:val="14"/>
                <w:szCs w:val="14"/>
                <w:color w:val="auto"/>
              </w:rPr>
              <w:t>Impairment of goodwill adjustments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(2,936.8)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22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1,046.2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2,850.8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20" w:right="1100"/>
        <w:spacing w:after="0" w:line="332" w:lineRule="auto"/>
        <w:rPr>
          <w:sz w:val="20"/>
          <w:szCs w:val="20"/>
          <w:color w:val="auto"/>
        </w:rPr>
      </w:pPr>
      <w:r>
        <w:rPr>
          <w:rFonts w:ascii="Arial" w:cs="Arial" w:eastAsia="Arial" w:hAnsi="Arial"/>
          <w:sz w:val="14"/>
          <w:szCs w:val="14"/>
          <w:color w:val="auto"/>
        </w:rPr>
        <w:t>Amortization of premiums and discounts on long-term debt Other special items</w:t>
      </w:r>
    </w:p>
    <w:p>
      <w:pPr>
        <w:ind w:left="2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expense (income),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9"/>
          <w:szCs w:val="9"/>
          <w:color w:val="auto"/>
        </w:rPr>
        <w:t>(b)</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 (loss)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2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September 30,</w:t>
            </w:r>
          </w:p>
        </w:tc>
      </w:tr>
      <w:tr>
        <w:trPr>
          <w:trHeight w:val="290"/>
        </w:trPr>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351.7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429.8</w:t>
            </w:r>
          </w:p>
        </w:tc>
      </w:tr>
      <w:tr>
        <w:trPr>
          <w:trHeight w:val="405"/>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206"/>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443.8</w:t>
            </w:r>
          </w:p>
        </w:tc>
      </w:tr>
      <w:tr>
        <w:trPr>
          <w:trHeight w:val="24"/>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-822325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-556895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-299720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0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2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September 30,</w:t>
            </w:r>
          </w:p>
        </w:tc>
      </w:tr>
      <w:tr>
        <w:trPr>
          <w:trHeight w:val="290"/>
        </w:trPr>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499.9</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(143.2)</w:t>
            </w:r>
          </w:p>
        </w:tc>
      </w:tr>
      <w:tr>
        <w:trPr>
          <w:trHeight w:val="405"/>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335.1</w:t>
            </w:r>
          </w:p>
        </w:tc>
      </w:tr>
      <w:tr>
        <w:trPr>
          <w:trHeight w:val="203"/>
        </w:trPr>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(295.8)</w:t>
            </w:r>
          </w:p>
        </w:tc>
      </w:t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r>
      <w:tr>
        <w:trPr>
          <w:trHeight w:val="25"/>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-950595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-685165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-427990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20" w:type="dxa"/>
            <w:vAlign w:val="bottom"/>
          </w:tcPr>
          <w:p>
            <w:pPr>
              <w:spacing w:after="0"/>
              <w:rPr>
                <w:sz w:val="17"/>
                <w:szCs w:val="17"/>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1860" w:type="dxa"/>
            <w:vAlign w:val="bottom"/>
          </w:tcPr>
          <w:p>
            <w:pPr>
              <w:jc w:val="center"/>
              <w:ind w:right="768"/>
              <w:spacing w:after="0"/>
              <w:rPr>
                <w:sz w:val="20"/>
                <w:szCs w:val="20"/>
                <w:color w:val="auto"/>
              </w:rPr>
            </w:pPr>
            <w:r>
              <w:rPr>
                <w:rFonts w:ascii="Arial" w:cs="Arial" w:eastAsia="Arial" w:hAnsi="Arial"/>
                <w:sz w:val="14"/>
                <w:szCs w:val="14"/>
                <w:b w:val="1"/>
                <w:bCs w:val="1"/>
                <w:color w:val="auto"/>
              </w:rPr>
              <w:t>September 30,</w:t>
            </w:r>
          </w:p>
        </w:tc>
      </w:tr>
      <w:tr>
        <w:trPr>
          <w:trHeight w:val="289"/>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8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8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bl>
    <w:p>
      <w:pPr>
        <w:spacing w:after="0" w:line="1" w:lineRule="exact"/>
        <w:rPr>
          <w:sz w:val="20"/>
          <w:szCs w:val="20"/>
          <w:color w:val="auto"/>
        </w:rPr>
      </w:pPr>
    </w:p>
    <w:p>
      <w:pPr>
        <w:sectPr>
          <w:pgSz w:w="11900" w:h="16838" w:orient="portrait"/>
          <w:cols w:equalWidth="0" w:num="2">
            <w:col w:w="5060" w:space="720"/>
            <w:col w:w="546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(3,322.0)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958.5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5,880.3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3,116.7</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950.6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1,068.5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2,558.3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3,020.0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 (benefit)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594.9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447.7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40" w:right="339" w:bottom="1440" w:gutter="0" w:footer="0" w:header="0"/>
          <w:type w:val="continuous"/>
        </w:sectPr>
      </w:pPr>
    </w:p>
    <w:bookmarkStart w:id="24" w:name="page25"/>
    <w:bookmarkEnd w:id="24"/>
    <w:p>
      <w:pPr>
        <w:jc w:val="both"/>
        <w:ind w:left="660" w:hanging="328"/>
        <w:spacing w:after="0"/>
        <w:tabs>
          <w:tab w:leader="none" w:pos="65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20"/>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and DSA reimbursements.</w:t>
      </w:r>
    </w:p>
    <w:p>
      <w:pPr>
        <w:spacing w:after="0" w:line="68" w:lineRule="exact"/>
        <w:rPr>
          <w:rFonts w:ascii="Arial" w:cs="Arial" w:eastAsia="Arial" w:hAnsi="Arial"/>
          <w:sz w:val="9"/>
          <w:szCs w:val="9"/>
          <w:color w:val="auto"/>
        </w:rPr>
      </w:pPr>
    </w:p>
    <w:p>
      <w:pPr>
        <w:jc w:val="both"/>
        <w:ind w:left="660" w:hanging="328"/>
        <w:spacing w:after="0"/>
        <w:tabs>
          <w:tab w:leader="none" w:pos="647"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condensed consolidated statements of operations.</w:t>
      </w:r>
    </w:p>
    <w:p>
      <w:pPr>
        <w:spacing w:after="0" w:line="40" w:lineRule="exact"/>
        <w:rPr>
          <w:rFonts w:ascii="Arial" w:cs="Arial" w:eastAsia="Arial" w:hAnsi="Arial"/>
          <w:sz w:val="19"/>
          <w:szCs w:val="19"/>
          <w:color w:val="auto"/>
          <w:vertAlign w:val="superscript"/>
        </w:rPr>
      </w:pPr>
    </w:p>
    <w:p>
      <w:pPr>
        <w:ind w:left="660" w:hanging="328"/>
        <w:spacing w:after="0" w:line="222" w:lineRule="auto"/>
        <w:tabs>
          <w:tab w:leader="none" w:pos="65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November 6,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$2,450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$(350)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$2,150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any transaction-related costs.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August 7,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Excluded the impact of any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2025-11-06T06:59:27Z</dcterms:created>
  <dcterms:modified xsi:type="dcterms:W3CDTF">2025-11-06T06:59:27Z</dcterms:modified>
</cp:coreProperties>
</file>