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233680</wp:posOffset>
            </wp:positionH>
            <wp:positionV relativeFrom="page">
              <wp:posOffset>577215</wp:posOffset>
            </wp:positionV>
            <wp:extent cx="7089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534670</wp:posOffset>
            </wp:positionV>
            <wp:extent cx="70891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17145"/>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4"/>
          <w:szCs w:val="24"/>
          <w:color w:val="auto"/>
        </w:rPr>
      </w:pPr>
    </w:p>
    <w:p>
      <w:pPr>
        <w:ind w:left="420" w:right="280" w:hanging="394"/>
        <w:spacing w:after="0" w:line="235" w:lineRule="auto"/>
        <w:tabs>
          <w:tab w:leader="none" w:pos="4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1"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420" w:right="260" w:hanging="394"/>
        <w:spacing w:after="0" w:line="235" w:lineRule="auto"/>
        <w:tabs>
          <w:tab w:leader="none" w:pos="4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transition period from _____________to___________</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001-39695</w:t>
      </w:r>
    </w:p>
    <w:p>
      <w:pPr>
        <w:spacing w:after="0" w:line="5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VIATRIS INC.</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180"/>
          </w:cols>
          <w:pgMar w:left="320" w:top="994" w:right="399" w:bottom="1440" w:gutter="0" w:footer="0" w:header="0"/>
        </w:sectPr>
      </w:pPr>
    </w:p>
    <w:p>
      <w:pPr>
        <w:spacing w:after="0" w:line="124"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83-4364296</w:t>
      </w:r>
    </w:p>
    <w:p>
      <w:pPr>
        <w:spacing w:after="0" w:line="31" w:lineRule="exact"/>
        <w:rPr>
          <w:sz w:val="24"/>
          <w:szCs w:val="24"/>
          <w:color w:val="auto"/>
        </w:rPr>
      </w:pPr>
    </w:p>
    <w:p>
      <w:pPr>
        <w:sectPr>
          <w:pgSz w:w="11900" w:h="16838" w:orient="portrait"/>
          <w:cols w:equalWidth="0" w:num="2">
            <w:col w:w="7360" w:space="720"/>
            <w:col w:w="3100"/>
          </w:cols>
          <w:pgMar w:left="320" w:top="994" w:right="399" w:bottom="1440" w:gutter="0" w:footer="0" w:header="0"/>
          <w:type w:val="continuous"/>
        </w:sectPr>
      </w:pPr>
    </w:p>
    <w:p>
      <w:pPr>
        <w:jc w:val="center"/>
        <w:ind w:right="1540"/>
        <w:spacing w:after="0"/>
        <w:rPr>
          <w:sz w:val="20"/>
          <w:szCs w:val="20"/>
          <w:color w:val="auto"/>
        </w:rPr>
      </w:pPr>
      <w:r>
        <w:rPr>
          <w:rFonts w:ascii="Arial" w:cs="Arial" w:eastAsia="Arial" w:hAnsi="Arial"/>
          <w:sz w:val="14"/>
          <w:szCs w:val="14"/>
          <w:i w:val="1"/>
          <w:iCs w:val="1"/>
          <w:color w:val="auto"/>
        </w:rPr>
        <w:t>(State or other jurisdiction</w:t>
      </w:r>
    </w:p>
    <w:p>
      <w:pPr>
        <w:jc w:val="center"/>
        <w:ind w:right="1540"/>
        <w:spacing w:after="0"/>
        <w:rPr>
          <w:sz w:val="20"/>
          <w:szCs w:val="20"/>
          <w:color w:val="auto"/>
        </w:rPr>
      </w:pPr>
      <w:r>
        <w:rPr>
          <w:rFonts w:ascii="Arial" w:cs="Arial" w:eastAsia="Arial" w:hAnsi="Arial"/>
          <w:sz w:val="13"/>
          <w:szCs w:val="13"/>
          <w:i w:val="1"/>
          <w:iCs w:val="1"/>
          <w:color w:val="auto"/>
        </w:rPr>
        <w:t>of incorporation or organization)</w:t>
      </w:r>
    </w:p>
    <w:p>
      <w:pPr>
        <w:spacing w:after="0" w:line="20" w:lineRule="exact"/>
        <w:rPr>
          <w:sz w:val="24"/>
          <w:szCs w:val="24"/>
          <w:color w:val="auto"/>
        </w:rPr>
      </w:pPr>
      <w:r>
        <w:rPr>
          <w:sz w:val="24"/>
          <w:szCs w:val="24"/>
          <w:color w:val="auto"/>
        </w:rPr>
        <w:br w:type="column"/>
      </w:r>
    </w:p>
    <w:p>
      <w:pPr>
        <w:jc w:val="center"/>
        <w:ind w:right="2140"/>
        <w:spacing w:after="0"/>
        <w:rPr>
          <w:sz w:val="20"/>
          <w:szCs w:val="20"/>
          <w:color w:val="auto"/>
        </w:rPr>
      </w:pPr>
      <w:r>
        <w:rPr>
          <w:rFonts w:ascii="Arial" w:cs="Arial" w:eastAsia="Arial" w:hAnsi="Arial"/>
          <w:sz w:val="14"/>
          <w:szCs w:val="14"/>
          <w:i w:val="1"/>
          <w:iCs w:val="1"/>
          <w:color w:val="auto"/>
        </w:rPr>
        <w:t>(I.R.S. Employer</w:t>
      </w:r>
    </w:p>
    <w:p>
      <w:pPr>
        <w:jc w:val="center"/>
        <w:ind w:right="2140"/>
        <w:spacing w:after="0"/>
        <w:rPr>
          <w:sz w:val="20"/>
          <w:szCs w:val="20"/>
          <w:color w:val="auto"/>
        </w:rPr>
      </w:pPr>
      <w:r>
        <w:rPr>
          <w:rFonts w:ascii="Arial" w:cs="Arial" w:eastAsia="Arial" w:hAnsi="Arial"/>
          <w:sz w:val="13"/>
          <w:szCs w:val="13"/>
          <w:i w:val="1"/>
          <w:iCs w:val="1"/>
          <w:color w:val="auto"/>
        </w:rPr>
        <w:t>Identification No.)</w:t>
      </w:r>
    </w:p>
    <w:p>
      <w:pPr>
        <w:spacing w:after="0" w:line="122" w:lineRule="exact"/>
        <w:rPr>
          <w:sz w:val="24"/>
          <w:szCs w:val="24"/>
          <w:color w:val="auto"/>
        </w:rPr>
      </w:pPr>
    </w:p>
    <w:p>
      <w:pPr>
        <w:sectPr>
          <w:pgSz w:w="11900" w:h="16838" w:orient="portrait"/>
          <w:cols w:equalWidth="0" w:num="2">
            <w:col w:w="7260" w:space="720"/>
            <w:col w:w="3200"/>
          </w:cols>
          <w:pgMar w:left="320" w:top="994" w:right="399" w:bottom="1440" w:gutter="0" w:footer="0" w:header="0"/>
          <w:type w:val="continuous"/>
        </w:sectPr>
      </w:pPr>
    </w:p>
    <w:p>
      <w:pPr>
        <w:jc w:val="center"/>
        <w:ind w:right="-59"/>
        <w:spacing w:after="0"/>
        <w:rPr>
          <w:sz w:val="20"/>
          <w:szCs w:val="20"/>
          <w:color w:val="auto"/>
        </w:rPr>
      </w:pPr>
      <w:r>
        <w:rPr>
          <w:rFonts w:ascii="Arial" w:cs="Arial" w:eastAsia="Arial" w:hAnsi="Arial"/>
          <w:sz w:val="16"/>
          <w:szCs w:val="16"/>
          <w:b w:val="1"/>
          <w:bCs w:val="1"/>
          <w:color w:val="auto"/>
        </w:rPr>
        <w:t>1000 Mylan Boulevard, Canonsburg, Pennsylvania 15317</w:t>
      </w:r>
    </w:p>
    <w:p>
      <w:pPr>
        <w:spacing w:after="0" w:line="44" w:lineRule="exact"/>
        <w:rPr>
          <w:sz w:val="24"/>
          <w:szCs w:val="24"/>
          <w:color w:val="auto"/>
        </w:rPr>
      </w:pPr>
    </w:p>
    <w:p>
      <w:pPr>
        <w:jc w:val="center"/>
        <w:ind w:right="-59"/>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9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(724) 514-1800</w:t>
      </w:r>
    </w:p>
    <w:p>
      <w:pPr>
        <w:spacing w:after="0" w:line="21" w:lineRule="exact"/>
        <w:rPr>
          <w:sz w:val="24"/>
          <w:szCs w:val="24"/>
          <w:color w:val="auto"/>
        </w:rPr>
      </w:pPr>
    </w:p>
    <w:p>
      <w:pPr>
        <w:ind w:left="4100"/>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80"/>
          </w:cols>
          <w:pgMar w:left="320" w:top="994" w:right="399" w:bottom="1440" w:gutter="0" w:footer="0" w:header="0"/>
          <w:type w:val="continuous"/>
        </w:sectPr>
      </w:pPr>
    </w:p>
    <w:p>
      <w:pPr>
        <w:spacing w:after="0" w:line="145" w:lineRule="exact"/>
        <w:rPr>
          <w:sz w:val="24"/>
          <w:szCs w:val="24"/>
          <w:color w:val="auto"/>
        </w:rPr>
      </w:pPr>
    </w:p>
    <w:p>
      <w:pPr>
        <w:ind w:left="108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154" w:lineRule="exact"/>
        <w:rPr>
          <w:sz w:val="24"/>
          <w:szCs w:val="24"/>
          <w:color w:val="auto"/>
        </w:rPr>
      </w:pPr>
    </w:p>
    <w:p>
      <w:pPr>
        <w:sectPr>
          <w:pgSz w:w="11900" w:h="16838" w:orient="portrait"/>
          <w:cols w:equalWidth="0" w:num="3">
            <w:col w:w="3980" w:space="720"/>
            <w:col w:w="2180" w:space="720"/>
            <w:col w:w="3580"/>
          </w:cols>
          <w:pgMar w:left="320" w:top="994" w:right="399" w:bottom="1440" w:gutter="0" w:footer="0" w:header="0"/>
          <w:type w:val="continuous"/>
        </w:sectPr>
      </w:pPr>
    </w:p>
    <w:p>
      <w:pPr>
        <w:ind w:left="400"/>
        <w:spacing w:after="0"/>
        <w:rPr>
          <w:sz w:val="20"/>
          <w:szCs w:val="20"/>
          <w:color w:val="auto"/>
        </w:rPr>
      </w:pPr>
      <w:r>
        <w:rPr>
          <w:rFonts w:ascii="Arial" w:cs="Arial" w:eastAsia="Arial" w:hAnsi="Arial"/>
          <w:sz w:val="14"/>
          <w:szCs w:val="14"/>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VTRS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The NASDAQ Stock Market</w:t>
      </w:r>
    </w:p>
    <w:p>
      <w:pPr>
        <w:spacing w:after="0" w:line="200" w:lineRule="exact"/>
        <w:rPr>
          <w:sz w:val="24"/>
          <w:szCs w:val="24"/>
          <w:color w:val="auto"/>
        </w:rPr>
      </w:pPr>
    </w:p>
    <w:p>
      <w:pPr>
        <w:sectPr>
          <w:pgSz w:w="11900" w:h="16838" w:orient="portrait"/>
          <w:cols w:equalWidth="0" w:num="3">
            <w:col w:w="4420" w:space="720"/>
            <w:col w:w="2420" w:space="720"/>
            <w:col w:w="2900"/>
          </w:cols>
          <w:pgMar w:left="320" w:top="994" w:right="399" w:bottom="1440" w:gutter="0" w:footer="0" w:header="0"/>
          <w:type w:val="continuous"/>
        </w:sectPr>
      </w:pPr>
    </w:p>
    <w:p>
      <w:pPr>
        <w:spacing w:after="0" w:line="25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4" w:lineRule="exact"/>
        <w:rPr>
          <w:sz w:val="24"/>
          <w:szCs w:val="24"/>
          <w:color w:val="auto"/>
        </w:rPr>
      </w:pPr>
    </w:p>
    <w:p>
      <w:pPr>
        <w:ind w:right="40" w:firstLine="44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0" w:firstLine="4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74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32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74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180" w:type="dxa"/>
            <w:vAlign w:val="bottom"/>
          </w:tcPr>
          <w:p>
            <w:pPr>
              <w:ind w:left="274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left="20" w:right="80"/>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3" w:lineRule="exact"/>
        <w:rPr>
          <w:sz w:val="24"/>
          <w:szCs w:val="24"/>
          <w:color w:val="auto"/>
        </w:rPr>
      </w:pPr>
    </w:p>
    <w:p>
      <w:pPr>
        <w:ind w:left="460"/>
        <w:spacing w:after="0" w:line="207" w:lineRule="exact"/>
        <w:tabs>
          <w:tab w:leader="none" w:pos="8780" w:val="left"/>
          <w:tab w:leader="none" w:pos="94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The number of shares of common stock outstanding, par value $0.01 per share, of the registrant as of May 4, 2022 was 1,212,326,908.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126365</wp:posOffset>
            </wp:positionV>
            <wp:extent cx="70891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100330</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180"/>
          </w:cols>
          <w:pgMar w:left="320" w:top="994" w:right="39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VIATRIS INC. AND SUBSIDIARIES</w:t>
      </w:r>
    </w:p>
    <w:p>
      <w:pPr>
        <w:spacing w:after="0" w:line="11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INDEX TO FORM 10-Q</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2022</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5"/>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900" w:type="dxa"/>
            <w:vAlign w:val="bottom"/>
            <w:gridSpan w:val="9"/>
          </w:tcPr>
          <w:p>
            <w:pPr>
              <w:jc w:val="center"/>
              <w:ind w:right="1780"/>
              <w:spacing w:after="0"/>
              <w:rPr>
                <w:sz w:val="20"/>
                <w:szCs w:val="20"/>
                <w:color w:val="auto"/>
              </w:rPr>
            </w:pPr>
            <w:r>
              <w:rPr>
                <w:rFonts w:ascii="Arial" w:cs="Arial" w:eastAsia="Arial" w:hAnsi="Arial"/>
                <w:sz w:val="18"/>
                <w:szCs w:val="18"/>
                <w:b w:val="1"/>
                <w:bCs w:val="1"/>
                <w:color w:val="auto"/>
              </w:rPr>
              <w:t>PART I — FINANCIAL INFORMATION</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660" w:type="dxa"/>
            <w:vAlign w:val="bottom"/>
            <w:gridSpan w:val="14"/>
          </w:tcPr>
          <w:p>
            <w:pPr>
              <w:spacing w:after="0"/>
              <w:rPr>
                <w:sz w:val="20"/>
                <w:szCs w:val="20"/>
                <w:color w:val="auto"/>
              </w:rPr>
            </w:pPr>
            <w:r>
              <w:rPr>
                <w:rFonts w:ascii="Arial" w:cs="Arial" w:eastAsia="Arial" w:hAnsi="Arial"/>
                <w:sz w:val="18"/>
                <w:szCs w:val="18"/>
                <w:color w:val="auto"/>
              </w:rPr>
              <w:t>Condensed Consolidated Financial Statements (unaudited)</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340" w:type="dxa"/>
            <w:vAlign w:val="bottom"/>
            <w:gridSpan w:val="11"/>
          </w:tcPr>
          <w:p>
            <w:pPr>
              <w:spacing w:after="0" w:line="190" w:lineRule="exact"/>
              <w:rPr>
                <w:rFonts w:ascii="Arial" w:cs="Arial" w:eastAsia="Arial" w:hAnsi="Arial"/>
                <w:sz w:val="18"/>
                <w:szCs w:val="18"/>
                <w:color w:val="0000FF"/>
                <w:w w:val="89"/>
              </w:rPr>
            </w:pPr>
            <w:hyperlink w:anchor="page7">
              <w:r>
                <w:rPr>
                  <w:rFonts w:ascii="Arial" w:cs="Arial" w:eastAsia="Arial" w:hAnsi="Arial"/>
                  <w:sz w:val="18"/>
                  <w:szCs w:val="18"/>
                  <w:color w:val="0000FF"/>
                  <w:w w:val="89"/>
                </w:rPr>
                <w:t>Condensed Consolidated Statements of Operations — Three Months Ended March 31, 2022 and 2021</w:t>
              </w:r>
            </w:hyperlink>
          </w:p>
        </w:tc>
        <w:tc>
          <w:tcPr>
            <w:tcW w:w="1320" w:type="dxa"/>
            <w:vAlign w:val="bottom"/>
            <w:gridSpan w:val="3"/>
          </w:tcPr>
          <w:p>
            <w:pPr>
              <w:spacing w:after="0"/>
              <w:rPr>
                <w:sz w:val="16"/>
                <w:szCs w:val="16"/>
                <w:color w:val="auto"/>
              </w:rPr>
            </w:pPr>
          </w:p>
        </w:tc>
        <w:tc>
          <w:tcPr>
            <w:tcW w:w="980" w:type="dxa"/>
            <w:vAlign w:val="bottom"/>
            <w:gridSpan w:val="4"/>
          </w:tcPr>
          <w:p>
            <w:pPr>
              <w:jc w:val="right"/>
              <w:ind w:right="20"/>
              <w:spacing w:after="0" w:line="190" w:lineRule="exact"/>
              <w:rPr>
                <w:rFonts w:ascii="Arial" w:cs="Arial" w:eastAsia="Arial" w:hAnsi="Arial"/>
                <w:sz w:val="18"/>
                <w:szCs w:val="18"/>
                <w:color w:val="0000FF"/>
              </w:rPr>
            </w:pPr>
            <w:hyperlink w:anchor="page7">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60" w:type="dxa"/>
            <w:vAlign w:val="bottom"/>
            <w:gridSpan w:val="14"/>
          </w:tcPr>
          <w:p>
            <w:pPr>
              <w:spacing w:after="0"/>
              <w:rPr>
                <w:rFonts w:ascii="Arial" w:cs="Arial" w:eastAsia="Arial" w:hAnsi="Arial"/>
                <w:sz w:val="18"/>
                <w:szCs w:val="18"/>
                <w:color w:val="0000FF"/>
                <w:w w:val="91"/>
              </w:rPr>
            </w:pPr>
            <w:hyperlink w:anchor="page7">
              <w:r>
                <w:rPr>
                  <w:rFonts w:ascii="Arial" w:cs="Arial" w:eastAsia="Arial" w:hAnsi="Arial"/>
                  <w:sz w:val="18"/>
                  <w:szCs w:val="18"/>
                  <w:color w:val="0000FF"/>
                  <w:w w:val="91"/>
                </w:rPr>
                <w:t>Condensed Consolidated Statements of Comprehensive Earnings (Loss) — Three Months Ended March 31, 2022 and</w:t>
              </w:r>
            </w:hyperlink>
          </w:p>
        </w:tc>
        <w:tc>
          <w:tcPr>
            <w:tcW w:w="980" w:type="dxa"/>
            <w:vAlign w:val="bottom"/>
            <w:gridSpan w:val="4"/>
            <w:vMerge w:val="restart"/>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Borders>
              <w:top w:val="single" w:sz="8" w:color="0000FF"/>
            </w:tcBorders>
          </w:tcPr>
          <w:p>
            <w:pPr>
              <w:spacing w:after="0" w:line="156" w:lineRule="exact"/>
              <w:rPr>
                <w:rFonts w:ascii="Arial" w:cs="Arial" w:eastAsia="Arial" w:hAnsi="Arial"/>
                <w:sz w:val="18"/>
                <w:szCs w:val="18"/>
                <w:color w:val="0000FF"/>
                <w:w w:val="84"/>
              </w:rPr>
            </w:pPr>
            <w:hyperlink w:anchor="page7">
              <w:r>
                <w:rPr>
                  <w:rFonts w:ascii="Arial" w:cs="Arial" w:eastAsia="Arial" w:hAnsi="Arial"/>
                  <w:sz w:val="18"/>
                  <w:szCs w:val="18"/>
                  <w:color w:val="0000FF"/>
                  <w:w w:val="84"/>
                </w:rPr>
                <w:t>2021</w:t>
              </w:r>
            </w:hyperlink>
          </w:p>
        </w:tc>
        <w:tc>
          <w:tcPr>
            <w:tcW w:w="2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2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7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60" w:type="dxa"/>
            <w:vAlign w:val="bottom"/>
            <w:gridSpan w:val="14"/>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Condensed Consolidated Balance Sheets — March 31, 2022 and December 31, 2021</w:t>
              </w:r>
            </w:hyperlink>
          </w:p>
        </w:tc>
        <w:tc>
          <w:tcPr>
            <w:tcW w:w="98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9</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60" w:type="dxa"/>
            <w:vAlign w:val="bottom"/>
            <w:gridSpan w:val="14"/>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 xml:space="preserve">Condensed Consolidated Statements of Equity — Three Months Ended March 31, 2022 and </w:t>
              </w:r>
            </w:hyperlink>
            <w:r>
              <w:rPr>
                <w:rFonts w:ascii="Arial" w:cs="Arial" w:eastAsia="Arial" w:hAnsi="Arial"/>
                <w:sz w:val="18"/>
                <w:szCs w:val="18"/>
                <w:color w:val="0000FF"/>
              </w:rPr>
              <w:t>2021</w:t>
            </w:r>
          </w:p>
        </w:tc>
        <w:tc>
          <w:tcPr>
            <w:tcW w:w="960" w:type="dxa"/>
            <w:vAlign w:val="bottom"/>
            <w:gridSpan w:val="3"/>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10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0" w:type="dxa"/>
            <w:vAlign w:val="bottom"/>
            <w:gridSpan w:val="12"/>
          </w:tcPr>
          <w:p>
            <w:pPr>
              <w:spacing w:after="0"/>
              <w:rPr>
                <w:rFonts w:ascii="Arial" w:cs="Arial" w:eastAsia="Arial" w:hAnsi="Arial"/>
                <w:sz w:val="18"/>
                <w:szCs w:val="18"/>
                <w:color w:val="0000FF"/>
                <w:w w:val="89"/>
              </w:rPr>
            </w:pPr>
            <w:hyperlink w:anchor="page10">
              <w:r>
                <w:rPr>
                  <w:rFonts w:ascii="Arial" w:cs="Arial" w:eastAsia="Arial" w:hAnsi="Arial"/>
                  <w:sz w:val="18"/>
                  <w:szCs w:val="18"/>
                  <w:color w:val="0000FF"/>
                  <w:w w:val="89"/>
                </w:rPr>
                <w:t xml:space="preserve">Condensed Consolidated Statements of Cash Flows — Three Months Ended March 31, 2022 and </w:t>
              </w:r>
            </w:hyperlink>
            <w:r>
              <w:rPr>
                <w:rFonts w:ascii="Arial" w:cs="Arial" w:eastAsia="Arial" w:hAnsi="Arial"/>
                <w:sz w:val="18"/>
                <w:szCs w:val="18"/>
                <w:color w:val="0000FF"/>
                <w:w w:val="89"/>
              </w:rPr>
              <w:t>2021</w:t>
            </w:r>
          </w:p>
        </w:tc>
        <w:tc>
          <w:tcPr>
            <w:tcW w:w="126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11</w:t>
              </w:r>
            </w:hyperlink>
          </w:p>
        </w:tc>
        <w:tc>
          <w:tcPr>
            <w:tcW w:w="0" w:type="dxa"/>
            <w:vAlign w:val="bottom"/>
          </w:tcPr>
          <w:p>
            <w:pPr>
              <w:spacing w:after="0"/>
              <w:rPr>
                <w:sz w:val="1"/>
                <w:szCs w:val="1"/>
                <w:color w:val="auto"/>
              </w:rPr>
            </w:pPr>
          </w:p>
        </w:tc>
      </w:tr>
      <w:tr>
        <w:trPr>
          <w:trHeight w:val="480"/>
        </w:trPr>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0" w:type="dxa"/>
            <w:vAlign w:val="bottom"/>
            <w:tcBorders>
              <w:top w:val="single" w:sz="8" w:color="0000FF"/>
            </w:tcBorders>
            <w:gridSpan w:val="12"/>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Notes to Condensed Consolidated Financial Statements</w:t>
              </w:r>
            </w:hyperlink>
          </w:p>
        </w:tc>
        <w:tc>
          <w:tcPr>
            <w:tcW w:w="126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12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5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660" w:type="dxa"/>
            <w:vAlign w:val="bottom"/>
            <w:gridSpan w:val="14"/>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Management’s Discussion and Analysis of Financial Condition and Results of Operations</w:t>
              </w:r>
            </w:hyperlink>
          </w:p>
        </w:tc>
        <w:tc>
          <w:tcPr>
            <w:tcW w:w="960" w:type="dxa"/>
            <w:vAlign w:val="bottom"/>
            <w:gridSpan w:val="3"/>
          </w:tcPr>
          <w:p>
            <w:pPr>
              <w:jc w:val="right"/>
              <w:spacing w:after="0"/>
              <w:rPr>
                <w:rFonts w:ascii="Arial" w:cs="Arial" w:eastAsia="Arial" w:hAnsi="Arial"/>
                <w:sz w:val="18"/>
                <w:szCs w:val="18"/>
                <w:color w:val="0000FF"/>
              </w:rPr>
            </w:pPr>
            <w:hyperlink w:anchor="page42">
              <w:r>
                <w:rPr>
                  <w:rFonts w:ascii="Arial" w:cs="Arial" w:eastAsia="Arial" w:hAnsi="Arial"/>
                  <w:sz w:val="18"/>
                  <w:szCs w:val="18"/>
                  <w:color w:val="0000FF"/>
                </w:rPr>
                <w:t>43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5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440" w:type="dxa"/>
            <w:vAlign w:val="bottom"/>
            <w:tcBorders>
              <w:top w:val="single" w:sz="8" w:color="0000FF"/>
            </w:tcBorders>
            <w:gridSpan w:val="9"/>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Quantitative and Qualitative Disclosures About Market Risk</w:t>
              </w:r>
            </w:hyperlink>
          </w:p>
        </w:tc>
        <w:tc>
          <w:tcPr>
            <w:tcW w:w="2220" w:type="dxa"/>
            <w:vAlign w:val="bottom"/>
            <w:gridSpan w:val="5"/>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59">
              <w:r>
                <w:rPr>
                  <w:rFonts w:ascii="Arial" w:cs="Arial" w:eastAsia="Arial" w:hAnsi="Arial"/>
                  <w:sz w:val="18"/>
                  <w:szCs w:val="18"/>
                  <w:color w:val="0000FF"/>
                  <w:w w:val="79"/>
                </w:rPr>
                <w:t>59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5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40" w:type="dxa"/>
            <w:vAlign w:val="bottom"/>
            <w:tcBorders>
              <w:top w:val="single" w:sz="8" w:color="0000FF"/>
            </w:tcBorders>
            <w:gridSpan w:val="7"/>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Controls and Procedures</w:t>
              </w:r>
            </w:hyperlink>
          </w:p>
        </w:tc>
        <w:tc>
          <w:tcPr>
            <w:tcW w:w="4320" w:type="dxa"/>
            <w:vAlign w:val="bottom"/>
            <w:gridSpan w:val="7"/>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59">
              <w:r>
                <w:rPr>
                  <w:rFonts w:ascii="Arial" w:cs="Arial" w:eastAsia="Arial" w:hAnsi="Arial"/>
                  <w:sz w:val="18"/>
                  <w:szCs w:val="18"/>
                  <w:color w:val="0000FF"/>
                  <w:w w:val="79"/>
                </w:rPr>
                <w:t>59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9"/>
        </w:trPr>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900" w:type="dxa"/>
            <w:vAlign w:val="bottom"/>
            <w:gridSpan w:val="9"/>
          </w:tcPr>
          <w:p>
            <w:pPr>
              <w:jc w:val="center"/>
              <w:ind w:right="1800"/>
              <w:spacing w:after="0"/>
              <w:rPr>
                <w:sz w:val="20"/>
                <w:szCs w:val="20"/>
                <w:color w:val="auto"/>
              </w:rPr>
            </w:pPr>
            <w:r>
              <w:rPr>
                <w:rFonts w:ascii="Arial" w:cs="Arial" w:eastAsia="Arial" w:hAnsi="Arial"/>
                <w:sz w:val="18"/>
                <w:szCs w:val="18"/>
                <w:b w:val="1"/>
                <w:bCs w:val="1"/>
                <w:color w:val="auto"/>
              </w:rPr>
              <w:t>PART II — OTHER INFORMATION</w:t>
            </w:r>
          </w:p>
        </w:tc>
        <w:tc>
          <w:tcPr>
            <w:tcW w:w="7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540" w:type="dxa"/>
            <w:vAlign w:val="bottom"/>
            <w:gridSpan w:val="2"/>
          </w:tcPr>
          <w:p>
            <w:pPr>
              <w:spacing w:after="0" w:line="190" w:lineRule="exact"/>
              <w:rPr>
                <w:sz w:val="20"/>
                <w:szCs w:val="20"/>
                <w:color w:val="auto"/>
              </w:rPr>
            </w:pPr>
            <w:r>
              <w:rPr>
                <w:rFonts w:ascii="Arial" w:cs="Arial" w:eastAsia="Arial" w:hAnsi="Arial"/>
                <w:sz w:val="18"/>
                <w:szCs w:val="18"/>
                <w:color w:val="auto"/>
              </w:rPr>
              <w:t>ITEM 1.</w:t>
            </w:r>
          </w:p>
        </w:tc>
        <w:tc>
          <w:tcPr>
            <w:tcW w:w="8660" w:type="dxa"/>
            <w:vAlign w:val="bottom"/>
            <w:gridSpan w:val="14"/>
          </w:tcPr>
          <w:p>
            <w:pPr>
              <w:spacing w:after="0" w:line="190" w:lineRule="exact"/>
              <w:rPr>
                <w:rFonts w:ascii="Arial" w:cs="Arial" w:eastAsia="Arial" w:hAnsi="Arial"/>
                <w:sz w:val="18"/>
                <w:szCs w:val="18"/>
                <w:color w:val="0000FF"/>
              </w:rPr>
            </w:pPr>
            <w:hyperlink w:anchor="page60">
              <w:r>
                <w:rPr>
                  <w:rFonts w:ascii="Arial" w:cs="Arial" w:eastAsia="Arial" w:hAnsi="Arial"/>
                  <w:sz w:val="18"/>
                  <w:szCs w:val="18"/>
                  <w:color w:val="0000FF"/>
                </w:rPr>
                <w:t>Legal Proceedings</w:t>
              </w:r>
            </w:hyperlink>
          </w:p>
        </w:tc>
        <w:tc>
          <w:tcPr>
            <w:tcW w:w="960" w:type="dxa"/>
            <w:vAlign w:val="bottom"/>
            <w:gridSpan w:val="3"/>
          </w:tcPr>
          <w:p>
            <w:pPr>
              <w:jc w:val="right"/>
              <w:spacing w:after="0" w:line="190" w:lineRule="exact"/>
              <w:rPr>
                <w:rFonts w:ascii="Arial" w:cs="Arial" w:eastAsia="Arial" w:hAnsi="Arial"/>
                <w:sz w:val="18"/>
                <w:szCs w:val="18"/>
                <w:color w:val="0000FF"/>
              </w:rPr>
            </w:pPr>
            <w:hyperlink w:anchor="page60">
              <w:r>
                <w:rPr>
                  <w:rFonts w:ascii="Arial" w:cs="Arial" w:eastAsia="Arial" w:hAnsi="Arial"/>
                  <w:sz w:val="18"/>
                  <w:szCs w:val="18"/>
                  <w:color w:val="0000FF"/>
                </w:rPr>
                <w:t>60</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9"/>
        </w:trPr>
        <w:tc>
          <w:tcPr>
            <w:tcW w:w="15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7"/>
              </w:rPr>
            </w:pPr>
            <w:hyperlink w:anchor="page60">
              <w:r>
                <w:rPr>
                  <w:rFonts w:ascii="Arial" w:cs="Arial" w:eastAsia="Arial" w:hAnsi="Arial"/>
                  <w:sz w:val="18"/>
                  <w:szCs w:val="18"/>
                  <w:color w:val="0000FF"/>
                  <w:w w:val="87"/>
                </w:rPr>
                <w:t>Risk Factors</w:t>
              </w:r>
            </w:hyperlink>
          </w:p>
        </w:tc>
        <w:tc>
          <w:tcPr>
            <w:tcW w:w="420" w:type="dxa"/>
            <w:vAlign w:val="bottom"/>
            <w:tcBorders>
              <w:top w:val="single" w:sz="8" w:color="0000FF"/>
            </w:tcBorders>
          </w:tcPr>
          <w:p>
            <w:pPr>
              <w:spacing w:after="0"/>
              <w:rPr>
                <w:sz w:val="24"/>
                <w:szCs w:val="24"/>
                <w:color w:val="auto"/>
              </w:rPr>
            </w:pPr>
          </w:p>
        </w:tc>
        <w:tc>
          <w:tcPr>
            <w:tcW w:w="7340" w:type="dxa"/>
            <w:vAlign w:val="bottom"/>
            <w:gridSpan w:val="10"/>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60">
              <w:r>
                <w:rPr>
                  <w:rFonts w:ascii="Arial" w:cs="Arial" w:eastAsia="Arial" w:hAnsi="Arial"/>
                  <w:sz w:val="18"/>
                  <w:szCs w:val="18"/>
                  <w:color w:val="0000FF"/>
                  <w:w w:val="79"/>
                </w:rPr>
                <w:t>60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5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60">
              <w:r>
                <w:rPr>
                  <w:rFonts w:ascii="Arial" w:cs="Arial" w:eastAsia="Arial" w:hAnsi="Arial"/>
                  <w:sz w:val="18"/>
                  <w:szCs w:val="18"/>
                  <w:color w:val="0000FF"/>
                  <w:w w:val="91"/>
                </w:rPr>
                <w:t>Exhibits</w:t>
              </w:r>
            </w:hyperlink>
          </w:p>
        </w:tc>
        <w:tc>
          <w:tcPr>
            <w:tcW w:w="8060" w:type="dxa"/>
            <w:vAlign w:val="bottom"/>
            <w:gridSpan w:val="12"/>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0">
              <w:r>
                <w:rPr>
                  <w:rFonts w:ascii="Arial" w:cs="Arial" w:eastAsia="Arial" w:hAnsi="Arial"/>
                  <w:sz w:val="18"/>
                  <w:szCs w:val="18"/>
                  <w:color w:val="0000FF"/>
                  <w:w w:val="79"/>
                </w:rPr>
                <w:t>60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540" w:type="dxa"/>
            <w:vAlign w:val="bottom"/>
            <w:gridSpan w:val="2"/>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SIGNATURES</w:t>
              </w:r>
            </w:hyperlink>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FF"/>
              </w:rPr>
            </w:pPr>
            <w:hyperlink w:anchor="page60">
              <w:r>
                <w:rPr>
                  <w:rFonts w:ascii="Arial" w:cs="Arial" w:eastAsia="Arial" w:hAnsi="Arial"/>
                  <w:sz w:val="18"/>
                  <w:szCs w:val="18"/>
                  <w:color w:val="0000FF"/>
                </w:rPr>
                <w:t>61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 w:name="page3"/>
    <w:bookmarkEnd w:id="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Glossary of Defined Terms</w:t>
      </w:r>
    </w:p>
    <w:p>
      <w:pPr>
        <w:spacing w:after="0" w:line="243" w:lineRule="exact"/>
        <w:rPr>
          <w:sz w:val="20"/>
          <w:szCs w:val="20"/>
          <w:color w:val="auto"/>
        </w:rPr>
      </w:pPr>
    </w:p>
    <w:p>
      <w:pPr>
        <w:ind w:right="120" w:firstLine="648"/>
        <w:spacing w:after="0" w:line="235" w:lineRule="auto"/>
        <w:rPr>
          <w:sz w:val="20"/>
          <w:szCs w:val="20"/>
          <w:color w:val="auto"/>
        </w:rPr>
      </w:pPr>
      <w:r>
        <w:rPr>
          <w:rFonts w:ascii="Arial" w:cs="Arial" w:eastAsia="Arial" w:hAnsi="Arial"/>
          <w:sz w:val="18"/>
          <w:szCs w:val="18"/>
          <w:color w:val="auto"/>
        </w:rPr>
        <w:t>Unless the context requires otherwise, references to “Viatris,” “the Company,” “we,” “us” or “our” in this Form 10-Q (defined below) refer to Viatris Inc. and its subsidiaries. We also have used several other terms in this Form 10-Q, most of which are explained or defined below. Some amounts in this Form 10-Q may not add due to rounding.</w:t>
      </w:r>
    </w:p>
    <w:p>
      <w:pPr>
        <w:spacing w:after="0" w:line="200" w:lineRule="exact"/>
        <w:rPr>
          <w:sz w:val="20"/>
          <w:szCs w:val="20"/>
          <w:color w:val="auto"/>
        </w:rPr>
      </w:pP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4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2003 LTIP</w:t>
            </w:r>
          </w:p>
        </w:tc>
        <w:tc>
          <w:tcPr>
            <w:tcW w:w="54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Mylan N.V. Amended and Restated 2003 Long-Term Incentive Plan</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2021 Form 10-K</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5"/>
              </w:rPr>
              <w:t>Viatris’ annual report on Form 10-K for the fiscal year ended December</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31, 2021, as amended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2"/>
              </w:rPr>
              <w:t>Non-GAAP financial measure that the Company believes is appropriate to</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provide information to investors - EBITDA (defined below) is further</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Adjusted EBITDA</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89"/>
              </w:rPr>
              <w:t>adjusted for share-based compensation expense, litigation settlements, and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other contingencies, net, restructuring and other special items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ANDA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Abbreviated New Drug Application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AOCE</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Accumulated other comprehensive earnings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APIs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Active pharmaceutical ingredients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ARV</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Antiretroviral medicines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ASC</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Accounting Standards Codification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ASU</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Accounting Standards Update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Biocon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Biocon Limited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Biocon Biologics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Biocon Biologics Limited, a majority owned subsidiary of Biocon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w w:val="92"/>
              </w:rPr>
              <w:t>The pending transaction between Viatris and Biocon Biologics pursuant to</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Biocon Biologics Transaction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7"/>
              </w:rPr>
              <w:t>which Viatris will contribute its biosimilars portfolio to Biocon Biologics</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Biocon Agreement</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5"/>
              </w:rPr>
              <w:t>The transaction agreement between Viatris and Biocon Biologics, dated</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February 27, 2022, relating to the Biocon Biologics Transaction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Biogen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Biogen MA Inc. and Biogen International GmbH, collectively</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1"/>
              </w:rPr>
              <w:t>Business Combination Agreement, dated as of July 29, 2019, as amended</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Business Combination Agreement</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from time to time, among Viatris, Mylan, Pfizer and certain of their</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affiliates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Competition Appeals Tribunal</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CJEU</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European Court of Justice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Used to define the three equity method investments the Company has in</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clean energy investments</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4"/>
              </w:rPr>
              <w:t>limited liability companies that own refined coal production plants whose</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activities qualify for income tax credits under Section 45 of the Code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CMA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Competition and Markets Authority</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Code</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The U.S. Internal Revenue Code of 1986, as amended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Combination</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6"/>
              </w:rPr>
              <w:t>Refers to Mylan combining with Pfizer's Upjohn Business in a Reverse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Morris Trust transaction to form Viatris on November 16, 2020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2"/>
              </w:rPr>
              <w:t>The $1.65 billion unsecured commercial paper program entered into as of</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Commercial Paper Program</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2"/>
              </w:rPr>
              <w:t>November 16, 2020 by Viatris, as issuer, Mylan Inc., Utah Acquisition Sub</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1"/>
              </w:rPr>
              <w:t>Inc. and Mylan II B.V., as guarantors, and certain dealers from time to time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Commission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European Commission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COVID-19</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Novel coronavirus disease of 2019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CP Notes</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7"/>
              </w:rPr>
              <w:t>Unsecured, short-term commercial paper notes issued pursuant to the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Commercial Paper Program</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DCGI</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Drug Controller General of India</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8"/>
        </w:trPr>
        <w:tc>
          <w:tcPr>
            <w:tcW w:w="5480" w:type="dxa"/>
            <w:vAlign w:val="bottom"/>
          </w:tcPr>
          <w:p>
            <w:pPr>
              <w:spacing w:after="0"/>
              <w:rPr>
                <w:sz w:val="24"/>
                <w:szCs w:val="24"/>
                <w:color w:val="auto"/>
              </w:rPr>
            </w:pPr>
          </w:p>
        </w:tc>
        <w:tc>
          <w:tcPr>
            <w:tcW w:w="5480" w:type="dxa"/>
            <w:vAlign w:val="bottom"/>
          </w:tcPr>
          <w:p>
            <w:pPr>
              <w:ind w:left="10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48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Developed Markets segment</w:t>
            </w:r>
          </w:p>
        </w:tc>
        <w:tc>
          <w:tcPr>
            <w:tcW w:w="5480" w:type="dxa"/>
            <w:vAlign w:val="bottom"/>
            <w:tcBorders>
              <w:top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8"/>
              </w:rPr>
              <w:t>Viatris’ business segment that includes our operations primarily in the</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following markets: North America and Europe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Distribution</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Pfizer's distribution to Pfizer stockholders all the issued and outstanding</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shares of Upjohn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DOJ</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Department of Justice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DRIP</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Dividend Reinvestment and Share Purchase Plan</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2"/>
              </w:rPr>
              <w:t>Non-GAAP financial measure that the Company believes is appropriate to</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provide information to investors - U.S. GAAP net earnings (loss) adjusted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EBITDA</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for net contribution attributable to equity method investments, income tax</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6"/>
              </w:rPr>
              <w:t>provision (benefit), interest expense and depreciation and amortization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EDPA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District Court for the Eastern District of Pennsylvania</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1"/>
              </w:rPr>
              <w:t>Viatris’ business segment that includes, but is not limited to, our operations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Emerging Markets segment</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6"/>
              </w:rPr>
              <w:t>primarily in the following markets: Parts of Asia, the Middle East, South</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and Central America, Africa, and Eastern Europe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ERP system</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Enterprise resource planning system</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EU</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European Union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Exchange Act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Securities Exchange Act of 1934, as amended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FASB</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Financial Accounting Standards Board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FCA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Financial Conduct Authority in the U.K.</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FDA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Food and Drug Administration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Form 10-Q</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This quarterly report on Form 10-Q for the quarterly period ended March</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31, 2022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Greater China segment</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8"/>
              </w:rPr>
              <w:t>Viatris’ business segment that includes our operations primarily in the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following markets: China, Taiwan and Hong Kong</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Gx</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Generic drugs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IPR</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Inter Partes review</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IRS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Internal Revenue Service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8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The private letter ruling issued by the IRS to Pfizer with respect to the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IRS Ruling</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Combination, dated as of March 17, 2020</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Information technology</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JANZ segment</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7"/>
              </w:rPr>
              <w:t>Viatris’ business segment that includes our operations in the following</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markets: Japan, Australia and New Zealand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LIBOR</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London Interbank Offered Rate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Lilly</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Eli Lilly and Company</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8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The maximum consolidated leverage ratio financial covenant requiring</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80" w:type="dxa"/>
            <w:vAlign w:val="bottom"/>
            <w:tcBorders>
              <w:left w:val="single" w:sz="8" w:color="auto"/>
              <w:right w:val="single" w:sz="8" w:color="auto"/>
            </w:tcBorders>
          </w:tcPr>
          <w:p>
            <w:pPr>
              <w:spacing w:after="0"/>
              <w:rPr>
                <w:sz w:val="17"/>
                <w:szCs w:val="17"/>
                <w:color w:val="auto"/>
              </w:rPr>
            </w:pPr>
          </w:p>
        </w:tc>
        <w:tc>
          <w:tcPr>
            <w:tcW w:w="5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w w:val="93"/>
              </w:rPr>
              <w:t>maintenance of a maximum ratio of consolidated total indebtedness as of</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Borders>
              <w:left w:val="single" w:sz="8" w:color="auto"/>
              <w:right w:val="single" w:sz="8" w:color="auto"/>
            </w:tcBorders>
          </w:tcPr>
          <w:p>
            <w:pPr>
              <w:spacing w:after="0"/>
              <w:rPr>
                <w:sz w:val="17"/>
                <w:szCs w:val="17"/>
                <w:color w:val="auto"/>
              </w:rPr>
            </w:pPr>
          </w:p>
        </w:tc>
        <w:tc>
          <w:tcPr>
            <w:tcW w:w="5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 end of any quarter to consolidated EBITDA for the trailing four</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maximum leverage ratio</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8"/>
              </w:rPr>
              <w:t>quarters as defined in the related credit agreements from time to time</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MDL</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Multidistrict litigation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MPI</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Mylan Pharmaceuticals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Mylan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Mylan N.V. and its subsidiaries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3"/>
              </w:rPr>
              <w:t>Mylan II B.V., a company incorporated under the laws of the Netherlands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Mylan II</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and an indirect wholly owned subsidiary of Viatris, in which legacy Mylan</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merged with and into</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3"/>
              </w:rPr>
              <w:t>The 2.125% Senior Notes due 2025 issued by Mylan Inc., which are fully</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Mylan Inc. Euro Notes</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4"/>
              </w:rPr>
              <w:t>and unconditionally guaranteed on a senior unsecured basis by Mylan II</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B.V., Viatris Inc. and Utah Acquisition Sub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8"/>
        </w:trPr>
        <w:tc>
          <w:tcPr>
            <w:tcW w:w="5480" w:type="dxa"/>
            <w:vAlign w:val="bottom"/>
          </w:tcPr>
          <w:p>
            <w:pPr>
              <w:spacing w:after="0"/>
              <w:rPr>
                <w:sz w:val="24"/>
                <w:szCs w:val="24"/>
                <w:color w:val="auto"/>
              </w:rPr>
            </w:pPr>
          </w:p>
        </w:tc>
        <w:tc>
          <w:tcPr>
            <w:tcW w:w="5480" w:type="dxa"/>
            <w:vAlign w:val="bottom"/>
          </w:tcPr>
          <w:p>
            <w:pPr>
              <w:ind w:left="10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480" w:type="dxa"/>
            <w:vAlign w:val="bottom"/>
            <w:tcBorders>
              <w:top w:val="single" w:sz="8" w:color="auto"/>
              <w:left w:val="single" w:sz="8" w:color="auto"/>
              <w:right w:val="single" w:sz="8" w:color="auto"/>
            </w:tcBorders>
          </w:tcPr>
          <w:p>
            <w:pPr>
              <w:spacing w:after="0"/>
              <w:rPr>
                <w:sz w:val="16"/>
                <w:szCs w:val="16"/>
                <w:color w:val="auto"/>
              </w:rPr>
            </w:pPr>
          </w:p>
        </w:tc>
        <w:tc>
          <w:tcPr>
            <w:tcW w:w="5480" w:type="dxa"/>
            <w:vAlign w:val="bottom"/>
            <w:tcBorders>
              <w:top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8"/>
              </w:rPr>
              <w:t>The 4.200% Senior Notes due 2023, 3.125% Senior Notes due 2023,</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9"/>
              </w:rPr>
              <w:t>4.550% Senior Notes due 2028, 5.400% Senior Notes due 2043 and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5.200% Senior Notes due 2048 issued by Mylan Inc., which are fully and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Mylan Inc. U.S. Dollar Notes</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unconditionally guaranteed on a senior unsecured basis by Mylan II B.V.,</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Viatris Inc. and Utah Acquisition Sub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Mylan Securitization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Mylan Securitization LLC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NASDAQ</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The NASDAQ Stock Market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NDA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drug application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NHS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National Health Services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Note Securitization Facility</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3"/>
              </w:rPr>
              <w:t>The note securitization facility entered into in July 2021 for borrowings up</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 $200 million and expiring in August 2022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OTC</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Over-the-counter</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Pfizer</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Pfizer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Plan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Viatris Inc. 2020 Stock Incentive Plan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PMS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Pharmascience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PSUs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Performance awards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PTAB</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Patent Trial and Appeal Board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R&amp;D</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Receivables Facility</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7"/>
              </w:rPr>
              <w:t>The $400 million accounts receivable entered into in August 2020 and</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expiring in April 2025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w w:val="98"/>
              </w:rPr>
              <w:t>The 1.125% Senior Notes due 2022, 1.650% Senior Notes due 2025,</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3"/>
              </w:rPr>
              <w:t>2.300% Senior Notes due 2027, 2.700% Senior Notes due 2030, 3.850%</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8"/>
              </w:rPr>
              <w:t>Senior Notes due 2040 and 4.000% Senior Notes due 2050 originally</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4"/>
              </w:rPr>
              <w:t>issued on October 29, 2021 registered with the SEC in exchange for the</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corresponding Unregistered Upjohn U.S. Dollar Notes in a similar</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5"/>
              </w:rPr>
              <w:t>aggregate principal amount and with terms substantially identical to the</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corresponding Unregistered Upjohn U.S. Dollar Notes and fully and</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5"/>
              </w:rPr>
              <w:t>unconditionally guaranteed by Mylan Inc., Mylan II and Utah Acquisition</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Registered Upjohn Notes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Sub Inc.</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respiratory delivery platform</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Pfizer’s proprietary dry powder inhaler delivery platform</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restricted stock awards</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89"/>
              </w:rPr>
              <w:t>The Company’s nonvested restricted stock and restricted stock unit awards,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including PSUs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The $4.0 billion revolving facility dated as of July 1, 2021, by and among</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Revolving Facility</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4"/>
              </w:rPr>
              <w:t>Viatris, certain lenders and issuing banks from time to time party thereto</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and Bank of America, N.A., as administrative agent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RICO</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Racketeer Influenced and Corrupt Organizations Act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RSUs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The Company's unvested restricted stock unit awards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Sanofi</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Sanofi-Aventis U.S., LLC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SARs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Stock Appreciation Rights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SDNY</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District Court for the Southern District of New York</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SEC</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Securities and Exchange Commission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Securities Act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Securities Act of 1933, as amended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Senior U.S. Dollar Notes</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3"/>
              </w:rPr>
              <w:t>The Upjohn U.S. Dollar Notes, the Utah U.S. Dollar Notes and the Mylan</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Inc. U.S. Dollar Notes, collectively</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Separation</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8"/>
              </w:rPr>
              <w:t>Pfizer's transfer to Upjohn of substantially all the assets and liabilities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comprising the Upjohn Business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Separation and Distribution Agreement</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3"/>
              </w:rPr>
              <w:t>Separation and Distribution Agreement between Viatris and Pfizer, dated</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 of July 29, 2019, as amended from time to time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SG&amp;A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8"/>
        </w:trPr>
        <w:tc>
          <w:tcPr>
            <w:tcW w:w="5480" w:type="dxa"/>
            <w:vAlign w:val="bottom"/>
          </w:tcPr>
          <w:p>
            <w:pPr>
              <w:spacing w:after="0"/>
              <w:rPr>
                <w:sz w:val="24"/>
                <w:szCs w:val="24"/>
                <w:color w:val="auto"/>
              </w:rPr>
            </w:pPr>
          </w:p>
        </w:tc>
        <w:tc>
          <w:tcPr>
            <w:tcW w:w="5480" w:type="dxa"/>
            <w:vAlign w:val="bottom"/>
          </w:tcPr>
          <w:p>
            <w:pPr>
              <w:ind w:left="10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4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SOFR</w:t>
            </w:r>
          </w:p>
        </w:tc>
        <w:tc>
          <w:tcPr>
            <w:tcW w:w="54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Secured overnight financial rate</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Stock awards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Stock options and SARs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Teva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Teva Pharmaceutical Industries Ltd.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TSA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Transition service agreements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U.K.</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Kingdom</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U.S. GAAP</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Accounting principles generally accepted in the U.S.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8"/>
              </w:rPr>
              <w:t>The 1.125% Senior Notes due 2022, 1.650% Senior Notes due 2025,</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2.300% Senior Notes due 2027, 2.700% Senior Notes due 2030, 3.850%</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8"/>
              </w:rPr>
              <w:t>Senior Notes due 2040 and 4.000% Senior Notes due 2050 originally</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8"/>
              </w:rPr>
              <w:t>issued on June 22, 2020 by Upjohn Inc. (now Viatris Inc.) in a private</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6"/>
              </w:rPr>
              <w:t>offering exempt from the registration requirements of the Securities Act</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Unregistered Upjohn U.S. Dollar Notes</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and fully and unconditionally guaranteed by Mylan Inc., Mylan II and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Utah Acquisition Sub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Upjohn</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Upjohn Inc., a wholly owned subsidiary of Pfizer prior to the Distribution,</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that combined with Mylan and was renamed Viatris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5"/>
              </w:rPr>
              <w:t>Pfizer’s off-patent branded and generic established medicines business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Upjohn Business</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4"/>
              </w:rPr>
              <w:t>that, in connection with the Combination, was separated from Pfizer and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combined with Mylan to form Viatris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2"/>
              </w:rPr>
              <w:t>Senior unsecured notes denominated in U.S. dollars and originally issued</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1"/>
              </w:rPr>
              <w:t>by Upjohn Inc. or Viatris Inc. pursuant to an indenture dated June 22, 2020</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Upjohn U.S. Dollar Notes</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and fully and unconditionally guaranteed by Mylan Inc., Mylan II B.V. and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Utah Acquisition Sub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Utah Acquisition Sub</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Utah Acquisition Sub Inc., a Delaware corporation and an indirect wholly</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owned subsidiary of Viatris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The 2.250% Senior Notes due 2024 and 3.125% Senior Notes due 2028</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5"/>
              </w:rPr>
              <w:t>issued by Utah Acquisition Sub Inc., which are fully and unconditionally</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Utah Euro Notes</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6"/>
              </w:rPr>
              <w:t>guaranteed on a senior unsecured basis by Mylan Inc., Viatris Inc. and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Mylan II B.V.</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The 3.950% Senior Notes due 2026 and 5.250% Senior Notes due 2046</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5"/>
              </w:rPr>
              <w:t>issued by Utah Acquisition Sub Inc., which are fully and unconditionally</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Utah U.S. Dollar Notes</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6"/>
              </w:rPr>
              <w:t>guaranteed on a senior unsecured basis by Mylan Inc., Viatris Inc. and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Mylan II B.V.</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Viatris</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5"/>
              </w:rPr>
              <w:t>Viatris Inc., formerly known as Upjohn Inc. prior to the completion of the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Combination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w w:val="98"/>
              </w:rPr>
              <w:t>The ¥40 billion term loan agreement dated as of July 1, 2021, by and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among Viatris, Mizuho Bank, Ltd. and MUFG Bank, Ltd., as</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YEN Term Loan Facility</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administrative agent</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5"/>
        </w:trPr>
        <w:tc>
          <w:tcPr>
            <w:tcW w:w="5480" w:type="dxa"/>
            <w:vAlign w:val="bottom"/>
          </w:tcPr>
          <w:p>
            <w:pPr>
              <w:spacing w:after="0"/>
              <w:rPr>
                <w:sz w:val="24"/>
                <w:szCs w:val="24"/>
                <w:color w:val="auto"/>
              </w:rPr>
            </w:pPr>
          </w:p>
        </w:tc>
        <w:tc>
          <w:tcPr>
            <w:tcW w:w="5480" w:type="dxa"/>
            <w:vAlign w:val="bottom"/>
          </w:tcPr>
          <w:p>
            <w:pPr>
              <w:ind w:left="10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millions, except per share amounts)</w:t>
      </w:r>
    </w:p>
    <w:p>
      <w:pPr>
        <w:spacing w:after="0" w:line="162" w:lineRule="exact"/>
        <w:rPr>
          <w:sz w:val="20"/>
          <w:szCs w:val="20"/>
          <w:color w:val="auto"/>
        </w:rPr>
      </w:pPr>
    </w:p>
    <w:p>
      <w:pPr>
        <w:jc w:val="center"/>
        <w:ind w:left="8680"/>
        <w:spacing w:after="0"/>
        <w:rPr>
          <w:sz w:val="20"/>
          <w:szCs w:val="20"/>
          <w:color w:val="auto"/>
        </w:rPr>
      </w:pPr>
      <w:r>
        <w:rPr>
          <w:rFonts w:ascii="Arial" w:cs="Arial" w:eastAsia="Arial" w:hAnsi="Arial"/>
          <w:sz w:val="14"/>
          <w:szCs w:val="14"/>
          <w:b w:val="1"/>
          <w:bCs w:val="1"/>
          <w:color w:val="auto"/>
        </w:rPr>
        <w:t>Three Months Ended</w:t>
      </w:r>
    </w:p>
    <w:p>
      <w:pPr>
        <w:spacing w:after="0" w:line="28" w:lineRule="exact"/>
        <w:rPr>
          <w:sz w:val="20"/>
          <w:szCs w:val="20"/>
          <w:color w:val="auto"/>
        </w:rPr>
      </w:pPr>
    </w:p>
    <w:p>
      <w:pPr>
        <w:jc w:val="center"/>
        <w:ind w:left="86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23495</wp:posOffset>
            </wp:positionV>
            <wp:extent cx="15944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7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5"/>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Net sales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4,178.2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4,400.1</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revenues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23"/>
        </w:trPr>
        <w:tc>
          <w:tcPr>
            <w:tcW w:w="87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4,191.7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4,430.3</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3,303.0</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1,127.3</w:t>
            </w:r>
          </w:p>
        </w:tc>
        <w:tc>
          <w:tcPr>
            <w:tcW w:w="0" w:type="dxa"/>
            <w:vAlign w:val="bottom"/>
          </w:tcPr>
          <w:p>
            <w:pPr>
              <w:spacing w:after="0"/>
              <w:rPr>
                <w:sz w:val="1"/>
                <w:szCs w:val="1"/>
                <w:color w:val="auto"/>
              </w:rPr>
            </w:pPr>
          </w:p>
        </w:tc>
      </w:tr>
      <w:tr>
        <w:trPr>
          <w:trHeight w:val="20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70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1,186.5</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Litigation settlements and other contingencies, net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3"/>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1,393.5</w:t>
            </w:r>
          </w:p>
        </w:tc>
        <w:tc>
          <w:tcPr>
            <w:tcW w:w="0" w:type="dxa"/>
            <w:vAlign w:val="bottom"/>
          </w:tcPr>
          <w:p>
            <w:pPr>
              <w:spacing w:after="0"/>
              <w:rPr>
                <w:sz w:val="1"/>
                <w:szCs w:val="1"/>
                <w:color w:val="auto"/>
              </w:rPr>
            </w:pPr>
          </w:p>
        </w:tc>
      </w:tr>
      <w:tr>
        <w:trPr>
          <w:trHeight w:val="223"/>
        </w:trPr>
        <w:tc>
          <w:tcPr>
            <w:tcW w:w="8700" w:type="dxa"/>
            <w:vAlign w:val="bottom"/>
          </w:tcPr>
          <w:p>
            <w:pPr>
              <w:ind w:left="20"/>
              <w:spacing w:after="0"/>
              <w:rPr>
                <w:sz w:val="20"/>
                <w:szCs w:val="20"/>
                <w:color w:val="auto"/>
              </w:rPr>
            </w:pPr>
            <w:r>
              <w:rPr>
                <w:rFonts w:ascii="Arial" w:cs="Arial" w:eastAsia="Arial" w:hAnsi="Arial"/>
                <w:sz w:val="18"/>
                <w:szCs w:val="18"/>
                <w:color w:val="auto"/>
              </w:rPr>
              <w:t>Earnings (loss) from operations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(266.2)</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before income taxes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(441.3)</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596.3</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(1,037.6)</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(loss) per share attributable to Viatris Inc. shareholders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700" w:type="dxa"/>
            <w:vAlign w:val="bottom"/>
          </w:tcPr>
          <w:p>
            <w:pPr>
              <w:ind w:left="220"/>
              <w:spacing w:after="0" w:line="203" w:lineRule="exact"/>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0"/>
        </w:trPr>
        <w:tc>
          <w:tcPr>
            <w:tcW w:w="8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shares outstanding:</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700" w:type="dxa"/>
            <w:vAlign w:val="bottom"/>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1,210.5</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1,207.5</w:t>
            </w:r>
          </w:p>
        </w:tc>
        <w:tc>
          <w:tcPr>
            <w:tcW w:w="0" w:type="dxa"/>
            <w:vAlign w:val="bottom"/>
          </w:tcPr>
          <w:p>
            <w:pPr>
              <w:spacing w:after="0"/>
              <w:rPr>
                <w:sz w:val="1"/>
                <w:szCs w:val="1"/>
                <w:color w:val="auto"/>
              </w:rPr>
            </w:pPr>
          </w:p>
        </w:tc>
      </w:tr>
      <w:tr>
        <w:trPr>
          <w:trHeight w:val="20"/>
        </w:trPr>
        <w:tc>
          <w:tcPr>
            <w:tcW w:w="8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1,207.5</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Earnings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millions)</w:t>
      </w:r>
    </w:p>
    <w:p>
      <w:pPr>
        <w:spacing w:after="0" w:line="162"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Three Months Ended</w:t>
      </w:r>
    </w:p>
    <w:p>
      <w:pPr>
        <w:spacing w:after="0" w:line="28"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23495</wp:posOffset>
            </wp:positionV>
            <wp:extent cx="15944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(1,037.6)</w:t>
            </w: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Other comprehensive loss, before tax:</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(721.2)</w:t>
            </w:r>
          </w:p>
        </w:tc>
      </w:tr>
      <w:tr>
        <w:trPr>
          <w:trHeight w:val="229"/>
        </w:trPr>
        <w:tc>
          <w:tcPr>
            <w:tcW w:w="8700" w:type="dxa"/>
            <w:vAlign w:val="bottom"/>
          </w:tcPr>
          <w:p>
            <w:pPr>
              <w:ind w:left="220"/>
              <w:spacing w:after="0"/>
              <w:rPr>
                <w:sz w:val="20"/>
                <w:szCs w:val="20"/>
                <w:color w:val="auto"/>
              </w:rPr>
            </w:pPr>
            <w:r>
              <w:rPr>
                <w:rFonts w:ascii="Arial" w:cs="Arial" w:eastAsia="Arial" w:hAnsi="Arial"/>
                <w:sz w:val="18"/>
                <w:szCs w:val="18"/>
                <w:color w:val="auto"/>
              </w:rPr>
              <w:t>Change in unrecognized (loss) gain and prior service cost related to defined benefit plans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2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unrecognized gain on derivatives in cash flow hedging relationships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Net unrecognized gain on derivatives in net investment hedging relationships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227.4</w:t>
            </w:r>
          </w:p>
        </w:tc>
      </w:tr>
      <w:tr>
        <w:trPr>
          <w:trHeight w:val="22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loss on marketable securities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3"/>
        </w:trPr>
        <w:tc>
          <w:tcPr>
            <w:tcW w:w="8700" w:type="dxa"/>
            <w:vAlign w:val="bottom"/>
          </w:tcPr>
          <w:p>
            <w:pPr>
              <w:ind w:left="480"/>
              <w:spacing w:after="0"/>
              <w:rPr>
                <w:sz w:val="20"/>
                <w:szCs w:val="20"/>
                <w:color w:val="auto"/>
              </w:rPr>
            </w:pPr>
            <w:r>
              <w:rPr>
                <w:rFonts w:ascii="Arial" w:cs="Arial" w:eastAsia="Arial" w:hAnsi="Arial"/>
                <w:sz w:val="18"/>
                <w:szCs w:val="18"/>
                <w:color w:val="auto"/>
              </w:rPr>
              <w:t>Other comprehensive loss, before tax</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(490.6)</w:t>
            </w:r>
          </w:p>
        </w:tc>
      </w:tr>
      <w:tr>
        <w:trPr>
          <w:trHeight w:val="229"/>
        </w:trPr>
        <w:tc>
          <w:tcPr>
            <w:tcW w:w="8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tax provision</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23"/>
        </w:trPr>
        <w:tc>
          <w:tcPr>
            <w:tcW w:w="87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Other comprehensive loss, net of tax</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(527.6)</w:t>
            </w:r>
          </w:p>
        </w:tc>
      </w:tr>
      <w:tr>
        <w:trPr>
          <w:trHeight w:val="248"/>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earnings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(1,565.2)</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millions, except share and per share amounts)</w:t>
      </w:r>
    </w:p>
    <w:p>
      <w:pPr>
        <w:spacing w:after="0" w:line="111" w:lineRule="exact"/>
        <w:rPr>
          <w:sz w:val="20"/>
          <w:szCs w:val="20"/>
          <w:color w:val="auto"/>
        </w:rPr>
      </w:pPr>
    </w:p>
    <w:p>
      <w:pPr>
        <w:jc w:val="right"/>
        <w:ind w:right="180"/>
        <w:spacing w:after="0"/>
        <w:tabs>
          <w:tab w:leader="none" w:pos="820" w:val="left"/>
        </w:tabs>
        <w:rPr>
          <w:sz w:val="20"/>
          <w:szCs w:val="20"/>
          <w:color w:val="auto"/>
        </w:rPr>
      </w:pPr>
      <w:r>
        <w:rPr>
          <w:rFonts w:ascii="Arial" w:cs="Arial" w:eastAsia="Arial" w:hAnsi="Arial"/>
          <w:sz w:val="14"/>
          <w:szCs w:val="14"/>
          <w:b w:val="1"/>
          <w:bCs w:val="1"/>
          <w:color w:val="auto"/>
        </w:rPr>
        <w:t>March 31,</w:t>
      </w:r>
      <w:r>
        <w:rPr>
          <w:sz w:val="20"/>
          <w:szCs w:val="20"/>
          <w:color w:val="auto"/>
        </w:rPr>
        <w:tab/>
      </w:r>
      <w:r>
        <w:rPr>
          <w:rFonts w:ascii="Arial" w:cs="Arial" w:eastAsia="Arial" w:hAnsi="Arial"/>
          <w:sz w:val="12"/>
          <w:szCs w:val="12"/>
          <w:b w:val="1"/>
          <w:bCs w:val="1"/>
          <w:color w:val="auto"/>
        </w:rPr>
        <w:t>December 31,</w:t>
      </w:r>
    </w:p>
    <w:p>
      <w:pPr>
        <w:ind w:left="9180"/>
        <w:spacing w:after="0"/>
        <w:tabs>
          <w:tab w:leader="none" w:pos="1046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ectPr>
          <w:pgSz w:w="11900" w:h="16838" w:orient="portrait"/>
          <w:cols w:equalWidth="0" w:num="1">
            <w:col w:w="11220"/>
          </w:cols>
          <w:pgMar w:left="320" w:top="118" w:right="359" w:bottom="1440" w:gutter="0" w:footer="0" w:header="0"/>
        </w:sectPr>
      </w:pPr>
    </w:p>
    <w:p>
      <w:pPr>
        <w:spacing w:after="0" w:line="2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Assets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Cash and cash equivalents</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Accounts receivable, net</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Inventories</w:t>
      </w:r>
    </w:p>
    <w:p>
      <w:pPr>
        <w:spacing w:after="0" w:line="23" w:lineRule="exact"/>
        <w:rPr>
          <w:sz w:val="20"/>
          <w:szCs w:val="20"/>
          <w:color w:val="auto"/>
        </w:rPr>
      </w:pPr>
    </w:p>
    <w:p>
      <w:pPr>
        <w:ind w:left="480" w:right="320" w:firstLine="14"/>
        <w:spacing w:after="0" w:line="273" w:lineRule="auto"/>
        <w:rPr>
          <w:sz w:val="20"/>
          <w:szCs w:val="20"/>
          <w:color w:val="auto"/>
        </w:rPr>
      </w:pPr>
      <w:r>
        <w:rPr>
          <w:rFonts w:ascii="Arial" w:cs="Arial" w:eastAsia="Arial" w:hAnsi="Arial"/>
          <w:sz w:val="18"/>
          <w:szCs w:val="18"/>
          <w:color w:val="auto"/>
        </w:rPr>
        <w:t>Prepaid expenses and other current assets Assets held for sale</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Total current assets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Property, plant and equipment, net</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Intangible assets, net</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Goodwill</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Deferred income tax benefit</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Other assets</w:t>
      </w:r>
    </w:p>
    <w:p>
      <w:pPr>
        <w:spacing w:after="0" w:line="6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ind w:left="80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161290</wp:posOffset>
            </wp:positionV>
            <wp:extent cx="711517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-129540</wp:posOffset>
            </wp:positionV>
            <wp:extent cx="7115175"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4220" w:type="dxa"/>
        <w:tblCellMar>
          <w:top w:w="0" w:type="dxa"/>
          <w:left w:w="0" w:type="dxa"/>
          <w:bottom w:w="0" w:type="dxa"/>
          <w:right w:w="0" w:type="dxa"/>
        </w:tblCellMar>
      </w:tblPr>
      <w:tr>
        <w:trPr>
          <w:trHeight w:val="229"/>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752.4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701.2</w:t>
            </w:r>
          </w:p>
        </w:tc>
      </w:tr>
      <w:tr>
        <w:trPr>
          <w:trHeight w:val="230"/>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4,093.9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4,266.4</w:t>
            </w:r>
          </w:p>
        </w:tc>
      </w:tr>
      <w:tr>
        <w:trPr>
          <w:trHeight w:val="229"/>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3,797.3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3,977.7</w:t>
            </w:r>
          </w:p>
        </w:tc>
      </w:tr>
      <w:tr>
        <w:trPr>
          <w:trHeight w:val="229"/>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1,957.6</w:t>
            </w:r>
          </w:p>
        </w:tc>
      </w:tr>
      <w:tr>
        <w:trPr>
          <w:trHeight w:val="230"/>
        </w:trPr>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1,337.1</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11,744.3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10,902.9</w:t>
            </w:r>
          </w:p>
        </w:tc>
      </w:tr>
      <w:tr>
        <w:trPr>
          <w:trHeight w:val="230"/>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3,188.6</w:t>
            </w:r>
          </w:p>
        </w:tc>
      </w:tr>
      <w:tr>
        <w:trPr>
          <w:trHeight w:val="229"/>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25,251.8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26,134.2</w:t>
            </w:r>
          </w:p>
        </w:tc>
      </w:tr>
      <w:tr>
        <w:trPr>
          <w:trHeight w:val="229"/>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10,978.8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12,113.7</w:t>
            </w:r>
          </w:p>
        </w:tc>
      </w:tr>
      <w:tr>
        <w:trPr>
          <w:trHeight w:val="230"/>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1,332.7</w:t>
            </w:r>
          </w:p>
        </w:tc>
      </w:tr>
      <w:tr>
        <w:trPr>
          <w:trHeight w:val="230"/>
        </w:trPr>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1,056.0</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1,170.7</w:t>
            </w:r>
          </w:p>
        </w:tc>
      </w:tr>
      <w:tr>
        <w:trPr>
          <w:trHeight w:val="223"/>
        </w:trPr>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53,466.9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54,842.8</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-1653540</wp:posOffset>
            </wp:positionV>
            <wp:extent cx="7115175"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-1362075</wp:posOffset>
            </wp:positionV>
            <wp:extent cx="7115175"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-1070610</wp:posOffset>
            </wp:positionV>
            <wp:extent cx="711517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-770890</wp:posOffset>
            </wp:positionV>
            <wp:extent cx="7115175"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-479425</wp:posOffset>
            </wp:positionV>
            <wp:extent cx="711517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-187960</wp:posOffset>
            </wp:positionV>
            <wp:extent cx="711517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-129540</wp:posOffset>
            </wp:positionV>
            <wp:extent cx="7115175"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3" w:lineRule="exact"/>
        <w:rPr>
          <w:sz w:val="20"/>
          <w:szCs w:val="20"/>
          <w:color w:val="auto"/>
        </w:rPr>
      </w:pPr>
    </w:p>
    <w:p>
      <w:pPr>
        <w:sectPr>
          <w:pgSz w:w="11900" w:h="16838" w:orient="portrait"/>
          <w:cols w:equalWidth="0" w:num="2">
            <w:col w:w="3780" w:space="720"/>
            <w:col w:w="6720"/>
          </w:cols>
          <w:pgMar w:left="320" w:top="118" w:right="359" w:bottom="1440" w:gutter="0" w:footer="0" w:header="0"/>
          <w:type w:val="continuous"/>
        </w:sectPr>
      </w:pPr>
    </w:p>
    <w:tbl>
      <w:tblPr>
        <w:tblLayout w:type="fixed"/>
        <w:tblInd w:w="20" w:type="dxa"/>
        <w:tblCellMar>
          <w:top w:w="0" w:type="dxa"/>
          <w:left w:w="0" w:type="dxa"/>
          <w:bottom w:w="0" w:type="dxa"/>
          <w:right w:w="0" w:type="dxa"/>
        </w:tblCellMar>
      </w:tblP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46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1,499.6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1,657.4</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Short-term borrowings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1,493.0</w:t>
            </w:r>
          </w:p>
        </w:tc>
        <w:tc>
          <w:tcPr>
            <w:tcW w:w="0" w:type="dxa"/>
            <w:vAlign w:val="bottom"/>
          </w:tcPr>
          <w:p>
            <w:pPr>
              <w:spacing w:after="0"/>
              <w:rPr>
                <w:sz w:val="1"/>
                <w:szCs w:val="1"/>
                <w:color w:val="auto"/>
              </w:rPr>
            </w:pPr>
          </w:p>
        </w:tc>
      </w:tr>
      <w:tr>
        <w:trPr>
          <w:trHeight w:val="230"/>
        </w:trPr>
        <w:tc>
          <w:tcPr>
            <w:tcW w:w="8700" w:type="dxa"/>
            <w:vAlign w:val="bottom"/>
          </w:tcPr>
          <w:p>
            <w:pPr>
              <w:ind w:left="46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Current portion of long-term debt and other long-term obligations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1,877.5</w:t>
            </w:r>
          </w:p>
        </w:tc>
        <w:tc>
          <w:tcPr>
            <w:tcW w:w="0" w:type="dxa"/>
            <w:vAlign w:val="bottom"/>
          </w:tcPr>
          <w:p>
            <w:pPr>
              <w:spacing w:after="0"/>
              <w:rPr>
                <w:sz w:val="1"/>
                <w:szCs w:val="1"/>
                <w:color w:val="auto"/>
              </w:rPr>
            </w:pPr>
          </w:p>
        </w:tc>
      </w:tr>
      <w:tr>
        <w:trPr>
          <w:trHeight w:val="230"/>
        </w:trPr>
        <w:tc>
          <w:tcPr>
            <w:tcW w:w="8700" w:type="dxa"/>
            <w:vAlign w:val="bottom"/>
          </w:tcPr>
          <w:p>
            <w:pPr>
              <w:ind w:left="460"/>
              <w:spacing w:after="0"/>
              <w:rPr>
                <w:sz w:val="20"/>
                <w:szCs w:val="20"/>
                <w:color w:val="auto"/>
              </w:rPr>
            </w:pPr>
            <w:r>
              <w:rPr>
                <w:rFonts w:ascii="Arial" w:cs="Arial" w:eastAsia="Arial" w:hAnsi="Arial"/>
                <w:sz w:val="18"/>
                <w:szCs w:val="18"/>
                <w:color w:val="auto"/>
              </w:rPr>
              <w:t>Liabilities held for sale</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4,426.3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4,619.6</w:t>
            </w:r>
          </w:p>
        </w:tc>
        <w:tc>
          <w:tcPr>
            <w:tcW w:w="0" w:type="dxa"/>
            <w:vAlign w:val="bottom"/>
          </w:tcPr>
          <w:p>
            <w:pPr>
              <w:spacing w:after="0"/>
              <w:rPr>
                <w:sz w:val="1"/>
                <w:szCs w:val="1"/>
                <w:color w:val="auto"/>
              </w:rPr>
            </w:pPr>
          </w:p>
        </w:tc>
      </w:tr>
      <w:tr>
        <w:trPr>
          <w:trHeight w:val="223"/>
        </w:trPr>
        <w:tc>
          <w:tcPr>
            <w:tcW w:w="870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9,642.9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9,884.4</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19,717.1</w:t>
            </w:r>
          </w:p>
        </w:tc>
        <w:tc>
          <w:tcPr>
            <w:tcW w:w="0" w:type="dxa"/>
            <w:vAlign w:val="bottom"/>
          </w:tcPr>
          <w:p>
            <w:pPr>
              <w:spacing w:after="0"/>
              <w:rPr>
                <w:sz w:val="1"/>
                <w:szCs w:val="1"/>
                <w:color w:val="auto"/>
              </w:rPr>
            </w:pP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Deferred income tax liability</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2,729.5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2,815.0</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long-term obligations</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1,933.6</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33,019.2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34,350.1</w:t>
            </w: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700" w:type="dxa"/>
            <w:vAlign w:val="bottom"/>
          </w:tcPr>
          <w:p>
            <w:pPr>
              <w:ind w:left="220"/>
              <w:spacing w:after="0"/>
              <w:rPr>
                <w:sz w:val="20"/>
                <w:szCs w:val="20"/>
                <w:color w:val="auto"/>
              </w:rPr>
            </w:pPr>
            <w:r>
              <w:rPr>
                <w:rFonts w:ascii="Arial" w:cs="Arial" w:eastAsia="Arial" w:hAnsi="Arial"/>
                <w:sz w:val="18"/>
                <w:szCs w:val="18"/>
                <w:color w:val="auto"/>
              </w:rPr>
              <w:t>Viatris Inc. shareholders’ equity</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7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1"/>
              </w:rPr>
              <w:t>Common stock: $0.01 par value, 3,000,000,000 shares authorized; shares issued and outstanding: 1,212,323,483</w:t>
            </w:r>
          </w:p>
        </w:tc>
        <w:tc>
          <w:tcPr>
            <w:tcW w:w="3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 1,209,507,463, respectively</w:t>
            </w:r>
          </w:p>
        </w:tc>
        <w:tc>
          <w:tcPr>
            <w:tcW w:w="3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46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18,555.1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18,536.1</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3,688.8</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(1,744.3)</w:t>
            </w:r>
          </w:p>
        </w:tc>
        <w:tc>
          <w:tcPr>
            <w:tcW w:w="0" w:type="dxa"/>
            <w:vAlign w:val="bottom"/>
          </w:tcPr>
          <w:p>
            <w:pPr>
              <w:spacing w:after="0"/>
              <w:rPr>
                <w:sz w:val="1"/>
                <w:szCs w:val="1"/>
                <w:color w:val="auto"/>
              </w:rPr>
            </w:pPr>
          </w:p>
        </w:tc>
      </w:tr>
      <w:tr>
        <w:trPr>
          <w:trHeight w:val="223"/>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20,447.7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20,492.7</w:t>
            </w:r>
          </w:p>
        </w:tc>
        <w:tc>
          <w:tcPr>
            <w:tcW w:w="0" w:type="dxa"/>
            <w:vAlign w:val="bottom"/>
          </w:tcPr>
          <w:p>
            <w:pPr>
              <w:spacing w:after="0"/>
              <w:rPr>
                <w:sz w:val="1"/>
                <w:szCs w:val="1"/>
                <w:color w:val="auto"/>
              </w:rPr>
            </w:pPr>
          </w:p>
        </w:tc>
      </w:tr>
      <w:tr>
        <w:trPr>
          <w:trHeight w:val="236"/>
        </w:trPr>
        <w:tc>
          <w:tcPr>
            <w:tcW w:w="8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53,466.9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54,842.8</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9" w:name="page10"/>
    <w:bookmarkEnd w:id="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millions, except share amounts)</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820" w:type="dxa"/>
            <w:vAlign w:val="bottom"/>
            <w:gridSpan w:val="4"/>
            <w:vMerge w:val="restart"/>
          </w:tcPr>
          <w:p>
            <w:pPr>
              <w:jc w:val="right"/>
              <w:ind w:right="352"/>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6"/>
            <w:vMerge w:val="restart"/>
          </w:tcPr>
          <w:p>
            <w:pPr>
              <w:ind w:left="32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gridSpan w:val="2"/>
            <w:vMerge w:val="restart"/>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4000" w:type="dxa"/>
            <w:vAlign w:val="bottom"/>
          </w:tcPr>
          <w:p>
            <w:pPr>
              <w:spacing w:after="0"/>
              <w:rPr>
                <w:sz w:val="8"/>
                <w:szCs w:val="8"/>
                <w:color w:val="auto"/>
              </w:rPr>
            </w:pPr>
          </w:p>
        </w:tc>
        <w:tc>
          <w:tcPr>
            <w:tcW w:w="182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900" w:type="dxa"/>
            <w:vAlign w:val="bottom"/>
            <w:gridSpan w:val="2"/>
          </w:tcPr>
          <w:p>
            <w:pPr>
              <w:jc w:val="center"/>
              <w:ind w:right="80"/>
              <w:spacing w:after="0" w:line="102" w:lineRule="exact"/>
              <w:rPr>
                <w:sz w:val="20"/>
                <w:szCs w:val="20"/>
                <w:color w:val="auto"/>
              </w:rPr>
            </w:pPr>
            <w:r>
              <w:rPr>
                <w:rFonts w:ascii="Arial" w:cs="Arial" w:eastAsia="Arial" w:hAnsi="Arial"/>
                <w:sz w:val="11"/>
                <w:szCs w:val="11"/>
                <w:b w:val="1"/>
                <w:bCs w:val="1"/>
                <w:color w:val="auto"/>
              </w:rPr>
              <w:t>Paid-In</w:t>
            </w:r>
          </w:p>
        </w:tc>
        <w:tc>
          <w:tcPr>
            <w:tcW w:w="840" w:type="dxa"/>
            <w:vAlign w:val="bottom"/>
            <w:gridSpan w:val="2"/>
          </w:tcPr>
          <w:p>
            <w:pPr>
              <w:ind w:left="100"/>
              <w:spacing w:after="0" w:line="102" w:lineRule="exact"/>
              <w:rPr>
                <w:sz w:val="20"/>
                <w:szCs w:val="20"/>
                <w:color w:val="auto"/>
              </w:rPr>
            </w:pPr>
            <w:r>
              <w:rPr>
                <w:rFonts w:ascii="Arial" w:cs="Arial" w:eastAsia="Arial" w:hAnsi="Arial"/>
                <w:sz w:val="11"/>
                <w:szCs w:val="11"/>
                <w:b w:val="1"/>
                <w:bCs w:val="1"/>
                <w:color w:val="auto"/>
              </w:rPr>
              <w:t>Retained</w:t>
            </w:r>
          </w:p>
        </w:tc>
        <w:tc>
          <w:tcPr>
            <w:tcW w:w="1560" w:type="dxa"/>
            <w:vAlign w:val="bottom"/>
            <w:tcBorders>
              <w:bottom w:val="single" w:sz="8" w:color="auto"/>
            </w:tcBorders>
            <w:gridSpan w:val="6"/>
            <w:vMerge w:val="continue"/>
          </w:tcPr>
          <w:p>
            <w:pPr>
              <w:spacing w:after="0"/>
              <w:rPr>
                <w:sz w:val="8"/>
                <w:szCs w:val="8"/>
                <w:color w:val="auto"/>
              </w:rPr>
            </w:pPr>
          </w:p>
        </w:tc>
        <w:tc>
          <w:tcPr>
            <w:tcW w:w="8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gridSpan w:val="4"/>
          </w:tcPr>
          <w:p>
            <w:pPr>
              <w:jc w:val="center"/>
              <w:ind w:right="100"/>
              <w:spacing w:after="0" w:line="102" w:lineRule="exact"/>
              <w:rPr>
                <w:sz w:val="20"/>
                <w:szCs w:val="20"/>
                <w:color w:val="auto"/>
              </w:rPr>
            </w:pPr>
            <w:r>
              <w:rPr>
                <w:rFonts w:ascii="Arial" w:cs="Arial" w:eastAsia="Arial" w:hAnsi="Arial"/>
                <w:sz w:val="11"/>
                <w:szCs w:val="11"/>
                <w:b w:val="1"/>
                <w:bCs w:val="1"/>
                <w:color w:val="auto"/>
              </w:rPr>
              <w:t>Comprehensive</w:t>
            </w:r>
          </w:p>
        </w:tc>
        <w:tc>
          <w:tcPr>
            <w:tcW w:w="20" w:type="dxa"/>
            <w:vAlign w:val="bottom"/>
          </w:tcPr>
          <w:p>
            <w:pPr>
              <w:spacing w:after="0"/>
              <w:rPr>
                <w:sz w:val="8"/>
                <w:szCs w:val="8"/>
                <w:color w:val="auto"/>
              </w:rPr>
            </w:pPr>
          </w:p>
        </w:tc>
        <w:tc>
          <w:tcPr>
            <w:tcW w:w="80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00"/>
        </w:trPr>
        <w:tc>
          <w:tcPr>
            <w:tcW w:w="4000" w:type="dxa"/>
            <w:vAlign w:val="bottom"/>
          </w:tcPr>
          <w:p>
            <w:pPr>
              <w:spacing w:after="0"/>
              <w:rPr>
                <w:sz w:val="17"/>
                <w:szCs w:val="17"/>
                <w:color w:val="auto"/>
              </w:rPr>
            </w:pPr>
          </w:p>
        </w:tc>
        <w:tc>
          <w:tcPr>
            <w:tcW w:w="120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940" w:type="dxa"/>
            <w:vAlign w:val="bottom"/>
            <w:gridSpan w:val="3"/>
          </w:tcPr>
          <w:p>
            <w:pPr>
              <w:ind w:left="22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2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6"/>
        </w:trPr>
        <w:tc>
          <w:tcPr>
            <w:tcW w:w="4000" w:type="dxa"/>
            <w:vAlign w:val="bottom"/>
          </w:tcPr>
          <w:p>
            <w:pPr>
              <w:spacing w:after="0"/>
              <w:rPr>
                <w:sz w:val="20"/>
                <w:szCs w:val="20"/>
                <w:color w:val="auto"/>
              </w:rPr>
            </w:pPr>
            <w:r>
              <w:rPr>
                <w:rFonts w:ascii="Arial" w:cs="Arial" w:eastAsia="Arial" w:hAnsi="Arial"/>
                <w:sz w:val="18"/>
                <w:szCs w:val="18"/>
                <w:color w:val="auto"/>
              </w:rPr>
              <w:t>Balance at December 31, 2021</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1,209,507,463</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$18,536.1</w:t>
            </w:r>
          </w:p>
        </w:tc>
        <w:tc>
          <w:tcPr>
            <w:tcW w:w="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$ 3,688.8</w:t>
            </w:r>
          </w:p>
        </w:tc>
        <w:tc>
          <w:tcPr>
            <w:tcW w:w="80" w:type="dxa"/>
            <w:vAlign w:val="bottom"/>
          </w:tcPr>
          <w:p>
            <w:pPr>
              <w:spacing w:after="0"/>
              <w:rPr>
                <w:sz w:val="19"/>
                <w:szCs w:val="19"/>
                <w:color w:val="auto"/>
              </w:rPr>
            </w:pPr>
          </w:p>
        </w:tc>
        <w:tc>
          <w:tcPr>
            <w:tcW w:w="86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(1,744.3)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Borders>
              <w:top w:val="single" w:sz="8" w:color="auto"/>
            </w:tcBorders>
            <w:gridSpan w:val="2"/>
          </w:tcPr>
          <w:p>
            <w:pPr>
              <w:jc w:val="right"/>
              <w:ind w:right="3"/>
              <w:spacing w:after="0"/>
              <w:rPr>
                <w:sz w:val="20"/>
                <w:szCs w:val="20"/>
                <w:color w:val="auto"/>
              </w:rPr>
            </w:pPr>
            <w:r>
              <w:rPr>
                <w:rFonts w:ascii="Arial" w:cs="Arial" w:eastAsia="Arial" w:hAnsi="Arial"/>
                <w:sz w:val="18"/>
                <w:szCs w:val="18"/>
                <w:color w:val="auto"/>
                <w:w w:val="89"/>
              </w:rPr>
              <w:t>$20,492.7</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earnings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399.2</w:t>
            </w:r>
          </w:p>
        </w:tc>
        <w:tc>
          <w:tcPr>
            <w:tcW w:w="0" w:type="dxa"/>
            <w:vAlign w:val="bottom"/>
          </w:tcPr>
          <w:p>
            <w:pPr>
              <w:spacing w:after="0"/>
              <w:rPr>
                <w:sz w:val="1"/>
                <w:szCs w:val="1"/>
                <w:color w:val="auto"/>
              </w:rPr>
            </w:pPr>
          </w:p>
        </w:tc>
      </w:tr>
      <w:tr>
        <w:trPr>
          <w:trHeight w:val="230"/>
        </w:trPr>
        <w:tc>
          <w:tcPr>
            <w:tcW w:w="4000" w:type="dxa"/>
            <w:vAlign w:val="bottom"/>
          </w:tcPr>
          <w:p>
            <w:pPr>
              <w:ind w:left="200"/>
              <w:spacing w:after="0"/>
              <w:rPr>
                <w:sz w:val="20"/>
                <w:szCs w:val="20"/>
                <w:color w:val="auto"/>
              </w:rPr>
            </w:pPr>
            <w:r>
              <w:rPr>
                <w:rFonts w:ascii="Arial" w:cs="Arial" w:eastAsia="Arial" w:hAnsi="Arial"/>
                <w:sz w:val="18"/>
                <w:szCs w:val="18"/>
                <w:color w:val="auto"/>
              </w:rPr>
              <w:t>Other comprehensive loss, net of tax</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(316.7)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(316.7)</w:t>
            </w: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Issuance of restricted stock and stock options</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2,816,020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3"/>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gridSpan w:val="3"/>
            <w:vMerge w:val="restart"/>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 net</w:t>
            </w: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94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00" w:type="dxa"/>
            <w:vAlign w:val="bottom"/>
          </w:tcPr>
          <w:p>
            <w:pPr>
              <w:ind w:left="200"/>
              <w:spacing w:after="0" w:line="176" w:lineRule="exact"/>
              <w:rPr>
                <w:sz w:val="20"/>
                <w:szCs w:val="20"/>
                <w:color w:val="auto"/>
              </w:rPr>
            </w:pPr>
            <w:r>
              <w:rPr>
                <w:rFonts w:ascii="Arial" w:cs="Arial" w:eastAsia="Arial" w:hAnsi="Arial"/>
                <w:sz w:val="18"/>
                <w:szCs w:val="18"/>
                <w:color w:val="auto"/>
                <w:w w:val="94"/>
              </w:rPr>
              <w:t>Taxes related to the net share settlement of equity</w:t>
            </w: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3"/>
            <w:vMerge w:val="restart"/>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3"/>
            <w:vMerge w:val="restart"/>
          </w:tcPr>
          <w:p>
            <w:pPr>
              <w:ind w:lef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9"/>
        </w:trPr>
        <w:tc>
          <w:tcPr>
            <w:tcW w:w="4000" w:type="dxa"/>
            <w:vAlign w:val="bottom"/>
          </w:tcPr>
          <w:p>
            <w:pPr>
              <w:ind w:left="200"/>
              <w:spacing w:after="0"/>
              <w:rPr>
                <w:sz w:val="20"/>
                <w:szCs w:val="20"/>
                <w:color w:val="auto"/>
              </w:rPr>
            </w:pPr>
            <w:r>
              <w:rPr>
                <w:rFonts w:ascii="Arial" w:cs="Arial" w:eastAsia="Arial" w:hAnsi="Arial"/>
                <w:sz w:val="18"/>
                <w:szCs w:val="18"/>
                <w:color w:val="auto"/>
              </w:rPr>
              <w:t>awards</w:t>
            </w:r>
          </w:p>
        </w:tc>
        <w:tc>
          <w:tcPr>
            <w:tcW w:w="12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94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Share-based compensation expense</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29"/>
        </w:trPr>
        <w:tc>
          <w:tcPr>
            <w:tcW w:w="4000" w:type="dxa"/>
            <w:vAlign w:val="bottom"/>
          </w:tcPr>
          <w:p>
            <w:pPr>
              <w:ind w:left="200"/>
              <w:spacing w:after="0"/>
              <w:rPr>
                <w:sz w:val="20"/>
                <w:szCs w:val="20"/>
                <w:color w:val="auto"/>
              </w:rPr>
            </w:pPr>
            <w:r>
              <w:rPr>
                <w:rFonts w:ascii="Arial" w:cs="Arial" w:eastAsia="Arial" w:hAnsi="Arial"/>
                <w:sz w:val="18"/>
                <w:szCs w:val="18"/>
                <w:color w:val="auto"/>
                <w:w w:val="92"/>
              </w:rPr>
              <w:t>Cash dividends declared, $0.12 per common share</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(146.5)</w:t>
            </w:r>
          </w:p>
        </w:tc>
        <w:tc>
          <w:tcPr>
            <w:tcW w:w="80" w:type="dxa"/>
            <w:vAlign w:val="bottom"/>
          </w:tcPr>
          <w:p>
            <w:pPr>
              <w:spacing w:after="0"/>
              <w:rPr>
                <w:sz w:val="19"/>
                <w:szCs w:val="19"/>
                <w:color w:val="auto"/>
              </w:rPr>
            </w:pPr>
          </w:p>
        </w:tc>
        <w:tc>
          <w:tcPr>
            <w:tcW w:w="94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48"/>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1,212,323,483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r>
              <w:rPr>
                <w:rFonts w:ascii="Arial" w:cs="Arial" w:eastAsia="Arial" w:hAnsi="Arial"/>
                <w:sz w:val="18"/>
                <w:szCs w:val="18"/>
                <w:u w:val="single" w:color="auto"/>
                <w:color w:val="auto"/>
              </w:rPr>
              <w:t>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18,555.1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$ 3,941.5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(2,061.0)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gridSpan w:val="2"/>
            <w:shd w:val="clear" w:color="auto" w:fill="CCEEFF"/>
          </w:tcPr>
          <w:p>
            <w:pPr>
              <w:jc w:val="right"/>
              <w:ind w:right="3"/>
              <w:spacing w:after="0"/>
              <w:rPr>
                <w:sz w:val="20"/>
                <w:szCs w:val="20"/>
                <w:color w:val="auto"/>
              </w:rPr>
            </w:pPr>
            <w:r>
              <w:rPr>
                <w:rFonts w:ascii="Arial" w:cs="Arial" w:eastAsia="Arial" w:hAnsi="Arial"/>
                <w:sz w:val="18"/>
                <w:szCs w:val="18"/>
                <w:color w:val="auto"/>
                <w:w w:val="89"/>
              </w:rPr>
              <w:t>$20,447.7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4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820" w:type="dxa"/>
            <w:vAlign w:val="bottom"/>
            <w:gridSpan w:val="4"/>
            <w:vMerge w:val="restart"/>
          </w:tcPr>
          <w:p>
            <w:pPr>
              <w:jc w:val="right"/>
              <w:ind w:right="352"/>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7"/>
            <w:vMerge w:val="restart"/>
          </w:tcPr>
          <w:p>
            <w:pPr>
              <w:ind w:left="320"/>
              <w:spacing w:after="0"/>
              <w:rPr>
                <w:sz w:val="20"/>
                <w:szCs w:val="20"/>
                <w:color w:val="auto"/>
              </w:rPr>
            </w:pPr>
            <w:r>
              <w:rPr>
                <w:rFonts w:ascii="Arial" w:cs="Arial" w:eastAsia="Arial" w:hAnsi="Arial"/>
                <w:sz w:val="14"/>
                <w:szCs w:val="14"/>
                <w:b w:val="1"/>
                <w:bCs w:val="1"/>
                <w:color w:val="auto"/>
              </w:rPr>
              <w:t>Treasury Stock</w:t>
            </w:r>
          </w:p>
        </w:tc>
        <w:tc>
          <w:tcPr>
            <w:tcW w:w="6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4000" w:type="dxa"/>
            <w:vAlign w:val="bottom"/>
          </w:tcPr>
          <w:p>
            <w:pPr>
              <w:spacing w:after="0"/>
              <w:rPr>
                <w:sz w:val="8"/>
                <w:szCs w:val="8"/>
                <w:color w:val="auto"/>
              </w:rPr>
            </w:pPr>
          </w:p>
        </w:tc>
        <w:tc>
          <w:tcPr>
            <w:tcW w:w="182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900" w:type="dxa"/>
            <w:vAlign w:val="bottom"/>
            <w:gridSpan w:val="2"/>
          </w:tcPr>
          <w:p>
            <w:pPr>
              <w:jc w:val="center"/>
              <w:ind w:right="80"/>
              <w:spacing w:after="0" w:line="102" w:lineRule="exact"/>
              <w:rPr>
                <w:sz w:val="20"/>
                <w:szCs w:val="20"/>
                <w:color w:val="auto"/>
              </w:rPr>
            </w:pPr>
            <w:r>
              <w:rPr>
                <w:rFonts w:ascii="Arial" w:cs="Arial" w:eastAsia="Arial" w:hAnsi="Arial"/>
                <w:sz w:val="11"/>
                <w:szCs w:val="11"/>
                <w:b w:val="1"/>
                <w:bCs w:val="1"/>
                <w:color w:val="auto"/>
              </w:rPr>
              <w:t>Paid-In</w:t>
            </w:r>
          </w:p>
        </w:tc>
        <w:tc>
          <w:tcPr>
            <w:tcW w:w="840" w:type="dxa"/>
            <w:vAlign w:val="bottom"/>
            <w:gridSpan w:val="2"/>
          </w:tcPr>
          <w:p>
            <w:pPr>
              <w:ind w:left="100"/>
              <w:spacing w:after="0" w:line="102" w:lineRule="exact"/>
              <w:rPr>
                <w:sz w:val="20"/>
                <w:szCs w:val="20"/>
                <w:color w:val="auto"/>
              </w:rPr>
            </w:pPr>
            <w:r>
              <w:rPr>
                <w:rFonts w:ascii="Arial" w:cs="Arial" w:eastAsia="Arial" w:hAnsi="Arial"/>
                <w:sz w:val="11"/>
                <w:szCs w:val="11"/>
                <w:b w:val="1"/>
                <w:bCs w:val="1"/>
                <w:color w:val="auto"/>
              </w:rPr>
              <w:t>Retained</w:t>
            </w:r>
          </w:p>
        </w:tc>
        <w:tc>
          <w:tcPr>
            <w:tcW w:w="1580" w:type="dxa"/>
            <w:vAlign w:val="bottom"/>
            <w:tcBorders>
              <w:bottom w:val="single" w:sz="8" w:color="auto"/>
            </w:tcBorders>
            <w:gridSpan w:val="7"/>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gridSpan w:val="4"/>
          </w:tcPr>
          <w:p>
            <w:pPr>
              <w:jc w:val="center"/>
              <w:ind w:right="80"/>
              <w:spacing w:after="0" w:line="102" w:lineRule="exact"/>
              <w:rPr>
                <w:sz w:val="20"/>
                <w:szCs w:val="20"/>
                <w:color w:val="auto"/>
              </w:rPr>
            </w:pPr>
            <w:r>
              <w:rPr>
                <w:rFonts w:ascii="Arial" w:cs="Arial" w:eastAsia="Arial" w:hAnsi="Arial"/>
                <w:sz w:val="11"/>
                <w:szCs w:val="11"/>
                <w:b w:val="1"/>
                <w:bCs w:val="1"/>
                <w:color w:val="auto"/>
              </w:rPr>
              <w:t>Comprehensive</w:t>
            </w:r>
          </w:p>
        </w:tc>
        <w:tc>
          <w:tcPr>
            <w:tcW w:w="20" w:type="dxa"/>
            <w:vAlign w:val="bottom"/>
          </w:tcPr>
          <w:p>
            <w:pPr>
              <w:spacing w:after="0"/>
              <w:rPr>
                <w:sz w:val="8"/>
                <w:szCs w:val="8"/>
                <w:color w:val="auto"/>
              </w:rPr>
            </w:pPr>
          </w:p>
        </w:tc>
        <w:tc>
          <w:tcPr>
            <w:tcW w:w="80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99"/>
        </w:trPr>
        <w:tc>
          <w:tcPr>
            <w:tcW w:w="4000" w:type="dxa"/>
            <w:vAlign w:val="bottom"/>
          </w:tcPr>
          <w:p>
            <w:pPr>
              <w:spacing w:after="0"/>
              <w:rPr>
                <w:sz w:val="17"/>
                <w:szCs w:val="17"/>
                <w:color w:val="auto"/>
              </w:rPr>
            </w:pPr>
          </w:p>
        </w:tc>
        <w:tc>
          <w:tcPr>
            <w:tcW w:w="120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940" w:type="dxa"/>
            <w:vAlign w:val="bottom"/>
            <w:gridSpan w:val="3"/>
          </w:tcPr>
          <w:p>
            <w:pPr>
              <w:ind w:left="22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3"/>
          </w:tcPr>
          <w:p>
            <w:pPr>
              <w:ind w:left="40"/>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2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6"/>
        </w:trPr>
        <w:tc>
          <w:tcPr>
            <w:tcW w:w="400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1,206,895,644</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$18,438.8</w:t>
            </w:r>
          </w:p>
        </w:tc>
        <w:tc>
          <w:tcPr>
            <w:tcW w:w="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$ 5,361.2</w:t>
            </w:r>
          </w:p>
        </w:tc>
        <w:tc>
          <w:tcPr>
            <w:tcW w:w="80" w:type="dxa"/>
            <w:vAlign w:val="bottom"/>
          </w:tcPr>
          <w:p>
            <w:pPr>
              <w:spacing w:after="0"/>
              <w:rPr>
                <w:sz w:val="19"/>
                <w:szCs w:val="19"/>
                <w:color w:val="auto"/>
              </w:rPr>
            </w:pPr>
          </w:p>
        </w:tc>
        <w:tc>
          <w:tcPr>
            <w:tcW w:w="880" w:type="dxa"/>
            <w:vAlign w:val="bottom"/>
            <w:tcBorders>
              <w:top w:val="single" w:sz="8" w:color="auto"/>
            </w:tcBorders>
            <w:gridSpan w:val="2"/>
          </w:tcPr>
          <w:p>
            <w:pPr>
              <w:ind w:left="6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jc w:val="right"/>
              <w:ind w:right="27"/>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(858.0)</w:t>
            </w:r>
          </w:p>
        </w:tc>
        <w:tc>
          <w:tcPr>
            <w:tcW w:w="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top w:val="single" w:sz="8" w:color="auto"/>
            </w:tcBorders>
          </w:tcPr>
          <w:p>
            <w:pPr>
              <w:jc w:val="right"/>
              <w:ind w:right="3"/>
              <w:spacing w:after="0"/>
              <w:rPr>
                <w:sz w:val="20"/>
                <w:szCs w:val="20"/>
                <w:color w:val="auto"/>
              </w:rPr>
            </w:pPr>
            <w:r>
              <w:rPr>
                <w:rFonts w:ascii="Arial" w:cs="Arial" w:eastAsia="Arial" w:hAnsi="Arial"/>
                <w:sz w:val="18"/>
                <w:szCs w:val="18"/>
                <w:color w:val="auto"/>
                <w:w w:val="87"/>
              </w:rPr>
              <w:t>$22,954.1</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(1,037.6)</w:t>
            </w:r>
          </w:p>
        </w:tc>
        <w:tc>
          <w:tcPr>
            <w:tcW w:w="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(1,037.6)</w:t>
            </w:r>
          </w:p>
        </w:tc>
        <w:tc>
          <w:tcPr>
            <w:tcW w:w="0" w:type="dxa"/>
            <w:vAlign w:val="bottom"/>
          </w:tcPr>
          <w:p>
            <w:pPr>
              <w:spacing w:after="0"/>
              <w:rPr>
                <w:sz w:val="1"/>
                <w:szCs w:val="1"/>
                <w:color w:val="auto"/>
              </w:rPr>
            </w:pPr>
          </w:p>
        </w:tc>
      </w:tr>
      <w:tr>
        <w:trPr>
          <w:trHeight w:val="230"/>
        </w:trPr>
        <w:tc>
          <w:tcPr>
            <w:tcW w:w="4000" w:type="dxa"/>
            <w:vAlign w:val="bottom"/>
          </w:tcPr>
          <w:p>
            <w:pPr>
              <w:ind w:left="200"/>
              <w:spacing w:after="0"/>
              <w:rPr>
                <w:sz w:val="20"/>
                <w:szCs w:val="20"/>
                <w:color w:val="auto"/>
              </w:rPr>
            </w:pPr>
            <w:r>
              <w:rPr>
                <w:rFonts w:ascii="Arial" w:cs="Arial" w:eastAsia="Arial" w:hAnsi="Arial"/>
                <w:sz w:val="18"/>
                <w:szCs w:val="18"/>
                <w:color w:val="auto"/>
              </w:rPr>
              <w:t>Other comprehensive loss, net of tax</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(527.6)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(527.6)</w:t>
            </w: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Issuance of restricted stock and stock options</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1,635,326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3"/>
            <w:vMerge w:val="restart"/>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gridSpan w:val="3"/>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gridSpan w:val="3"/>
            <w:vMerge w:val="restart"/>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 net</w:t>
            </w: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94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00" w:type="dxa"/>
            <w:vAlign w:val="bottom"/>
          </w:tcPr>
          <w:p>
            <w:pPr>
              <w:ind w:left="200"/>
              <w:spacing w:after="0" w:line="176" w:lineRule="exact"/>
              <w:rPr>
                <w:sz w:val="20"/>
                <w:szCs w:val="20"/>
                <w:color w:val="auto"/>
              </w:rPr>
            </w:pPr>
            <w:r>
              <w:rPr>
                <w:rFonts w:ascii="Arial" w:cs="Arial" w:eastAsia="Arial" w:hAnsi="Arial"/>
                <w:sz w:val="18"/>
                <w:szCs w:val="18"/>
                <w:color w:val="auto"/>
                <w:w w:val="94"/>
              </w:rPr>
              <w:t>Taxes related to the net share settlement of equity</w:t>
            </w: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3"/>
            <w:vMerge w:val="restart"/>
          </w:tcPr>
          <w:p>
            <w:pPr>
              <w:ind w:lef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3"/>
            <w:vMerge w:val="restart"/>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3"/>
            <w:vMerge w:val="restart"/>
          </w:tcPr>
          <w:p>
            <w:pPr>
              <w:ind w:left="54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4000" w:type="dxa"/>
            <w:vAlign w:val="bottom"/>
          </w:tcPr>
          <w:p>
            <w:pPr>
              <w:ind w:left="200"/>
              <w:spacing w:after="0"/>
              <w:rPr>
                <w:sz w:val="20"/>
                <w:szCs w:val="20"/>
                <w:color w:val="auto"/>
              </w:rPr>
            </w:pPr>
            <w:r>
              <w:rPr>
                <w:rFonts w:ascii="Arial" w:cs="Arial" w:eastAsia="Arial" w:hAnsi="Arial"/>
                <w:sz w:val="18"/>
                <w:szCs w:val="18"/>
                <w:color w:val="auto"/>
              </w:rPr>
              <w:t>awards</w:t>
            </w:r>
          </w:p>
        </w:tc>
        <w:tc>
          <w:tcPr>
            <w:tcW w:w="12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94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Share-based compensation expense</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Balance at March 31, 2021</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1,208,530,970</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18,464.6</w:t>
            </w:r>
          </w:p>
        </w:tc>
        <w:tc>
          <w:tcPr>
            <w:tcW w:w="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$ 4,323.6</w:t>
            </w:r>
          </w:p>
        </w:tc>
        <w:tc>
          <w:tcPr>
            <w:tcW w:w="8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ind w:left="6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(1,385.6)</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8"/>
                <w:szCs w:val="18"/>
                <w:color w:val="auto"/>
                <w:w w:val="87"/>
              </w:rPr>
              <w:t>$21,414.7</w:t>
            </w: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millions)</w:t>
      </w:r>
    </w:p>
    <w:p>
      <w:pPr>
        <w:spacing w:after="0" w:line="121"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Three Months Ended</w:t>
      </w:r>
    </w:p>
    <w:p>
      <w:pPr>
        <w:spacing w:after="0" w:line="28"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23495</wp:posOffset>
            </wp:positionV>
            <wp:extent cx="159448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r>
      <w:tr>
        <w:trPr>
          <w:trHeight w:val="215"/>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8700" w:type="dxa"/>
            <w:vAlign w:val="bottom"/>
          </w:tcPr>
          <w:p>
            <w:pPr>
              <w:ind w:left="220"/>
              <w:spacing w:after="0"/>
              <w:rPr>
                <w:sz w:val="20"/>
                <w:szCs w:val="20"/>
                <w:color w:val="auto"/>
              </w:rPr>
            </w:pPr>
            <w:r>
              <w:rPr>
                <w:rFonts w:ascii="Arial" w:cs="Arial" w:eastAsia="Arial" w:hAnsi="Arial"/>
                <w:sz w:val="18"/>
                <w:szCs w:val="18"/>
                <w:color w:val="auto"/>
              </w:rPr>
              <w:t>Net earnings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399.2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(1,037.6)</w:t>
            </w: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earnings (loss) to net cash provided by operating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70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1,422.5</w:t>
            </w:r>
          </w:p>
        </w:tc>
      </w:tr>
      <w:tr>
        <w:trPr>
          <w:trHeight w:val="229"/>
        </w:trPr>
        <w:tc>
          <w:tcPr>
            <w:tcW w:w="8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Share-based compensation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r>
      <w:tr>
        <w:trPr>
          <w:trHeight w:val="230"/>
        </w:trPr>
        <w:tc>
          <w:tcPr>
            <w:tcW w:w="8700" w:type="dxa"/>
            <w:vAlign w:val="bottom"/>
          </w:tcPr>
          <w:p>
            <w:pPr>
              <w:ind w:left="480"/>
              <w:spacing w:after="0"/>
              <w:rPr>
                <w:sz w:val="20"/>
                <w:szCs w:val="20"/>
                <w:color w:val="auto"/>
              </w:rPr>
            </w:pPr>
            <w:r>
              <w:rPr>
                <w:rFonts w:ascii="Arial" w:cs="Arial" w:eastAsia="Arial" w:hAnsi="Arial"/>
                <w:sz w:val="18"/>
                <w:szCs w:val="18"/>
                <w:color w:val="auto"/>
              </w:rPr>
              <w:t>Deferred income tax (benefit) expense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288.4</w:t>
            </w:r>
          </w:p>
        </w:tc>
      </w:tr>
      <w:tr>
        <w:trPr>
          <w:trHeight w:val="229"/>
        </w:trPr>
        <w:tc>
          <w:tcPr>
            <w:tcW w:w="8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Loss from equity method investments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30"/>
        </w:trPr>
        <w:tc>
          <w:tcPr>
            <w:tcW w:w="8700" w:type="dxa"/>
            <w:vAlign w:val="bottom"/>
          </w:tcPr>
          <w:p>
            <w:pPr>
              <w:ind w:left="480"/>
              <w:spacing w:after="0"/>
              <w:rPr>
                <w:sz w:val="20"/>
                <w:szCs w:val="20"/>
                <w:color w:val="auto"/>
              </w:rPr>
            </w:pPr>
            <w:r>
              <w:rPr>
                <w:rFonts w:ascii="Arial" w:cs="Arial" w:eastAsia="Arial" w:hAnsi="Arial"/>
                <w:sz w:val="18"/>
                <w:szCs w:val="18"/>
                <w:color w:val="auto"/>
              </w:rPr>
              <w:t>Other non-cash items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29"/>
        </w:trPr>
        <w:tc>
          <w:tcPr>
            <w:tcW w:w="8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Litigation settlements and other contingencies,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29"/>
        </w:trPr>
        <w:tc>
          <w:tcPr>
            <w:tcW w:w="8700" w:type="dxa"/>
            <w:vAlign w:val="bottom"/>
          </w:tcPr>
          <w:p>
            <w:pPr>
              <w:ind w:left="48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7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r>
      <w:tr>
        <w:trPr>
          <w:trHeight w:val="229"/>
        </w:trPr>
        <w:tc>
          <w:tcPr>
            <w:tcW w:w="8700" w:type="dxa"/>
            <w:vAlign w:val="bottom"/>
          </w:tcPr>
          <w:p>
            <w:pPr>
              <w:ind w:left="68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(203.4)</w:t>
            </w:r>
          </w:p>
        </w:tc>
      </w:tr>
      <w:tr>
        <w:trPr>
          <w:trHeight w:val="229"/>
        </w:trPr>
        <w:tc>
          <w:tcPr>
            <w:tcW w:w="87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w:t>
            </w:r>
          </w:p>
        </w:tc>
      </w:tr>
      <w:tr>
        <w:trPr>
          <w:trHeight w:val="230"/>
        </w:trPr>
        <w:tc>
          <w:tcPr>
            <w:tcW w:w="8700" w:type="dxa"/>
            <w:vAlign w:val="bottom"/>
          </w:tcPr>
          <w:p>
            <w:pPr>
              <w:ind w:left="680"/>
              <w:spacing w:after="0"/>
              <w:rPr>
                <w:sz w:val="20"/>
                <w:szCs w:val="20"/>
                <w:color w:val="auto"/>
              </w:rPr>
            </w:pPr>
            <w:r>
              <w:rPr>
                <w:rFonts w:ascii="Arial" w:cs="Arial" w:eastAsia="Arial" w:hAnsi="Arial"/>
                <w:sz w:val="18"/>
                <w:szCs w:val="18"/>
                <w:color w:val="auto"/>
              </w:rPr>
              <w:t>Income taxes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494.6</w:t>
            </w:r>
          </w:p>
        </w:tc>
      </w:tr>
      <w:tr>
        <w:trPr>
          <w:trHeight w:val="229"/>
        </w:trPr>
        <w:tc>
          <w:tcPr>
            <w:tcW w:w="87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operating assets and liabilities,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(354.6)</w:t>
            </w:r>
          </w:p>
        </w:tc>
      </w:tr>
      <w:tr>
        <w:trPr>
          <w:trHeight w:val="223"/>
        </w:trPr>
        <w:tc>
          <w:tcPr>
            <w:tcW w:w="87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848.8</w:t>
            </w:r>
          </w:p>
        </w:tc>
      </w:tr>
      <w:tr>
        <w:trPr>
          <w:trHeight w:val="20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Cash received from acquisitions</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277.0</w:t>
            </w:r>
          </w:p>
        </w:tc>
      </w:tr>
      <w:tr>
        <w:trPr>
          <w:trHeight w:val="22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Purchase of marketable securities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2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the sale of marketable securities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Payments for product rights and other,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the sale of assets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23"/>
        </w:trPr>
        <w:tc>
          <w:tcPr>
            <w:tcW w:w="87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cash (used in) provided by investing activities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w:t>
            </w:r>
          </w:p>
        </w:tc>
      </w:tr>
      <w:tr>
        <w:trPr>
          <w:trHeight w:val="21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of long-term debt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Change in short-term borrowings,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(1,063.9)</w:t>
            </w: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Taxes paid related to net share settlement of equity awards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Contingent consideration payments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2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of financing fees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Cash dividends paid</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items,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87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(1,099.8)</w:t>
            </w:r>
          </w:p>
        </w:tc>
      </w:tr>
      <w:tr>
        <w:trPr>
          <w:trHeight w:val="223"/>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on cash of changes in exchange rates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23"/>
        </w:trPr>
        <w:tc>
          <w:tcPr>
            <w:tcW w:w="870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w:t>
            </w:r>
          </w:p>
        </w:tc>
      </w:tr>
      <w:tr>
        <w:trPr>
          <w:trHeight w:val="223"/>
        </w:trPr>
        <w:tc>
          <w:tcPr>
            <w:tcW w:w="87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 end of period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813.1</w:t>
            </w:r>
          </w:p>
        </w:tc>
      </w:tr>
      <w:tr>
        <w:trPr>
          <w:trHeight w:val="20"/>
        </w:trPr>
        <w:tc>
          <w:tcPr>
            <w:tcW w:w="8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40" w:firstLine="648"/>
        <w:spacing w:after="0" w:line="275" w:lineRule="auto"/>
        <w:rPr>
          <w:sz w:val="20"/>
          <w:szCs w:val="20"/>
          <w:color w:val="auto"/>
        </w:rPr>
      </w:pPr>
      <w:r>
        <w:rPr>
          <w:rFonts w:ascii="Arial" w:cs="Arial" w:eastAsia="Arial" w:hAnsi="Arial"/>
          <w:sz w:val="17"/>
          <w:szCs w:val="17"/>
          <w:color w:val="auto"/>
        </w:rPr>
        <w:t>The accompanying unaudited condensed consolidated financial statements (“interim financial statements”) of Viatris Inc. and subsidiaries were prepared in accordance with U.S. GAAP and the rules and regulations of the SEC for reporting on Form 10-Q; therefore, as permitted under these rules, certain footnotes and other financial information included in audited financial statements were condensed or omitted. The interim financial statements contain all adjustments (consisting of only normal recurring adjustments) necessary to present fairly the interim results of operations, comprehensive earnings, financial position, equity and cash flows for the periods presented.</w:t>
      </w:r>
    </w:p>
    <w:p>
      <w:pPr>
        <w:spacing w:after="0" w:line="176"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These interim financial statements should be read in conjunction with the consolidated financial statements and notes thereto in Viatris’ 2021 Form 10-K. The December 31, 2021 condensed consolidated balance sheet was derived from audited financial statements.</w:t>
      </w:r>
    </w:p>
    <w:p>
      <w:pPr>
        <w:spacing w:after="0" w:line="14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 xml:space="preserve">Turkey Highly Inflationary </w:t>
      </w:r>
      <w:r>
        <w:rPr>
          <w:rFonts w:ascii="Arial" w:cs="Arial" w:eastAsia="Arial" w:hAnsi="Arial"/>
          <w:sz w:val="18"/>
          <w:szCs w:val="18"/>
          <w:color w:val="auto"/>
        </w:rPr>
        <w:t>- Under ASC 830,</w:t>
      </w:r>
      <w:r>
        <w:rPr>
          <w:rFonts w:ascii="Arial" w:cs="Arial" w:eastAsia="Arial" w:hAnsi="Arial"/>
          <w:sz w:val="18"/>
          <w:szCs w:val="18"/>
          <w:i w:val="1"/>
          <w:iCs w:val="1"/>
          <w:color w:val="auto"/>
        </w:rPr>
        <w:t xml:space="preserve"> Foreign Currency Matters </w:t>
      </w:r>
      <w:r>
        <w:rPr>
          <w:rFonts w:ascii="Arial" w:cs="Arial" w:eastAsia="Arial" w:hAnsi="Arial"/>
          <w:sz w:val="18"/>
          <w:szCs w:val="18"/>
          <w:color w:val="auto"/>
        </w:rPr>
        <w:t>(“ASC 830”), a highly inflationary economy is one that has cumulative</w:t>
      </w:r>
      <w:r>
        <w:rPr>
          <w:rFonts w:ascii="Arial" w:cs="Arial" w:eastAsia="Arial" w:hAnsi="Arial"/>
          <w:sz w:val="18"/>
          <w:szCs w:val="18"/>
          <w:i w:val="1"/>
          <w:iCs w:val="1"/>
          <w:color w:val="auto"/>
        </w:rPr>
        <w:t xml:space="preserve"> </w:t>
      </w:r>
      <w:r>
        <w:rPr>
          <w:rFonts w:ascii="Arial" w:cs="Arial" w:eastAsia="Arial" w:hAnsi="Arial"/>
          <w:sz w:val="18"/>
          <w:szCs w:val="18"/>
          <w:color w:val="auto"/>
        </w:rPr>
        <w:t>inflation of approximately 100% or more over a three-year period. Effective April 1, 2022, we classified Turkey as highly inflationary. In accordance with ASC 830, starting with the second quarter of 2022, we will begin to use the U.S. dollar as our functional currency in Turkey, which historically utilized the Turkish lira as the functional currency. The impacted net sales for the three months ended March 31, 2022 and total assets at March 31, 2022 represented less than 1% of our consolidated net sales and total assets, respectively.</w:t>
      </w:r>
    </w:p>
    <w:p>
      <w:pPr>
        <w:spacing w:after="0" w:line="188"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interim results of operations, comprehensive earnings and cash flows for the three months ended March 31, 2022 are not necessarily indicative of the results to be expected for the full fiscal year or any other future period.</w:t>
      </w:r>
    </w:p>
    <w:p>
      <w:pPr>
        <w:spacing w:after="0" w:line="166"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and Accounts Receivable</w:t>
      </w:r>
    </w:p>
    <w:p>
      <w:pPr>
        <w:spacing w:after="0" w:line="229"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 xml:space="preserve">The Company recognizes revenues in accordance with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Under ASC 606, the Company recognizes net revenue for product sales when control of the promised goods or services is transferred to our customers in an amount that reflects the consideration we expect to be entitled to in exchange for those goods or services. Revenues are recorded net of provisions for variable consideration, including discounts, rebates, governmental rebate programs, price adjustments, returns, chargebacks, promotional programs and other sales allowances. Accruals for these provisions are presented in the condensed consolidated financial statements as reductions in determining net sales and as a contra asset in accounts receivable, net (if settled via credit) and other current liabilities (if paid in cash).</w:t>
      </w:r>
    </w:p>
    <w:p>
      <w:pPr>
        <w:spacing w:after="0" w:line="164"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Our net sales may be impacted by wholesaler and distributor inventory levels of our products, which can fluctuate throughout the year due to the seasonality of certain products, pricing, the timing of product demand, purchasing decisions and other factors. Such fluctuations may impact the comparability of our net sales between periods.</w:t>
      </w:r>
    </w:p>
    <w:p>
      <w:pPr>
        <w:spacing w:after="0" w:line="184"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Consideration received from licenses of intellectual property is recorded as other revenues. Royalty or profit share amounts, which are based on sales of licensed products or technology, are recorded when the customer’s subsequent sales or usages occur. Such consideration is included in other revenues in the condensed consolidated statements of operations.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Company’s net sales by product category for each of our reportable segments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2022 and 2021, respectively:</w:t>
      </w:r>
    </w:p>
    <w:p>
      <w:pPr>
        <w:spacing w:after="0" w:line="200" w:lineRule="exact"/>
        <w:rPr>
          <w:sz w:val="20"/>
          <w:szCs w:val="20"/>
          <w:color w:val="auto"/>
        </w:rPr>
      </w:pP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2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center"/>
              <w:ind w:left="456"/>
              <w:spacing w:after="0"/>
              <w:rPr>
                <w:sz w:val="20"/>
                <w:szCs w:val="20"/>
                <w:color w:val="auto"/>
              </w:rPr>
            </w:pPr>
            <w:r>
              <w:rPr>
                <w:rFonts w:ascii="Arial" w:cs="Arial" w:eastAsia="Arial" w:hAnsi="Arial"/>
                <w:sz w:val="14"/>
                <w:szCs w:val="14"/>
                <w:b w:val="1"/>
                <w:bCs w:val="1"/>
                <w:color w:val="auto"/>
                <w:w w:val="95"/>
              </w:rPr>
              <w:t>Three Months Ended March 31, 2022</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Product Category</w:t>
            </w: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Developed Markets</w:t>
            </w:r>
          </w:p>
        </w:tc>
        <w:tc>
          <w:tcPr>
            <w:tcW w:w="14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Greater China</w:t>
            </w:r>
          </w:p>
        </w:tc>
        <w:tc>
          <w:tcPr>
            <w:tcW w:w="280" w:type="dxa"/>
            <w:vAlign w:val="bottom"/>
          </w:tcPr>
          <w:p>
            <w:pPr>
              <w:spacing w:after="0"/>
              <w:rPr>
                <w:sz w:val="16"/>
                <w:szCs w:val="16"/>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JANZ</w:t>
            </w: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rPr>
              <w:t>Emerging Markets</w:t>
            </w:r>
          </w:p>
        </w:tc>
        <w:tc>
          <w:tcPr>
            <w:tcW w:w="30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Total</w:t>
            </w:r>
          </w:p>
        </w:tc>
      </w:tr>
      <w:tr>
        <w:trPr>
          <w:trHeight w:val="224"/>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Brands</w:t>
            </w: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2,554.1</w:t>
            </w: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Complex Gx and Biosimilars</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390.8</w:t>
            </w: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Generics</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1,233.3</w:t>
            </w: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423.8</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4,178.2</w:t>
            </w:r>
          </w:p>
        </w:tc>
      </w:tr>
      <w:tr>
        <w:trPr>
          <w:trHeight w:val="20"/>
        </w:trPr>
        <w:tc>
          <w:tcPr>
            <w:tcW w:w="4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2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center"/>
              <w:ind w:left="456"/>
              <w:spacing w:after="0"/>
              <w:rPr>
                <w:sz w:val="20"/>
                <w:szCs w:val="20"/>
                <w:color w:val="auto"/>
              </w:rPr>
            </w:pPr>
            <w:r>
              <w:rPr>
                <w:rFonts w:ascii="Arial" w:cs="Arial" w:eastAsia="Arial" w:hAnsi="Arial"/>
                <w:sz w:val="14"/>
                <w:szCs w:val="14"/>
                <w:b w:val="1"/>
                <w:bCs w:val="1"/>
                <w:color w:val="auto"/>
                <w:w w:val="95"/>
              </w:rPr>
              <w:t>Three Months Ended March 31, 2021</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Product Category</w:t>
            </w: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Developed Markets</w:t>
            </w:r>
          </w:p>
        </w:tc>
        <w:tc>
          <w:tcPr>
            <w:tcW w:w="14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Greater China</w:t>
            </w:r>
          </w:p>
        </w:tc>
        <w:tc>
          <w:tcPr>
            <w:tcW w:w="280" w:type="dxa"/>
            <w:vAlign w:val="bottom"/>
          </w:tcPr>
          <w:p>
            <w:pPr>
              <w:spacing w:after="0"/>
              <w:rPr>
                <w:sz w:val="16"/>
                <w:szCs w:val="16"/>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JANZ</w:t>
            </w: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rPr>
              <w:t>Emerging Markets</w:t>
            </w:r>
          </w:p>
        </w:tc>
        <w:tc>
          <w:tcPr>
            <w:tcW w:w="30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Total</w:t>
            </w:r>
          </w:p>
        </w:tc>
      </w:tr>
      <w:tr>
        <w:trPr>
          <w:trHeight w:val="224"/>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Brands</w:t>
            </w: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2,724.6</w:t>
            </w: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Complex Gx and Biosimilars</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328.9</w:t>
            </w: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Generics</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1,346.6</w:t>
            </w: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2,571.6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481.9</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4,400.1</w:t>
            </w:r>
          </w:p>
        </w:tc>
      </w:tr>
      <w:tr>
        <w:trPr>
          <w:trHeight w:val="21"/>
        </w:trPr>
        <w:tc>
          <w:tcPr>
            <w:tcW w:w="4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net sales on a consolidated basis for select key products for the three months ended March 31, 2022 and 2021:</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8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 March 31,</w:t>
            </w:r>
          </w:p>
        </w:tc>
      </w:tr>
      <w:tr>
        <w:trPr>
          <w:trHeight w:val="195"/>
        </w:trPr>
        <w:tc>
          <w:tcPr>
            <w:tcW w:w="79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r>
      <w:tr>
        <w:trPr>
          <w:trHeight w:val="216"/>
        </w:trPr>
        <w:tc>
          <w:tcPr>
            <w:tcW w:w="7980" w:type="dxa"/>
            <w:vAlign w:val="bottom"/>
          </w:tcPr>
          <w:p>
            <w:pPr>
              <w:ind w:left="140"/>
              <w:spacing w:after="0"/>
              <w:rPr>
                <w:sz w:val="20"/>
                <w:szCs w:val="20"/>
                <w:color w:val="auto"/>
              </w:rPr>
            </w:pPr>
            <w:r>
              <w:rPr>
                <w:rFonts w:ascii="Arial" w:cs="Arial" w:eastAsia="Arial" w:hAnsi="Arial"/>
                <w:sz w:val="18"/>
                <w:szCs w:val="18"/>
                <w:b w:val="1"/>
                <w:bCs w:val="1"/>
                <w:color w:val="auto"/>
              </w:rPr>
              <w:t>Select Key Global Products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Lipitor ®</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464.6</w:t>
            </w: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Norvasc ®</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227.7</w:t>
            </w: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Lyrica ®</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w:t>
            </w: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Viagra ®</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139.6</w:t>
            </w: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EpiPen® Auto-Injectors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Celebrex ®</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89.0</w:t>
            </w: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Effexor ®</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Creon ®</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69.9</w:t>
            </w: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Zoloft ®</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Xalabrands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57.9</w:t>
            </w:r>
          </w:p>
        </w:tc>
      </w:tr>
      <w:tr>
        <w:trPr>
          <w:trHeight w:val="216"/>
        </w:trPr>
        <w:tc>
          <w:tcPr>
            <w:tcW w:w="7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b w:val="1"/>
                <w:bCs w:val="1"/>
                <w:color w:val="auto"/>
              </w:rPr>
              <w:t>Select Key Segment Products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Dymista ®</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Yupelri ®</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Amitiza ®</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Xanax ®</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45.1</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1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The Company does not disclose net sales for any products considered competitively sensitive.</w:t>
      </w:r>
    </w:p>
    <w:p>
      <w:pPr>
        <w:spacing w:after="0" w:line="42"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Products disclosed may change in future periods, including as a result of seasonality, competition or new product launches.</w:t>
      </w:r>
    </w:p>
    <w:p>
      <w:pPr>
        <w:spacing w:after="0" w:line="56" w:lineRule="exact"/>
        <w:rPr>
          <w:rFonts w:ascii="Arial" w:cs="Arial" w:eastAsia="Arial" w:hAnsi="Arial"/>
          <w:sz w:val="23"/>
          <w:szCs w:val="23"/>
          <w:color w:val="auto"/>
          <w:vertAlign w:val="superscript"/>
        </w:rPr>
      </w:pPr>
    </w:p>
    <w:p>
      <w:pPr>
        <w:ind w:left="660" w:right="20" w:hanging="328"/>
        <w:spacing w:after="0" w:line="219" w:lineRule="auto"/>
        <w:tabs>
          <w:tab w:leader="none" w:pos="655"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Amounts for the three months ended March 31, 2022 include the unfavorable impact of foreign currency translations compared to the prior year period.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Variable Consideration and Accounts Receivable</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following table presents a reconciliation of gross sales to net sales by each significant category of variable consideration during the three months ended March 31, 2022 and 2021, respectively:</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r>
      <w:tr>
        <w:trPr>
          <w:trHeight w:val="188"/>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r>
      <w:tr>
        <w:trPr>
          <w:trHeight w:val="224"/>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sales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7,567.0</w:t>
            </w: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Gross to net adjustments: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Chargebacks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(1,318.0)</w:t>
            </w: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Rebates, promotional programs and other sales allowances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(1,568.5)</w:t>
            </w:r>
          </w:p>
        </w:tc>
      </w:tr>
      <w:tr>
        <w:trPr>
          <w:trHeight w:val="22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Returns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r>
      <w:tr>
        <w:trPr>
          <w:trHeight w:val="229"/>
        </w:trPr>
        <w:tc>
          <w:tcPr>
            <w:tcW w:w="8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Governmental rebate programs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w:t>
            </w:r>
          </w:p>
        </w:tc>
      </w:tr>
      <w:tr>
        <w:trPr>
          <w:trHeight w:val="223"/>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gross to net adjustments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(3,166.9)</w:t>
            </w:r>
          </w:p>
        </w:tc>
      </w:tr>
      <w:tr>
        <w:trPr>
          <w:trHeight w:val="223"/>
        </w:trPr>
        <w:tc>
          <w:tcPr>
            <w:tcW w:w="8700" w:type="dxa"/>
            <w:vAlign w:val="bottom"/>
          </w:tcPr>
          <w:p>
            <w:pPr>
              <w:ind w:left="1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4,178.2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4,400.1</w:t>
            </w:r>
          </w:p>
        </w:tc>
      </w:tr>
      <w:tr>
        <w:trPr>
          <w:trHeight w:val="20"/>
        </w:trPr>
        <w:tc>
          <w:tcPr>
            <w:tcW w:w="8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color w:val="auto"/>
        </w:rPr>
        <w:t>No significant revisions were made to the methodology used in determining these provisions or the nature of the provisions during the three months ended March 31, 2022. Such allowances were comprised of the following at March 31, 2022 and December 31, 2021, respectively:</w:t>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7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8"/>
        </w:trPr>
        <w:tc>
          <w:tcPr>
            <w:tcW w:w="87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1,688.6</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1,362.1</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3,050.7</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receivable, net was comprised of the following at March 31, 2022 and December 31, 2021, respectively:</w:t>
      </w:r>
    </w:p>
    <w:p>
      <w:pPr>
        <w:spacing w:after="0" w:line="1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6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8"/>
        </w:trPr>
        <w:tc>
          <w:tcPr>
            <w:tcW w:w="86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receivables, net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3,774.4</w:t>
            </w: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receivables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492.0</w:t>
            </w:r>
          </w:p>
        </w:tc>
        <w:tc>
          <w:tcPr>
            <w:tcW w:w="0" w:type="dxa"/>
            <w:vAlign w:val="bottom"/>
          </w:tcPr>
          <w:p>
            <w:pPr>
              <w:spacing w:after="0"/>
              <w:rPr>
                <w:sz w:val="1"/>
                <w:szCs w:val="1"/>
                <w:color w:val="auto"/>
              </w:rPr>
            </w:pPr>
          </w:p>
        </w:tc>
      </w:tr>
      <w:tr>
        <w:trPr>
          <w:trHeight w:val="248"/>
        </w:trPr>
        <w:tc>
          <w:tcPr>
            <w:tcW w:w="8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Accounts receivable,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4,266.4</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Accounts Receivable Factoring Arrangements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$55.1 million and $29.6 million of accounts receivable as of March 31, 2022 and December 31, 2021, respectively, under these factoring arrangements.</w:t>
      </w:r>
    </w:p>
    <w:p>
      <w:pPr>
        <w:spacing w:after="0" w:line="184"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Adoption of New Accounting Standard</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In November 2021, the FASB issued Accounting Standards Update 2021-10, </w:t>
      </w:r>
      <w:r>
        <w:rPr>
          <w:rFonts w:ascii="Arial" w:cs="Arial" w:eastAsia="Arial" w:hAnsi="Arial"/>
          <w:sz w:val="17"/>
          <w:szCs w:val="17"/>
          <w:i w:val="1"/>
          <w:iCs w:val="1"/>
          <w:color w:val="auto"/>
        </w:rPr>
        <w:t>Government Assistance (Topic 832): Disclosures by Business Entities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about Government Assistance </w:t>
      </w:r>
      <w:r>
        <w:rPr>
          <w:rFonts w:ascii="Arial" w:cs="Arial" w:eastAsia="Arial" w:hAnsi="Arial"/>
          <w:sz w:val="17"/>
          <w:szCs w:val="17"/>
          <w:color w:val="auto"/>
        </w:rPr>
        <w:t>(“ASU 2021-10”), which requires entities to provide annual disclosures about transactions with a government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accounted for by applying a grant or contribution accounting model by analogy. We adopted the ASU prospectively on January 1, 2022. The additional annual disclosures required are not expected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There were no other significant changes in new accounting standards from those disclosed in Viatris’ 2021 Form 10-K. Refer to Viatris’ 2021 Form 10-K for additional information.</w:t>
      </w:r>
    </w:p>
    <w:p>
      <w:pPr>
        <w:spacing w:after="0" w:line="166"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Incentive Plan</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Prior to the Distribution, Viatris adopted and Pfizer, in the capacity as Viatris’ sole stockholder at such time, approved the Plan which became effective as of the Distribution. In connection with the Combination, as of November 16, 2020, the Company assumed the 2003 LTIP, which had previously been approved by Mylan shareholders. The Plan and 2003 LTIP include (i) 72,500,000 shares of common stock authorized for grant pursuant to the Plan, which may include dividend payments payable in common stock on unvested shares granted under awards, (ii) 6,757,640 shares of common stock to be issued pursuant to the exercise of outstanding stock options granted to participants under the 2003 LTIP and assumed by Viatris in connection with the Combination and (iii) 13,535,627 shares of common stock subject to outstanding equity-based awards, other than stock options, assumed by Viatris in connection with the Combination, or that otherwise remain available for issuance under the 2003 LTIP.</w:t>
      </w:r>
    </w:p>
    <w:p>
      <w:pPr>
        <w:spacing w:after="0" w:line="177"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Under the Plan and 2003 LTIP, shares are reserved for issuance to key employees, consultants, independent contractors and non-employee directors of the Company through a variety of incentive awards, including: stock options, SARs, restricted stock and units, PSUs, other stock-based awards and short-term cash awards. Stock option awards are granted with an exercise price equal to the fair market value of the shares underlying the stock options at the date of the grant, generally become exercisable over periods ranging from three to four years, and generally expire in ten years.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awards (stock options and SARs) activity under the Plan and 2003 LTIP:</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1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520" w:type="dxa"/>
            <w:vAlign w:val="bottom"/>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Under Stock</w:t>
            </w:r>
          </w:p>
        </w:tc>
        <w:tc>
          <w:tcPr>
            <w:tcW w:w="120" w:type="dxa"/>
            <w:vAlign w:val="bottom"/>
          </w:tcPr>
          <w:p>
            <w:pPr>
              <w:spacing w:after="0"/>
              <w:rPr>
                <w:sz w:val="11"/>
                <w:szCs w:val="11"/>
                <w:color w:val="auto"/>
              </w:rPr>
            </w:pPr>
          </w:p>
        </w:tc>
        <w:tc>
          <w:tcPr>
            <w:tcW w:w="13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Exercise Price per</w:t>
            </w:r>
          </w:p>
        </w:tc>
        <w:tc>
          <w:tcPr>
            <w:tcW w:w="0" w:type="dxa"/>
            <w:vAlign w:val="bottom"/>
          </w:tcPr>
          <w:p>
            <w:pPr>
              <w:spacing w:after="0"/>
              <w:rPr>
                <w:sz w:val="1"/>
                <w:szCs w:val="1"/>
                <w:color w:val="auto"/>
              </w:rPr>
            </w:pPr>
          </w:p>
        </w:tc>
      </w:tr>
      <w:tr>
        <w:trPr>
          <w:trHeight w:val="188"/>
        </w:trPr>
        <w:tc>
          <w:tcPr>
            <w:tcW w:w="85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Awards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24"/>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5,576,490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w:t>
            </w:r>
          </w:p>
        </w:tc>
        <w:tc>
          <w:tcPr>
            <w:tcW w:w="0" w:type="dxa"/>
            <w:vAlign w:val="bottom"/>
          </w:tcPr>
          <w:p>
            <w:pPr>
              <w:spacing w:after="0"/>
              <w:rPr>
                <w:sz w:val="1"/>
                <w:szCs w:val="1"/>
                <w:color w:val="auto"/>
              </w:rPr>
            </w:pPr>
          </w:p>
        </w:tc>
      </w:tr>
      <w:tr>
        <w:trPr>
          <w:trHeight w:val="229"/>
        </w:trPr>
        <w:tc>
          <w:tcPr>
            <w:tcW w:w="8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(450,161)</w:t>
            </w:r>
          </w:p>
        </w:tc>
        <w:tc>
          <w:tcPr>
            <w:tcW w:w="400" w:type="dxa"/>
            <w:vAlign w:val="bottom"/>
            <w:tcBorders>
              <w:bottom w:val="single" w:sz="8" w:color="CCEEFF"/>
            </w:tcBorders>
            <w:gridSpan w:val="2"/>
          </w:tcPr>
          <w:p>
            <w:pPr>
              <w:jc w:val="right"/>
              <w:ind w:right="10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27.54</w:t>
            </w:r>
          </w:p>
        </w:tc>
        <w:tc>
          <w:tcPr>
            <w:tcW w:w="0" w:type="dxa"/>
            <w:vAlign w:val="bottom"/>
          </w:tcPr>
          <w:p>
            <w:pPr>
              <w:spacing w:after="0"/>
              <w:rPr>
                <w:sz w:val="1"/>
                <w:szCs w:val="1"/>
                <w:color w:val="auto"/>
              </w:rPr>
            </w:pPr>
          </w:p>
        </w:tc>
      </w:tr>
      <w:tr>
        <w:trPr>
          <w:trHeight w:val="248"/>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2022</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5,126,329</w:t>
            </w:r>
          </w:p>
        </w:tc>
        <w:tc>
          <w:tcPr>
            <w:tcW w:w="40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38.04</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and expected to vest at March 31, 2022</w:t>
            </w: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CCEEFF"/>
            </w:tcBorders>
            <w:gridSpan w:val="2"/>
            <w:vMerge w:val="restart"/>
          </w:tcPr>
          <w:p>
            <w:pPr>
              <w:jc w:val="right"/>
              <w:ind w:right="102"/>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38.21</w:t>
            </w:r>
          </w:p>
        </w:tc>
        <w:tc>
          <w:tcPr>
            <w:tcW w:w="0" w:type="dxa"/>
            <w:vAlign w:val="bottom"/>
          </w:tcPr>
          <w:p>
            <w:pPr>
              <w:spacing w:after="0" w:line="20" w:lineRule="exact"/>
              <w:rPr>
                <w:sz w:val="1"/>
                <w:szCs w:val="1"/>
                <w:color w:val="auto"/>
              </w:rPr>
            </w:pPr>
          </w:p>
        </w:tc>
      </w:tr>
      <w:tr>
        <w:trPr>
          <w:trHeight w:val="204"/>
        </w:trPr>
        <w:tc>
          <w:tcPr>
            <w:tcW w:w="8520" w:type="dxa"/>
            <w:vAlign w:val="bottom"/>
            <w:vMerge w:val="continue"/>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5,077,897</w:t>
            </w:r>
          </w:p>
        </w:tc>
        <w:tc>
          <w:tcPr>
            <w:tcW w:w="40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March 31, 2022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4,831,333</w:t>
            </w:r>
          </w:p>
        </w:tc>
        <w:tc>
          <w:tcPr>
            <w:tcW w:w="4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As of March 31, 2022, stock awards outstanding, stock awards vested and expected to vest and stock awards exercisable had average remaining contractual terms of 4.7 years, 4.6 years and 4.5 years, respectively. Also, at March 31, 2022, stock awards outstanding, stock awards vested and expected to vest and stock awards exercisable had no aggregate intrinsic value.</w:t>
      </w:r>
    </w:p>
    <w:p>
      <w:pPr>
        <w:spacing w:after="0" w:line="18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 summary of the status of the Company’s nonvested restricted stock awards (restricted stock and restricted stock unit awards, including PSUs) as of March 31, 2022 and the changes during the three months ended March 31, 2022 are presented below:</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52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35"/>
        </w:trPr>
        <w:tc>
          <w:tcPr>
            <w:tcW w:w="8520" w:type="dxa"/>
            <w:vAlign w:val="bottom"/>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w w:val="96"/>
              </w:rPr>
              <w:t>Fair Value Per</w:t>
            </w:r>
          </w:p>
        </w:tc>
        <w:tc>
          <w:tcPr>
            <w:tcW w:w="0" w:type="dxa"/>
            <w:vAlign w:val="bottom"/>
          </w:tcPr>
          <w:p>
            <w:pPr>
              <w:spacing w:after="0"/>
              <w:rPr>
                <w:sz w:val="1"/>
                <w:szCs w:val="1"/>
                <w:color w:val="auto"/>
              </w:rPr>
            </w:pPr>
          </w:p>
        </w:tc>
      </w:tr>
      <w:tr>
        <w:trPr>
          <w:trHeight w:val="188"/>
        </w:trPr>
        <w:tc>
          <w:tcPr>
            <w:tcW w:w="85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Stock Awards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24"/>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December 31, 2021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16,858,128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30"/>
        </w:trPr>
        <w:tc>
          <w:tcPr>
            <w:tcW w:w="8520" w:type="dxa"/>
            <w:vAlign w:val="bottom"/>
          </w:tcPr>
          <w:p>
            <w:pPr>
              <w:ind w:left="22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16,635,392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Released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(3,517,219)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30"/>
        </w:trPr>
        <w:tc>
          <w:tcPr>
            <w:tcW w:w="8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(229,241)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48"/>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March 31, 2022</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29,747,060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March 31, 2022, the Company had $272.7 million of total unrecognized compensation expense, net of estimated forfeitures, related to all of its stock-based awards, which we expect to recognize over the remaining weighted average vesting period of 2.0 years. The total intrinsic value of restricted stock units released during the three months ended March 31, 2022 and 2021 was $63.1 million and $30.8 million, respectively.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90" w:lineRule="exact"/>
        <w:rPr>
          <w:sz w:val="20"/>
          <w:szCs w:val="20"/>
          <w:color w:val="auto"/>
        </w:rPr>
      </w:pPr>
    </w:p>
    <w:p>
      <w:pPr>
        <w:ind w:left="340" w:right="7540" w:hanging="332"/>
        <w:spacing w:after="0" w:line="503" w:lineRule="auto"/>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Pensions and Other Postretirement Benefits </w:t>
      </w:r>
      <w:r>
        <w:rPr>
          <w:rFonts w:ascii="Arial" w:cs="Arial" w:eastAsia="Arial" w:hAnsi="Arial"/>
          <w:sz w:val="18"/>
          <w:szCs w:val="18"/>
          <w:i w:val="1"/>
          <w:iCs w:val="1"/>
          <w:color w:val="auto"/>
        </w:rPr>
        <w:t>Defined Benefit Plans</w:t>
      </w:r>
    </w:p>
    <w:p>
      <w:pPr>
        <w:ind w:right="40" w:firstLine="648"/>
        <w:spacing w:after="0" w:line="263" w:lineRule="auto"/>
        <w:rPr>
          <w:sz w:val="20"/>
          <w:szCs w:val="20"/>
          <w:color w:val="auto"/>
        </w:rPr>
      </w:pPr>
      <w:r>
        <w:rPr>
          <w:rFonts w:ascii="Arial" w:cs="Arial" w:eastAsia="Arial" w:hAnsi="Arial"/>
          <w:sz w:val="18"/>
          <w:szCs w:val="18"/>
          <w:color w:val="auto"/>
        </w:rPr>
        <w:t>The Company sponsors various defined benefit pension plans in several countries. Benefits provided generally depend on length of service, pay grade and remuneration levels. Employees in the U.S., Puerto Rico and certain international locations are also provided retirement benefits through defined contribution plans.</w:t>
      </w:r>
    </w:p>
    <w:p>
      <w:pPr>
        <w:spacing w:after="0" w:line="184"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Company also sponsors other postretirement benefit plans including plans that provide for postretirement supplemental medical coverage. Benefits from these plans are provided to employees and their spouses and dependents who meet various minimum age and service requirements. In addition, the Company sponsors other plans that provide for life insurance benefits and postretirement medical coverage for certain officers and management employees.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Periodic Benefit Cost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net periodic benefit cost for the three months ended March 31, 2022 and 2021 were as follows:</w:t>
      </w:r>
    </w:p>
    <w:p>
      <w:pPr>
        <w:spacing w:after="0" w:line="126"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Pension and Other Postretirement</w:t>
      </w:r>
    </w:p>
    <w:p>
      <w:pPr>
        <w:jc w:val="center"/>
        <w:ind w:left="8660"/>
        <w:spacing w:after="0"/>
        <w:rPr>
          <w:sz w:val="20"/>
          <w:szCs w:val="20"/>
          <w:color w:val="auto"/>
        </w:rPr>
      </w:pPr>
      <w:r>
        <w:rPr>
          <w:rFonts w:ascii="Arial" w:cs="Arial" w:eastAsia="Arial" w:hAnsi="Arial"/>
          <w:sz w:val="14"/>
          <w:szCs w:val="14"/>
          <w:b w:val="1"/>
          <w:bCs w:val="1"/>
          <w:color w:val="auto"/>
        </w:rPr>
        <w:t>Benefits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7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Three Months Ended</w:t>
            </w:r>
          </w:p>
        </w:tc>
      </w:tr>
      <w:tr>
        <w:trPr>
          <w:trHeight w:val="192"/>
        </w:trPr>
        <w:tc>
          <w:tcPr>
            <w:tcW w:w="8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r>
      <w:tr>
        <w:trPr>
          <w:trHeight w:val="188"/>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r>
      <w:tr>
        <w:trPr>
          <w:trHeight w:val="224"/>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Amortization of prior service costs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net actuarial losses</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8700" w:type="dxa"/>
            <w:vAlign w:val="bottom"/>
          </w:tcPr>
          <w:p>
            <w:pPr>
              <w:ind w:left="220"/>
              <w:spacing w:after="0"/>
              <w:rPr>
                <w:sz w:val="20"/>
                <w:szCs w:val="20"/>
                <w:color w:val="auto"/>
              </w:rPr>
            </w:pPr>
            <w:r>
              <w:rPr>
                <w:rFonts w:ascii="Arial" w:cs="Arial" w:eastAsia="Arial" w:hAnsi="Arial"/>
                <w:sz w:val="18"/>
                <w:szCs w:val="18"/>
                <w:color w:val="auto"/>
              </w:rPr>
              <w:t>Net periodic benefit cost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8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140" w:firstLine="648"/>
        <w:spacing w:after="0" w:line="311" w:lineRule="auto"/>
        <w:rPr>
          <w:sz w:val="20"/>
          <w:szCs w:val="20"/>
          <w:color w:val="auto"/>
        </w:rPr>
      </w:pPr>
      <w:r>
        <w:rPr>
          <w:rFonts w:ascii="Arial" w:cs="Arial" w:eastAsia="Arial" w:hAnsi="Arial"/>
          <w:sz w:val="16"/>
          <w:szCs w:val="16"/>
          <w:color w:val="auto"/>
        </w:rPr>
        <w:t>The Company is making the minimum mandatory contributions to its defined benefit pension plans in the U.S. and Puerto Rico for the 2022 plan year. The Company expects to make total benefit payments of approximately $118.0 million from pension and other postretirement benefit plans in 2022. The Company anticipates making contributions to pension and other postretirement benefit plans of approximately $52.0 million in 2022.</w:t>
      </w:r>
    </w:p>
    <w:p>
      <w:pPr>
        <w:spacing w:after="0" w:line="14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Balance Sheet Components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Selected balance sheet components consist of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restricted cash</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2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400" w:type="dxa"/>
            <w:vAlign w:val="bottom"/>
          </w:tcPr>
          <w:p>
            <w:pPr>
              <w:jc w:val="center"/>
              <w:ind w:left="3108"/>
              <w:spacing w:after="0"/>
              <w:rPr>
                <w:sz w:val="20"/>
                <w:szCs w:val="20"/>
                <w:color w:val="auto"/>
              </w:rPr>
            </w:pPr>
            <w:r>
              <w:rPr>
                <w:rFonts w:ascii="Arial" w:cs="Arial" w:eastAsia="Arial" w:hAnsi="Arial"/>
                <w:sz w:val="14"/>
                <w:szCs w:val="14"/>
                <w:b w:val="1"/>
                <w:bCs w:val="1"/>
                <w:color w:val="auto"/>
                <w:w w:val="95"/>
              </w:rPr>
              <w:t>March 31,</w:t>
            </w:r>
          </w:p>
        </w:tc>
        <w:tc>
          <w:tcPr>
            <w:tcW w:w="1320" w:type="dxa"/>
            <w:vAlign w:val="bottom"/>
          </w:tcPr>
          <w:p>
            <w:pPr>
              <w:jc w:val="center"/>
              <w:ind w:left="8"/>
              <w:spacing w:after="0"/>
              <w:rPr>
                <w:sz w:val="20"/>
                <w:szCs w:val="20"/>
                <w:color w:val="auto"/>
              </w:rPr>
            </w:pPr>
            <w:r>
              <w:rPr>
                <w:rFonts w:ascii="Arial" w:cs="Arial" w:eastAsia="Arial" w:hAnsi="Arial"/>
                <w:sz w:val="14"/>
                <w:szCs w:val="14"/>
                <w:b w:val="1"/>
                <w:bCs w:val="1"/>
                <w:color w:val="auto"/>
                <w:w w:val="92"/>
              </w:rPr>
              <w:t>December 31,</w:t>
            </w:r>
          </w:p>
        </w:tc>
        <w:tc>
          <w:tcPr>
            <w:tcW w:w="1160" w:type="dxa"/>
            <w:vAlign w:val="bottom"/>
            <w:vMerge w:val="restart"/>
          </w:tcPr>
          <w:p>
            <w:pPr>
              <w:ind w:left="200"/>
              <w:spacing w:after="0"/>
              <w:rPr>
                <w:sz w:val="20"/>
                <w:szCs w:val="20"/>
                <w:color w:val="auto"/>
              </w:rPr>
            </w:pPr>
            <w:r>
              <w:rPr>
                <w:rFonts w:ascii="Arial" w:cs="Arial" w:eastAsia="Arial" w:hAnsi="Arial"/>
                <w:sz w:val="14"/>
                <w:szCs w:val="14"/>
                <w:b w:val="1"/>
                <w:bCs w:val="1"/>
                <w:color w:val="auto"/>
                <w:w w:val="94"/>
              </w:rPr>
              <w:t>March 31, 2021</w:t>
            </w:r>
          </w:p>
        </w:tc>
        <w:tc>
          <w:tcPr>
            <w:tcW w:w="0" w:type="dxa"/>
            <w:vAlign w:val="bottom"/>
          </w:tcPr>
          <w:p>
            <w:pPr>
              <w:spacing w:after="0"/>
              <w:rPr>
                <w:sz w:val="1"/>
                <w:szCs w:val="1"/>
                <w:color w:val="auto"/>
              </w:rPr>
            </w:pPr>
          </w:p>
        </w:tc>
      </w:tr>
      <w:tr>
        <w:trPr>
          <w:trHeight w:val="186"/>
        </w:trPr>
        <w:tc>
          <w:tcPr>
            <w:tcW w:w="4220" w:type="dxa"/>
            <w:vAlign w:val="bottom"/>
            <w:vMerge w:val="continue"/>
          </w:tcPr>
          <w:p>
            <w:pPr>
              <w:spacing w:after="0"/>
              <w:rPr>
                <w:sz w:val="16"/>
                <w:szCs w:val="16"/>
                <w:color w:val="auto"/>
              </w:rPr>
            </w:pPr>
          </w:p>
        </w:tc>
        <w:tc>
          <w:tcPr>
            <w:tcW w:w="4400" w:type="dxa"/>
            <w:vAlign w:val="bottom"/>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320" w:type="dxa"/>
            <w:vAlign w:val="bottom"/>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752.4</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701.2</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gridSpan w:val="2"/>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806.9</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prepaid expenses and other current assets</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Cash, cash equivalents and restricted cash</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706.2</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813.1</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Inventories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74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744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767.5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Pr>
          <w:p>
            <w:pPr>
              <w:ind w:left="220"/>
              <w:spacing w:after="0"/>
              <w:rPr>
                <w:sz w:val="20"/>
                <w:szCs w:val="20"/>
                <w:color w:val="auto"/>
              </w:rPr>
            </w:pPr>
            <w:r>
              <w:rPr>
                <w:rFonts w:ascii="Arial" w:cs="Arial" w:eastAsia="Arial" w:hAnsi="Arial"/>
                <w:sz w:val="18"/>
                <w:szCs w:val="18"/>
                <w:b w:val="1"/>
                <w:bCs w:val="1"/>
                <w:color w:val="auto"/>
              </w:rPr>
              <w:t>Inventories</w:t>
            </w: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3,797.3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6" w:name="page17"/>
    <w:bookmarkEnd w:id="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86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Available-for-sale fixed income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financial instruments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Equity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b w:val="1"/>
                <w:bCs w:val="1"/>
                <w:color w:val="auto"/>
              </w:rPr>
              <w:t>Prepaid expenses and other current assets</w:t>
            </w: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vMerge w:val="restart"/>
          </w:tcPr>
          <w:p>
            <w:pPr>
              <w:ind w:left="640"/>
              <w:spacing w:after="0"/>
              <w:rPr>
                <w:sz w:val="20"/>
                <w:szCs w:val="20"/>
                <w:color w:val="auto"/>
              </w:rPr>
            </w:pPr>
            <w:r>
              <w:rPr>
                <w:rFonts w:ascii="Arial" w:cs="Arial" w:eastAsia="Arial" w:hAnsi="Arial"/>
                <w:sz w:val="18"/>
                <w:szCs w:val="18"/>
                <w:color w:val="auto"/>
                <w:w w:val="98"/>
              </w:rPr>
              <w:t>Prepaid expenses consist primarily of prepaid rent, insurance and other individually insignificant items.</w:t>
            </w: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86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Property, plant and equipment, net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Pr>
          <w:p>
            <w:pPr>
              <w:spacing w:after="0"/>
              <w:rPr>
                <w:sz w:val="22"/>
                <w:szCs w:val="2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86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1,808.5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588.7</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Land and improvements</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property, plant and equipment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5,589.1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depreciation</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1,942.3</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Property, plant and equipment, net</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3,150.2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3,188.6</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i w:val="1"/>
                <w:iCs w:val="1"/>
                <w:color w:val="auto"/>
              </w:rPr>
              <w:t>Other assets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87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Pr>
          <w:p>
            <w:pPr>
              <w:spacing w:after="0"/>
              <w:rPr>
                <w:sz w:val="21"/>
                <w:szCs w:val="2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assets</w:t>
            </w: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Other assets</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Accounts payable</w:t>
            </w: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87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Pr>
          <w:p>
            <w:pPr>
              <w:spacing w:after="0"/>
              <w:rPr>
                <w:sz w:val="22"/>
                <w:szCs w:val="2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payable</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payables</w:t>
            </w: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601.3</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Accounts payable</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current liabilities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March 31,</w:t>
            </w: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188"/>
        </w:trPr>
        <w:tc>
          <w:tcPr>
            <w:tcW w:w="87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sales allowances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1,362.1</w:t>
            </w:r>
          </w:p>
        </w:tc>
        <w:tc>
          <w:tcPr>
            <w:tcW w:w="0" w:type="dxa"/>
            <w:vAlign w:val="bottom"/>
          </w:tcPr>
          <w:p>
            <w:pPr>
              <w:spacing w:after="0"/>
              <w:rPr>
                <w:sz w:val="1"/>
                <w:szCs w:val="1"/>
                <w:color w:val="auto"/>
              </w:rPr>
            </w:pPr>
          </w:p>
        </w:tc>
      </w:t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Legal and professional accruals, including litigation accruals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694.9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715.6</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Payroll and employee benefit liabilities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741.9</w:t>
            </w:r>
          </w:p>
        </w:tc>
        <w:tc>
          <w:tcPr>
            <w:tcW w:w="0" w:type="dxa"/>
            <w:vAlign w:val="bottom"/>
          </w:tcPr>
          <w:p>
            <w:pPr>
              <w:spacing w:after="0"/>
              <w:rPr>
                <w:sz w:val="1"/>
                <w:szCs w:val="1"/>
                <w:color w:val="auto"/>
              </w:rPr>
            </w:pPr>
          </w:p>
        </w:tc>
      </w:t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restructuring</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228.8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 clean energy investments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Fair value of financial instruments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liability</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1,254.6</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Other current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4,619.6</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Other long-term obligations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7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22"/>
                <w:szCs w:val="22"/>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March 31,</w:t>
            </w: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188"/>
        </w:trPr>
        <w:tc>
          <w:tcPr>
            <w:tcW w:w="87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benefit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876.4</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related items, including contingencies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426.1</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Operating lease liability</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restructuring</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Other long-term obligations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1,933.6</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held for sale</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On February 27, 2022, the Company entered into an agreement to contribute its biosimilars portfolio to Biocon Biologics. Under the terms of the Biocon Agreement, at closing Viatris will receive an up-front cash payment of $2.0 billion, subject to certain adjustments, ownership of at least 12.9% of Biocon Biologics, on a fully diluted basis, in the form of convertible preferred equity which will have certain priority rights with respect to certain liquidity events, and $335 million as additional cash payments that are expected to be paid in 2024. Upon closing of the transaction, we expect to record a gain for the difference between the consideration received, including the fair value of the convertible preferred equity, and the carrying value of the biosimilars portfolio. The companies will also enter into a two-year transition services agreement, subject to extension in certain circumstances, during which time Viatris will provide certain commercial and administrative services for an applicable service fee. The transaction is expected to close in the second half of 2022 and is subject to various closing conditions (including regulatory approvals).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Assets and liabilities associated with the biosimilars portfolio were reclassified as held for sale in the condensed consolidated balance sheets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2022. The amounts associated with the biosimilars portfolio classified as held for sale consisted of the following:</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433"/>
              <w:spacing w:after="0"/>
              <w:rPr>
                <w:sz w:val="20"/>
                <w:szCs w:val="20"/>
                <w:color w:val="auto"/>
              </w:rPr>
            </w:pPr>
            <w:r>
              <w:rPr>
                <w:rFonts w:ascii="Arial" w:cs="Arial" w:eastAsia="Arial" w:hAnsi="Arial"/>
                <w:sz w:val="14"/>
                <w:szCs w:val="14"/>
                <w:b w:val="1"/>
                <w:bCs w:val="1"/>
                <w:color w:val="auto"/>
              </w:rPr>
              <w:t>As of</w:t>
            </w:r>
          </w:p>
        </w:tc>
      </w:tr>
      <w:tr>
        <w:trPr>
          <w:trHeight w:val="195"/>
        </w:trPr>
        <w:tc>
          <w:tcPr>
            <w:tcW w:w="9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6"/>
              </w:rPr>
              <w:t>March 31, 2022</w:t>
            </w:r>
          </w:p>
        </w:tc>
      </w:tr>
      <w:tr>
        <w:trPr>
          <w:trHeight w:val="216"/>
        </w:trPr>
        <w:tc>
          <w:tcPr>
            <w:tcW w:w="9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 held for sale</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990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136.1</w:t>
            </w:r>
          </w:p>
        </w:tc>
      </w:tr>
      <w:tr>
        <w:trPr>
          <w:trHeight w:val="229"/>
        </w:trPr>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r>
      <w:tr>
        <w:trPr>
          <w:trHeight w:val="229"/>
        </w:trPr>
        <w:tc>
          <w:tcPr>
            <w:tcW w:w="990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9900" w:type="dxa"/>
            <w:vAlign w:val="bottom"/>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953.0</w:t>
            </w:r>
          </w:p>
        </w:tc>
      </w:tr>
      <w:tr>
        <w:trPr>
          <w:trHeight w:val="229"/>
        </w:trPr>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r>
      <w:tr>
        <w:trPr>
          <w:trHeight w:val="223"/>
        </w:trPr>
        <w:tc>
          <w:tcPr>
            <w:tcW w:w="9900" w:type="dxa"/>
            <w:vAlign w:val="bottom"/>
          </w:tcPr>
          <w:p>
            <w:pPr>
              <w:ind w:left="180"/>
              <w:spacing w:after="0"/>
              <w:rPr>
                <w:sz w:val="20"/>
                <w:szCs w:val="20"/>
                <w:color w:val="auto"/>
              </w:rPr>
            </w:pPr>
            <w:r>
              <w:rPr>
                <w:rFonts w:ascii="Arial" w:cs="Arial" w:eastAsia="Arial" w:hAnsi="Arial"/>
                <w:sz w:val="18"/>
                <w:szCs w:val="18"/>
                <w:color w:val="auto"/>
              </w:rPr>
              <w:t>Total assets held for sale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1,337.1</w:t>
            </w:r>
          </w:p>
        </w:tc>
      </w:tr>
      <w:tr>
        <w:trPr>
          <w:trHeight w:val="20"/>
        </w:trPr>
        <w:tc>
          <w:tcPr>
            <w:tcW w:w="9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9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9900" w:type="dxa"/>
            <w:vAlign w:val="bottom"/>
          </w:tcPr>
          <w:p>
            <w:pPr>
              <w:ind w:left="20"/>
              <w:spacing w:after="0"/>
              <w:rPr>
                <w:sz w:val="20"/>
                <w:szCs w:val="20"/>
                <w:color w:val="auto"/>
              </w:rPr>
            </w:pPr>
            <w:r>
              <w:rPr>
                <w:rFonts w:ascii="Arial" w:cs="Arial" w:eastAsia="Arial" w:hAnsi="Arial"/>
                <w:sz w:val="18"/>
                <w:szCs w:val="18"/>
                <w:b w:val="1"/>
                <w:bCs w:val="1"/>
                <w:color w:val="auto"/>
              </w:rPr>
              <w:t>Liabilities held for sale</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r>
      <w:tr>
        <w:trPr>
          <w:trHeight w:val="230"/>
        </w:trPr>
        <w:tc>
          <w:tcPr>
            <w:tcW w:w="9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w:t>
            </w:r>
          </w:p>
        </w:tc>
      </w:tr>
      <w:tr>
        <w:trPr>
          <w:trHeight w:val="248"/>
        </w:trPr>
        <w:tc>
          <w:tcPr>
            <w:tcW w:w="9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held for sale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277.7</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For the three months ended March 31, 2022, total revenues relating to the biosimilars portfolio expected to be contributed to Biocon Biologics during the second half of 2022 were approximately $169.1 million.</w:t>
      </w:r>
    </w:p>
    <w:p>
      <w:pPr>
        <w:spacing w:after="0" w:line="166"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Equity Method Investments</w:t>
      </w:r>
    </w:p>
    <w:p>
      <w:pPr>
        <w:spacing w:after="0" w:line="229"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law that provides for IRC Section 45 tax credits expired during the year ended December 31, 2021 for all three clean energy investments and all of the clean energy investments have wound down operations. Summarized financial information, in the aggregate, for the Company’s three equity method, clean energy investments on a 100% basis for the three months ended March 31, 2021 are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58"/>
              <w:spacing w:after="0"/>
              <w:rPr>
                <w:sz w:val="20"/>
                <w:szCs w:val="20"/>
                <w:color w:val="auto"/>
              </w:rPr>
            </w:pPr>
            <w:r>
              <w:rPr>
                <w:rFonts w:ascii="Arial" w:cs="Arial" w:eastAsia="Arial" w:hAnsi="Arial"/>
                <w:sz w:val="14"/>
                <w:szCs w:val="14"/>
                <w:b w:val="1"/>
                <w:bCs w:val="1"/>
                <w:color w:val="auto"/>
                <w:w w:val="93"/>
              </w:rPr>
              <w:t>Three Months</w:t>
            </w:r>
          </w:p>
        </w:tc>
      </w:tr>
      <w:tr>
        <w:trPr>
          <w:trHeight w:val="180"/>
        </w:trPr>
        <w:tc>
          <w:tcPr>
            <w:tcW w:w="9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38"/>
              <w:spacing w:after="0"/>
              <w:rPr>
                <w:sz w:val="20"/>
                <w:szCs w:val="20"/>
                <w:color w:val="auto"/>
              </w:rPr>
            </w:pPr>
            <w:r>
              <w:rPr>
                <w:rFonts w:ascii="Arial" w:cs="Arial" w:eastAsia="Arial" w:hAnsi="Arial"/>
                <w:sz w:val="14"/>
                <w:szCs w:val="14"/>
                <w:b w:val="1"/>
                <w:bCs w:val="1"/>
                <w:color w:val="auto"/>
                <w:w w:val="93"/>
              </w:rPr>
              <w:t>Ended</w:t>
            </w:r>
          </w:p>
        </w:tc>
      </w:tr>
      <w:tr>
        <w:trPr>
          <w:trHeight w:val="192"/>
        </w:trPr>
        <w:tc>
          <w:tcPr>
            <w:tcW w:w="99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4"/>
              </w:rPr>
              <w:t>March 31, 2021</w:t>
            </w:r>
          </w:p>
        </w:tc>
      </w:tr>
      <w:tr>
        <w:trPr>
          <w:trHeight w:val="229"/>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r>
      <w:tr>
        <w:trPr>
          <w:trHeight w:val="230"/>
        </w:trPr>
        <w:tc>
          <w:tcPr>
            <w:tcW w:w="9940" w:type="dxa"/>
            <w:vAlign w:val="bottom"/>
          </w:tcPr>
          <w:p>
            <w:pPr>
              <w:ind w:left="20"/>
              <w:spacing w:after="0"/>
              <w:rPr>
                <w:sz w:val="20"/>
                <w:szCs w:val="20"/>
                <w:color w:val="auto"/>
              </w:rPr>
            </w:pPr>
            <w:r>
              <w:rPr>
                <w:rFonts w:ascii="Arial" w:cs="Arial" w:eastAsia="Arial" w:hAnsi="Arial"/>
                <w:sz w:val="18"/>
                <w:szCs w:val="18"/>
                <w:color w:val="auto"/>
              </w:rPr>
              <w:t>Gross loss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and non-operating expense</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3"/>
        </w:trPr>
        <w:tc>
          <w:tcPr>
            <w:tcW w:w="9940" w:type="dxa"/>
            <w:vAlign w:val="bottom"/>
          </w:tcPr>
          <w:p>
            <w:pPr>
              <w:ind w:left="220"/>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9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The Company’s net losses from its equity method investments included amortization expense related to the excess of the cost basis of the Company’s investment over the underlying assets of each individual investee. For the three months ended March 31, 2021, the Company recognized net losses from equity method investments of $17.9 million, which were recognized as a component of other expense, net in the condensed consolidated statements of operations. The Company recognized the income tax credits and benefits from the clean energy investments as part of its provision for income taxes.</w:t>
      </w:r>
    </w:p>
    <w:p>
      <w:pPr>
        <w:spacing w:after="0" w:line="184"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(Loss) per Share</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Basic earnings (loss) per share is computed by dividing net earnings (loss) by the weighted average number of shares outstanding during the period. Diluted earnings (loss) per share is computed by dividing net earnings (loss) by the weighted average number of shares outstanding during the period increased by the number of additional shares that would have been outstanding related to potentially dilutive securities or instruments, if the impact is dilutive.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Basic and diluted earnings (loss) per share attributable to Viatris Inc. are calculated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2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r>
      <w:tr>
        <w:trPr>
          <w:trHeight w:val="188"/>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r>
      <w:tr>
        <w:trPr>
          <w:trHeight w:val="211"/>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(loss) attributable to Viatris Inc. common shareholders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8680" w:type="dxa"/>
            <w:vAlign w:val="bottom"/>
          </w:tcPr>
          <w:p>
            <w:pPr>
              <w:ind w:left="220"/>
              <w:spacing w:after="0"/>
              <w:rPr>
                <w:sz w:val="20"/>
                <w:szCs w:val="20"/>
                <w:color w:val="auto"/>
              </w:rPr>
            </w:pPr>
            <w:r>
              <w:rPr>
                <w:rFonts w:ascii="Arial" w:cs="Arial" w:eastAsia="Arial" w:hAnsi="Arial"/>
                <w:sz w:val="18"/>
                <w:szCs w:val="18"/>
                <w:color w:val="auto"/>
              </w:rPr>
              <w:t>Net earnings (loss) attributable to Viatris Inc. common shareholders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(1,037.6)</w:t>
            </w: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7"/>
        </w:trPr>
        <w:tc>
          <w:tcPr>
            <w:tcW w:w="8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Shares (denominator):</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29"/>
        </w:trPr>
        <w:tc>
          <w:tcPr>
            <w:tcW w:w="8680" w:type="dxa"/>
            <w:vAlign w:val="bottom"/>
          </w:tcPr>
          <w:p>
            <w:pPr>
              <w:ind w:left="22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1,210.5</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1,207.5</w:t>
            </w: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48"/>
        </w:trPr>
        <w:tc>
          <w:tcPr>
            <w:tcW w:w="8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Basic earnings (loss) per share attributable to Viatris Inc. shareholders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(0.86)</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(loss) attributable to Viatris Inc. common shareholders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8680" w:type="dxa"/>
            <w:vAlign w:val="bottom"/>
          </w:tcPr>
          <w:p>
            <w:pPr>
              <w:ind w:left="220"/>
              <w:spacing w:after="0"/>
              <w:rPr>
                <w:sz w:val="20"/>
                <w:szCs w:val="20"/>
                <w:color w:val="auto"/>
              </w:rPr>
            </w:pPr>
            <w:r>
              <w:rPr>
                <w:rFonts w:ascii="Arial" w:cs="Arial" w:eastAsia="Arial" w:hAnsi="Arial"/>
                <w:sz w:val="18"/>
                <w:szCs w:val="18"/>
                <w:color w:val="auto"/>
              </w:rPr>
              <w:t>Net earnings (loss) attributable to Viatris Inc. common shareholders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(1,037.6)</w:t>
            </w: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7"/>
        </w:trPr>
        <w:tc>
          <w:tcPr>
            <w:tcW w:w="8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Shares (denominator):</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30"/>
        </w:trPr>
        <w:tc>
          <w:tcPr>
            <w:tcW w:w="8680" w:type="dxa"/>
            <w:vAlign w:val="bottom"/>
          </w:tcPr>
          <w:p>
            <w:pPr>
              <w:ind w:left="22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1,207.5</w:t>
            </w:r>
          </w:p>
        </w:tc>
      </w:tr>
      <w:tr>
        <w:trPr>
          <w:trHeight w:val="230"/>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awards</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color w:val="auto"/>
              </w:rPr>
              <w:t>Total dilutive shares outstanding</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1,213.1</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1,207.5</w:t>
            </w: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48"/>
        </w:trPr>
        <w:tc>
          <w:tcPr>
            <w:tcW w:w="8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Diluted earnings (loss) per share attributable to Viatris Inc. shareholders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(0.86)</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Additional stock awards and restricted stock awards were outstanding during the three months ended March 31, 2022 and 2021, but were not included in the computation of diluted earnings per share for each respective period because the effect would be anti-dilutive. Excluded shares at March 31, 2022 include certain share-based compensation awards whose performance conditions had not been fully met. Such excluded shares and anti-dilutive awards represented 15.5 million shares and 10.9 million shares for the three months ended March 31, 2022 and 2021, respectively.</w:t>
      </w:r>
    </w:p>
    <w:p>
      <w:pPr>
        <w:spacing w:after="0" w:line="17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Company paid a quarterly dividend of $0.12 per share on the Company’s issued and outstanding common stock on March 16, 2022. On May 5, 2022, the Company’s Board of Directors declared a quarterly cash dividend of $0.12 per share on the Company’s issued and outstanding common stock, which will be payable on June 16, 2022 to shareholders of record as of the close of business on May 24, 2022. The declaration and payment of future dividends to holders of the Company’s common stock will be at the discretion of the Board of Directors, and will depend upon factors, including but not limited to, the Company’s financial condition, earnings, capital requirements of its businesses, legal requirements, regulatory constraints, industry practice, and other factors that the Board of Directors deems relevant.</w:t>
      </w:r>
    </w:p>
    <w:p>
      <w:pPr>
        <w:spacing w:after="0" w:line="192"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On May 6, 2022, the Company announced that its Board of Directors had authorized a DRIP. The DRIP will allow shareholders to automatically reinvest all or a portion of the cash dividends paid on their shares of the Company’s common stock and to make certain additional optional cash investments in the Company’s common stock.</w:t>
      </w:r>
    </w:p>
    <w:p>
      <w:pPr>
        <w:spacing w:after="0" w:line="211"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On February 28, 2022, the Company announced that its Board of Directors had authorized a share repurchase program for the repurchase of up to $1.0 billion of the Company’s shares of common stock. The Company has not yet repurchased any shares of common stock under the share repurchase program and the share repurchase program does not obligate the Company to acquire any particular amount of common stock.</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 of goodwill for the three months ended March 31, 2022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Developed</w:t>
            </w:r>
          </w:p>
        </w:tc>
        <w:tc>
          <w:tcPr>
            <w:tcW w:w="140" w:type="dxa"/>
            <w:vAlign w:val="bottom"/>
          </w:tcPr>
          <w:p>
            <w:pPr>
              <w:spacing w:after="0"/>
              <w:rPr>
                <w:sz w:val="14"/>
                <w:szCs w:val="14"/>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Greater China</w:t>
            </w:r>
          </w:p>
        </w:tc>
        <w:tc>
          <w:tcPr>
            <w:tcW w:w="260" w:type="dxa"/>
            <w:vAlign w:val="bottom"/>
          </w:tcPr>
          <w:p>
            <w:pPr>
              <w:spacing w:after="0"/>
              <w:rPr>
                <w:sz w:val="14"/>
                <w:szCs w:val="14"/>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JANZ</w:t>
            </w:r>
          </w:p>
        </w:tc>
        <w:tc>
          <w:tcPr>
            <w:tcW w:w="13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Emerging Markets</w:t>
            </w:r>
          </w:p>
        </w:tc>
        <w:tc>
          <w:tcPr>
            <w:tcW w:w="280" w:type="dxa"/>
            <w:vAlign w:val="bottom"/>
          </w:tcPr>
          <w:p>
            <w:pPr>
              <w:spacing w:after="0"/>
              <w:rPr>
                <w:sz w:val="14"/>
                <w:szCs w:val="14"/>
                <w:color w:val="auto"/>
              </w:rPr>
            </w:pPr>
          </w:p>
        </w:tc>
        <w:tc>
          <w:tcPr>
            <w:tcW w:w="96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7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Markets</w:t>
            </w: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20"/>
              <w:spacing w:after="0"/>
              <w:rPr>
                <w:sz w:val="20"/>
                <w:szCs w:val="20"/>
                <w:color w:val="auto"/>
              </w:rPr>
            </w:pPr>
            <w:r>
              <w:rPr>
                <w:rFonts w:ascii="Arial" w:cs="Arial" w:eastAsia="Arial" w:hAnsi="Arial"/>
                <w:sz w:val="18"/>
                <w:szCs w:val="18"/>
                <w:color w:val="auto"/>
              </w:rPr>
              <w:t>Goodwill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9,108.4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969.5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776.3</w:t>
            </w:r>
          </w:p>
        </w:tc>
        <w:tc>
          <w:tcPr>
            <w:tcW w:w="12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1,644.5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12,498.7</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impairment losses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8,723.4</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969.5</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776.3</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1,644.5</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12,113.7</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Reclassification to assets held for sale</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(953.0)</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 currency translation</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10,978.8</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Balance at March 31, 2022:</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11,363.8</w:t>
            </w:r>
          </w:p>
        </w:tc>
        <w:tc>
          <w:tcPr>
            <w:tcW w:w="0" w:type="dxa"/>
            <w:vAlign w:val="bottom"/>
          </w:tcPr>
          <w:p>
            <w:pPr>
              <w:spacing w:after="0"/>
              <w:rPr>
                <w:sz w:val="1"/>
                <w:szCs w:val="1"/>
                <w:color w:val="auto"/>
              </w:rPr>
            </w:pPr>
          </w:p>
        </w:tc>
      </w:tr>
      <w:tr>
        <w:trPr>
          <w:trHeight w:val="229"/>
        </w:trPr>
        <w:tc>
          <w:tcPr>
            <w:tcW w:w="4760" w:type="dxa"/>
            <w:vAlign w:val="bottom"/>
          </w:tcPr>
          <w:p>
            <w:pPr>
              <w:ind w:left="220"/>
              <w:spacing w:after="0"/>
              <w:rPr>
                <w:sz w:val="20"/>
                <w:szCs w:val="20"/>
                <w:color w:val="auto"/>
              </w:rPr>
            </w:pPr>
            <w:r>
              <w:rPr>
                <w:rFonts w:ascii="Arial" w:cs="Arial" w:eastAsia="Arial" w:hAnsi="Arial"/>
                <w:sz w:val="18"/>
                <w:szCs w:val="18"/>
                <w:color w:val="auto"/>
              </w:rPr>
              <w:t>Accumulated impairment losses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48"/>
        </w:trPr>
        <w:tc>
          <w:tcPr>
            <w:tcW w:w="47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10,978.8</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 xml:space="preserve">The Company reviews goodwill for impairment annually on April 1st or more frequently if events or changes in circumstances indicate that the carrying value of goodwill may not be recoverable. As a result of the Biocon Biologics Transaction (refer to Note 6 </w:t>
      </w:r>
      <w:r>
        <w:rPr>
          <w:rFonts w:ascii="Arial" w:cs="Arial" w:eastAsia="Arial" w:hAnsi="Arial"/>
          <w:sz w:val="18"/>
          <w:szCs w:val="18"/>
          <w:i w:val="1"/>
          <w:iCs w:val="1"/>
          <w:color w:val="auto"/>
        </w:rPr>
        <w:t>Balance Sheet Components</w:t>
      </w:r>
      <w:r>
        <w:rPr>
          <w:rFonts w:ascii="Arial" w:cs="Arial" w:eastAsia="Arial" w:hAnsi="Arial"/>
          <w:sz w:val="18"/>
          <w:szCs w:val="18"/>
          <w:color w:val="auto"/>
        </w:rPr>
        <w:t xml:space="preserve"> for additional information) and the decline in the Company’s share price during the first quarter of 2022, the Company performed an interim goodwill impairment test as of March 31, 2022.</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performed its interim goodwill impairment test on a quantitative basis for its five reporting units, North America, Europe, Emerging Markets, JANZ, and Greater China. In estimating each reporting unit’s fair value, the Company performed an extensive valuation analysis, utilizing both income and market-based approaches. The determination of the fair value of the reporting units requires the Company to make significant estimates and assumptions that affect the reporting unit’s expected future cash flows. These estimates and assumptions, utilizing Level 3 inputs, primarily include, but are not limited to, market multiples, control premiums, the discount rate, terminal growth rates, operating income before depreciation and amortization, and capital expenditures forecasts.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March 31, 2022, the allocation of the Company’s total goodwill (prior to the reclassification of goodwill to assets held for sale) was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 North America $3.61 billion, Europe $4.95 billion, Emerging Markets $1.64 billion, JANZ $0.78 billion and Greater China $0.97 billion.</w:t>
      </w:r>
    </w:p>
    <w:p>
      <w:pPr>
        <w:spacing w:after="0" w:line="21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As of March 31, 2022, the Company determined that the fair value of the North America and Greater China reporting units was substantially in excess of the respective unit’s carrying value.</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For the Europe reporting unit, the estimated fair value exceeded its carrying value by approximately $797 million or 5.3% for the interim goodwill impairment test. As it relates to the income approach for the Europe reporting unit at March 31, 2022, the Company forecasted cash flows for the next 10 years. During the forecast period, the revenue compound annual growth rate was approximately 0.5%. A terminal year value was calculated with a negative 1.0% revenue growth rate applied. The discount rate utilized was 9.5% and the estimated tax rate was 15.3%. Under the market-based approach, we utilized an estimated range of market multiples of 7.5 to 8.0 times EBITDA plus a control premium of 15.0%. If all other assumptions are held constant, a reduction in the terminal value growth rate by 3.0% or an increase in discount rate by 1.5% would result in an impairment charge for the Europe reporting unit.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For the JANZ reporting unit, the estimated fair value exceeded its carrying value by approximately $231 million or 7.4% for the interim goodwill impairment test. As it relates to the income approach for the JANZ reporting unit at March 31, 2022, the Company forecasted cash flows for the next 10 years. During the forecast period, the revenue compound annual growth rate was approximately negative 4.8%. A terminal year value was calculated assuming no revenue growth. The discount rate utilized was 6.0% and the estimated tax rate was 30.4%. Under the market-based approach, we utilized an estimated market multiple of 6.0 times EBITDA plus a control premium of 15.0%. If all other assumptions are held constant, a reduction in the terminal value growth rate by 3.5% or an increase in discount rate by 2.0% would result in an impairment charge for the JANZ reporting unit.</w:t>
      </w:r>
    </w:p>
    <w:p>
      <w:pPr>
        <w:spacing w:after="0" w:line="16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For the Emerging Markets reporting unit, the estimated fair value exceeded its carrying value by approximately $816 million or 10.3% for the interim goodwill impairment test. As it relates to the income approach for the Emerging Markets reporting unit at March 31, 2022, the Company forecasted cash flows for the next 10 years. During the forecast period, the revenue compound annual growth rate was approximately 1.6%. A terminal year value was calculated with a 0.8% revenue growth rate applied. The discount rate utilized was 10.5% and the estimated tax rate was 18.4%. Under the market-based approach, we utilized an estimated market multiple of 7.5 times EBITDA plus a control premium of 15.0%. If all other assumptions are held constant, a reduction in the terminal value growth rate by approximately 8.5% or an increase in discount rate by 3.0% would result in an impairment charge for the Emerging Markets reporting unit.</w:t>
      </w:r>
    </w:p>
    <w:p>
      <w:pPr>
        <w:spacing w:after="0" w:line="19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Due to the inherent uncertainty involved in making these estimates, actual results could differ from those estimates. In addition, changes in underlying assumptions, especially as they relate to the key assumptions detailed, could have a significant impact on the fair value of the reporting units.</w:t>
      </w:r>
    </w:p>
    <w:p>
      <w:pPr>
        <w:spacing w:after="0" w:line="124"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Subsequent to the completion of the interim goodwill impairment test, the Company allocated goodwill of $953 million to its biosimilars portfolio using a relative fair value approach and then reclassified the amount to assets held for sale in conjunction with the Biocon Biologics Transaction.</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 of the following components at March 31, 2022 and December 31,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140" w:type="dxa"/>
            <w:vAlign w:val="bottom"/>
          </w:tcPr>
          <w:p>
            <w:pPr>
              <w:spacing w:after="0"/>
              <w:rPr>
                <w:sz w:val="13"/>
                <w:szCs w:val="13"/>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Original Cost</w:t>
            </w:r>
          </w:p>
        </w:tc>
        <w:tc>
          <w:tcPr>
            <w:tcW w:w="160" w:type="dxa"/>
            <w:vAlign w:val="bottom"/>
          </w:tcPr>
          <w:p>
            <w:pPr>
              <w:spacing w:after="0"/>
              <w:rPr>
                <w:sz w:val="13"/>
                <w:szCs w:val="13"/>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3"/>
                <w:szCs w:val="13"/>
                <w:color w:val="auto"/>
              </w:rPr>
            </w:pPr>
          </w:p>
        </w:tc>
        <w:tc>
          <w:tcPr>
            <w:tcW w:w="11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1"/>
              </w:rPr>
              <w:t>Net Book Value</w:t>
            </w:r>
          </w:p>
        </w:tc>
        <w:tc>
          <w:tcPr>
            <w:tcW w:w="0" w:type="dxa"/>
            <w:vAlign w:val="bottom"/>
          </w:tcPr>
          <w:p>
            <w:pPr>
              <w:spacing w:after="0"/>
              <w:rPr>
                <w:sz w:val="1"/>
                <w:szCs w:val="1"/>
                <w:color w:val="auto"/>
              </w:rPr>
            </w:pPr>
          </w:p>
        </w:tc>
      </w:tr>
      <w:tr>
        <w:trPr>
          <w:trHeight w:val="188"/>
        </w:trPr>
        <w:tc>
          <w:tcPr>
            <w:tcW w:w="6040" w:type="dxa"/>
            <w:vAlign w:val="bottom"/>
            <w:vMerge w:val="continue"/>
          </w:tcPr>
          <w:p>
            <w:pPr>
              <w:spacing w:after="0"/>
              <w:rPr>
                <w:sz w:val="16"/>
                <w:szCs w:val="16"/>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Life (Years)</w:t>
            </w: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March 31, 2022</w:t>
            </w: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Product rights, licenses and other </w:t>
            </w:r>
            <w:r>
              <w:rPr>
                <w:rFonts w:ascii="Arial" w:cs="Arial" w:eastAsia="Arial" w:hAnsi="Arial"/>
                <w:sz w:val="23"/>
                <w:szCs w:val="23"/>
                <w:color w:val="auto"/>
                <w:vertAlign w:val="superscript"/>
              </w:rPr>
              <w:t>(1)</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38,550.7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13,344.6</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25,206.1</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In-process research and development</w:t>
            </w: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38,596.4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13,344.6</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25,251.8</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December 31, 2021</w:t>
            </w: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Product rights, licenses and other </w:t>
            </w:r>
            <w:r>
              <w:rPr>
                <w:rFonts w:ascii="Arial" w:cs="Arial" w:eastAsia="Arial" w:hAnsi="Arial"/>
                <w:sz w:val="23"/>
                <w:szCs w:val="23"/>
                <w:color w:val="auto"/>
                <w:vertAlign w:val="superscript"/>
              </w:rPr>
              <w:t>(1)</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39,006.2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12,918.5</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26,087.7</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In-process research and development</w:t>
            </w: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39,052.7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12,918.5</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26,134.2</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83"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Represents amortizable intangible assets. Other intangible assets consists principally of customer lists and contractual rights.</w:t>
      </w:r>
    </w:p>
    <w:p>
      <w:pPr>
        <w:spacing w:after="0" w:line="20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Amortization expense, which is classified primarily within cost of sales in the condensed consolidated statements of operations for the three months ended March 31, 2022 and 2021 totaled: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20" w:type="dxa"/>
            <w:vAlign w:val="bottom"/>
            <w:gridSpan w:val="4"/>
          </w:tcPr>
          <w:p>
            <w:pPr>
              <w:jc w:val="right"/>
              <w:ind w:right="515"/>
              <w:spacing w:after="0"/>
              <w:rPr>
                <w:sz w:val="20"/>
                <w:szCs w:val="20"/>
                <w:color w:val="auto"/>
              </w:rPr>
            </w:pPr>
            <w:r>
              <w:rPr>
                <w:rFonts w:ascii="Arial" w:cs="Arial" w:eastAsia="Arial" w:hAnsi="Arial"/>
                <w:sz w:val="14"/>
                <w:szCs w:val="14"/>
                <w:b w:val="1"/>
                <w:bCs w:val="1"/>
                <w:color w:val="auto"/>
              </w:rPr>
              <w:t>Three Months Ended</w:t>
            </w:r>
          </w:p>
        </w:tc>
      </w:tr>
      <w:tr>
        <w:trPr>
          <w:trHeight w:val="194"/>
        </w:trPr>
        <w:tc>
          <w:tcPr>
            <w:tcW w:w="8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r>
      <w:tr>
        <w:trPr>
          <w:trHeight w:val="188"/>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r>
      <w:tr>
        <w:trPr>
          <w:trHeight w:val="224"/>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 amortization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684.4</w:t>
            </w:r>
          </w:p>
        </w:tc>
      </w:tr>
      <w:tr>
        <w:trPr>
          <w:trHeight w:val="230"/>
        </w:trPr>
        <w:tc>
          <w:tcPr>
            <w:tcW w:w="8680" w:type="dxa"/>
            <w:vAlign w:val="bottom"/>
          </w:tcPr>
          <w:p>
            <w:pPr>
              <w:ind w:left="20"/>
              <w:spacing w:after="0"/>
              <w:rPr>
                <w:sz w:val="20"/>
                <w:szCs w:val="20"/>
                <w:color w:val="auto"/>
              </w:rPr>
            </w:pPr>
            <w:r>
              <w:rPr>
                <w:rFonts w:ascii="Arial" w:cs="Arial" w:eastAsia="Arial" w:hAnsi="Arial"/>
                <w:sz w:val="18"/>
                <w:szCs w:val="18"/>
                <w:color w:val="auto"/>
              </w:rPr>
              <w:t>Intangible asset impairment charges</w:t>
            </w:r>
          </w:p>
        </w:tc>
        <w:tc>
          <w:tcPr>
            <w:tcW w:w="3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83.4</w:t>
            </w:r>
          </w:p>
        </w:tc>
      </w:tr>
      <w:tr>
        <w:trPr>
          <w:trHeight w:val="248"/>
        </w:trPr>
        <w:tc>
          <w:tcPr>
            <w:tcW w:w="86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intangible asset amortization expense (including impairment charges)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767.8</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right="620" w:firstLine="648"/>
        <w:spacing w:after="0" w:line="342" w:lineRule="auto"/>
        <w:rPr>
          <w:sz w:val="20"/>
          <w:szCs w:val="20"/>
          <w:color w:val="auto"/>
        </w:rPr>
      </w:pPr>
      <w:r>
        <w:rPr>
          <w:rFonts w:ascii="Arial" w:cs="Arial" w:eastAsia="Arial" w:hAnsi="Arial"/>
          <w:sz w:val="16"/>
          <w:szCs w:val="16"/>
          <w:color w:val="auto"/>
        </w:rPr>
        <w:t>On April 30, 2021, the Company completed an agreement to divest a group of OTC products in the U.S. As a result of this transaction, the Company recognized an intangible asset impairment charge of approximately $83.4 million during the three months ended March 31, 2021.</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Intangible asset amortization expense over the remainder of 2022 and for the years ending December 31, 2023 through 2026 is estimated to be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50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3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2023</w:t>
            </w:r>
          </w:p>
        </w:tc>
        <w:tc>
          <w:tcPr>
            <w:tcW w:w="50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2,392</w:t>
            </w: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0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w:t>
            </w: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2025</w:t>
            </w:r>
          </w:p>
        </w:tc>
        <w:tc>
          <w:tcPr>
            <w:tcW w:w="50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2,198</w:t>
            </w: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0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Instruments and Risk Management</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Company is exposed to certain financial risks relating to its ongoing business operations. The primary financial risks that are managed by using derivative instruments are foreign currency risk and interest rate risk.</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Risk Management</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order to manage certain foreign currency risks, the Company enters into foreign exchange forward contracts to mitigate risk associated with changes in spot exchange rates of mainly non-functional currency denominated assets or liabilities. The foreign exchange forward contracts are measured at fair value and reported as current assets or current liabilities on the condensed consolidated balance sheets. Any gains or losses on the foreign exchange forward contracts are recognized in earnings in the period incurred in the condensed consolidated statements of operations.</w:t>
      </w:r>
    </w:p>
    <w:p>
      <w:pPr>
        <w:spacing w:after="0" w:line="17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Company has also entered into forward contracts to hedge forecasted foreign currency denominated sales from certain international subsidiaries and a portion of forecasted intercompany inventory sales denominated in Euro, Japanese Yen and Chinese Renminbi for up to eighteen months. These contracts are designated as cash flow hedges to manage foreign currency transaction risk and are measured at fair value and reported as current assets or current liabilities on the condensed consolidated balance sheets. Any changes in the fair value of designated cash flow hedges are deferred in AOCE and are reclassified into earnings when the hedged item impacts earnings.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Investment Hedges</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Company may hedge the foreign currency risk associated with certain net investment positions in foreign subsidiaries by either borrowing directly in foreign currencies and designating all or a portion of the foreign currency debt as a hedge of the applicable net investment position or entering into foreign currency swaps that are designated as hedges of net investments.</w:t>
      </w:r>
    </w:p>
    <w:p>
      <w:pPr>
        <w:spacing w:after="0" w:line="184"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The Company has designated certain Euro and Yen borrowings as a hedge of its investment in certain Euro-functional and Yen-functional currency subsidiaries in order to manage foreign currency translation risk. Borrowings designated as net investment hedges are marked-to-market using the current spot exchange rate as of the end of the period, with gains and losses included in the foreign currency translation component of AOCE until the sale or substantial liquidation of the underlying net investments. In addition, the Company manages the related foreign exchange risk of the Euro and Yen borrowings not designated as net investment hedges through certain Euro and Yen denominated financial assets and forward currency swaps.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principal amounts of the Company’s outstanding Euro and Yen borrowings and the notional amounts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Euro and Yen borrowings designated as net investment hedges:</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4"/>
          </w:tcPr>
          <w:p>
            <w:pPr>
              <w:jc w:val="right"/>
              <w:ind w:right="93"/>
              <w:spacing w:after="0"/>
              <w:rPr>
                <w:sz w:val="20"/>
                <w:szCs w:val="20"/>
                <w:color w:val="auto"/>
              </w:rPr>
            </w:pPr>
            <w:r>
              <w:rPr>
                <w:rFonts w:ascii="Arial" w:cs="Arial" w:eastAsia="Arial" w:hAnsi="Arial"/>
                <w:sz w:val="14"/>
                <w:szCs w:val="14"/>
                <w:b w:val="1"/>
                <w:bCs w:val="1"/>
                <w:color w:val="auto"/>
                <w:w w:val="92"/>
              </w:rPr>
              <w:t>Notional Amount Designated as a Net</w:t>
            </w:r>
          </w:p>
        </w:tc>
        <w:tc>
          <w:tcPr>
            <w:tcW w:w="0" w:type="dxa"/>
            <w:vAlign w:val="bottom"/>
          </w:tcPr>
          <w:p>
            <w:pPr>
              <w:spacing w:after="0"/>
              <w:rPr>
                <w:sz w:val="1"/>
                <w:szCs w:val="1"/>
                <w:color w:val="auto"/>
              </w:rPr>
            </w:pPr>
          </w:p>
        </w:tc>
      </w:tr>
      <w:tr>
        <w:trPr>
          <w:trHeight w:val="180"/>
        </w:trPr>
        <w:tc>
          <w:tcPr>
            <w:tcW w:w="7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Investment Hedge</w:t>
            </w:r>
          </w:p>
        </w:tc>
        <w:tc>
          <w:tcPr>
            <w:tcW w:w="0" w:type="dxa"/>
            <w:vAlign w:val="bottom"/>
          </w:tcPr>
          <w:p>
            <w:pPr>
              <w:spacing w:after="0"/>
              <w:rPr>
                <w:sz w:val="1"/>
                <w:szCs w:val="1"/>
                <w:color w:val="auto"/>
              </w:rPr>
            </w:pPr>
          </w:p>
        </w:tc>
      </w:tr>
      <w:tr>
        <w:trPr>
          <w:trHeight w:val="144"/>
        </w:trPr>
        <w:tc>
          <w:tcPr>
            <w:tcW w:w="71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3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Principal Amount</w:t>
            </w:r>
          </w:p>
        </w:tc>
        <w:tc>
          <w:tcPr>
            <w:tcW w:w="140" w:type="dxa"/>
            <w:vAlign w:val="bottom"/>
          </w:tcPr>
          <w:p>
            <w:pPr>
              <w:spacing w:after="0"/>
              <w:rPr>
                <w:sz w:val="12"/>
                <w:szCs w:val="12"/>
                <w:color w:val="auto"/>
              </w:rPr>
            </w:pPr>
          </w:p>
        </w:tc>
        <w:tc>
          <w:tcPr>
            <w:tcW w:w="1240" w:type="dxa"/>
            <w:vAlign w:val="bottom"/>
            <w:gridSpan w:val="2"/>
          </w:tcPr>
          <w:p>
            <w:pPr>
              <w:ind w:left="180"/>
              <w:spacing w:after="0" w:line="145"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2"/>
                <w:szCs w:val="12"/>
                <w:color w:val="auto"/>
              </w:rPr>
            </w:pPr>
          </w:p>
        </w:tc>
        <w:tc>
          <w:tcPr>
            <w:tcW w:w="1100" w:type="dxa"/>
            <w:vAlign w:val="bottom"/>
          </w:tcPr>
          <w:p>
            <w:pPr>
              <w:jc w:val="right"/>
              <w:ind w:right="133"/>
              <w:spacing w:after="0" w:line="145"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8"/>
        </w:trPr>
        <w:tc>
          <w:tcPr>
            <w:tcW w:w="7160" w:type="dxa"/>
            <w:vAlign w:val="bottom"/>
            <w:gridSpan w:val="2"/>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7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2.250% Euro Senior Notes due 2024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29"/>
        </w:trPr>
        <w:tc>
          <w:tcPr>
            <w:tcW w:w="7160" w:type="dxa"/>
            <w:vAlign w:val="bottom"/>
            <w:gridSpan w:val="2"/>
          </w:tcPr>
          <w:p>
            <w:pPr>
              <w:spacing w:after="0"/>
              <w:rPr>
                <w:sz w:val="20"/>
                <w:szCs w:val="20"/>
                <w:color w:val="auto"/>
              </w:rPr>
            </w:pPr>
            <w:r>
              <w:rPr>
                <w:rFonts w:ascii="Arial" w:cs="Arial" w:eastAsia="Arial" w:hAnsi="Arial"/>
                <w:sz w:val="18"/>
                <w:szCs w:val="18"/>
                <w:color w:val="auto"/>
              </w:rPr>
              <w:t>3.125% Euro Senior Notes due 2028</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29"/>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2.125% Euro Senior Notes due 2025</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0"/>
        </w:trPr>
        <w:tc>
          <w:tcPr>
            <w:tcW w:w="7160" w:type="dxa"/>
            <w:vAlign w:val="bottom"/>
            <w:gridSpan w:val="2"/>
          </w:tcPr>
          <w:p>
            <w:pPr>
              <w:spacing w:after="0"/>
              <w:rPr>
                <w:sz w:val="20"/>
                <w:szCs w:val="20"/>
                <w:color w:val="auto"/>
              </w:rPr>
            </w:pPr>
            <w:r>
              <w:rPr>
                <w:rFonts w:ascii="Arial" w:cs="Arial" w:eastAsia="Arial" w:hAnsi="Arial"/>
                <w:sz w:val="18"/>
                <w:szCs w:val="18"/>
                <w:color w:val="auto"/>
              </w:rPr>
              <w:t>0.816% Euro Senior Notes due 2022</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29"/>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1.023% Euro Senior Notes due 2024</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29"/>
        </w:trPr>
        <w:tc>
          <w:tcPr>
            <w:tcW w:w="7160" w:type="dxa"/>
            <w:vAlign w:val="bottom"/>
            <w:gridSpan w:val="2"/>
          </w:tcPr>
          <w:p>
            <w:pPr>
              <w:spacing w:after="0"/>
              <w:rPr>
                <w:sz w:val="20"/>
                <w:szCs w:val="20"/>
                <w:color w:val="auto"/>
              </w:rPr>
            </w:pPr>
            <w:r>
              <w:rPr>
                <w:rFonts w:ascii="Arial" w:cs="Arial" w:eastAsia="Arial" w:hAnsi="Arial"/>
                <w:sz w:val="18"/>
                <w:szCs w:val="18"/>
                <w:color w:val="auto"/>
              </w:rPr>
              <w:t>1.362% Euro Senior Notes due 2027</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850.0</w:t>
            </w:r>
          </w:p>
        </w:tc>
        <w:tc>
          <w:tcPr>
            <w:tcW w:w="0" w:type="dxa"/>
            <w:vAlign w:val="bottom"/>
          </w:tcPr>
          <w:p>
            <w:pPr>
              <w:spacing w:after="0"/>
              <w:rPr>
                <w:sz w:val="1"/>
                <w:szCs w:val="1"/>
                <w:color w:val="auto"/>
              </w:rPr>
            </w:pPr>
          </w:p>
        </w:tc>
      </w:tr>
      <w:tr>
        <w:trPr>
          <w:trHeight w:val="230"/>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1.908% Euro Senior Notes due 2032</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23"/>
        </w:trPr>
        <w:tc>
          <w:tcPr>
            <w:tcW w:w="716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5,850.0</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5,850.0</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5,850.0</w:t>
            </w: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60" w:type="dxa"/>
            <w:vAlign w:val="bottom"/>
            <w:gridSpan w:val="2"/>
          </w:tcPr>
          <w:p>
            <w:pPr>
              <w:spacing w:after="0"/>
              <w:rPr>
                <w:sz w:val="20"/>
                <w:szCs w:val="20"/>
                <w:color w:val="auto"/>
              </w:rPr>
            </w:pPr>
            <w:r>
              <w:rPr>
                <w:rFonts w:ascii="Arial" w:cs="Arial" w:eastAsia="Arial" w:hAnsi="Arial"/>
                <w:sz w:val="18"/>
                <w:szCs w:val="18"/>
                <w:i w:val="1"/>
                <w:iCs w:val="1"/>
                <w:color w:val="auto"/>
              </w:rPr>
              <w:t>Yen</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YEN Term Loan</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23"/>
        </w:trPr>
        <w:tc>
          <w:tcPr>
            <w:tcW w:w="7160" w:type="dxa"/>
            <w:vAlign w:val="bottom"/>
            <w:gridSpan w:val="2"/>
          </w:tcPr>
          <w:p>
            <w:pPr>
              <w:ind w:left="200"/>
              <w:spacing w:after="0"/>
              <w:rPr>
                <w:sz w:val="20"/>
                <w:szCs w:val="20"/>
                <w:color w:val="auto"/>
              </w:rPr>
            </w:pPr>
            <w:r>
              <w:rPr>
                <w:rFonts w:ascii="Arial" w:cs="Arial" w:eastAsia="Arial" w:hAnsi="Arial"/>
                <w:sz w:val="18"/>
                <w:szCs w:val="18"/>
                <w:color w:val="auto"/>
              </w:rPr>
              <w:t>Yen Total</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
        </w:trPr>
        <w:tc>
          <w:tcPr>
            <w:tcW w:w="7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March 31,2022, the principal amount of the Company’s outstanding Yen borrowings and the notional amount of the Yen borrowings designated as net investment hedge was $328.7 million.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 Management</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enters into interest rate swaps from time to time in order to manage interest rate risk associated with the Company’s fixed-rate and floating-rate debt. Interest rate swaps that meet specific accounting criteria are accounted for as fair value or cash flow hedges. All derivative instruments used to manage interest rate risk are measured at fair value and reported as current assets or current liabilities in the condensed consolidated balance sheets. For fair value hedges, the changes in the fair value of both the hedging instrument and the underlying debt obligations are included in interest expense. For cash flow hedges, the change in fair value of the hedging instrument is deferred through AOCE and is reclassified into earnings when the hedged item impacts earnings.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Risk Management</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Company regularly reviews the creditworthiness of its financial counterparties and does not expect to incur a significant loss from the failure of any counterparties to perform under any agreements. The Company is not subject to any obligations to post collateral under derivative instrument contracts. Certain derivative instrument contracts entered into by the Company are governed by master agreements, which contain credit-risk-related contingent features that would allow the counterparties to terminate the contracts early and request immediate payment should the Company trigger an event of default on other specified borrowings. The Company records all derivative instruments on a gross basis in the condensed consolidated balance sheets. Accordingly, there are no offsetting amounts that net assets against liabilities.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following table summarizes the classification and fair values of derivative instruments in our condensed consolidated balance sheets: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780" w:type="dxa"/>
            <w:vAlign w:val="bottom"/>
          </w:tcPr>
          <w:p>
            <w:pPr>
              <w:spacing w:after="0"/>
              <w:rPr>
                <w:sz w:val="17"/>
                <w:szCs w:val="17"/>
                <w:color w:val="auto"/>
              </w:rPr>
            </w:pPr>
          </w:p>
        </w:tc>
        <w:tc>
          <w:tcPr>
            <w:tcW w:w="2820" w:type="dxa"/>
            <w:vAlign w:val="bottom"/>
            <w:tcBorders>
              <w:top w:val="single" w:sz="8" w:color="auto"/>
              <w:bottom w:val="single" w:sz="8" w:color="auto"/>
            </w:tcBorders>
            <w:gridSpan w:val="3"/>
          </w:tcPr>
          <w:p>
            <w:pPr>
              <w:jc w:val="right"/>
              <w:ind w:right="257"/>
              <w:spacing w:after="0"/>
              <w:rPr>
                <w:sz w:val="20"/>
                <w:szCs w:val="20"/>
                <w:color w:val="auto"/>
              </w:rPr>
            </w:pPr>
            <w:r>
              <w:rPr>
                <w:rFonts w:ascii="Arial" w:cs="Arial" w:eastAsia="Arial" w:hAnsi="Arial"/>
                <w:sz w:val="14"/>
                <w:szCs w:val="14"/>
                <w:b w:val="1"/>
                <w:bCs w:val="1"/>
                <w:color w:val="auto"/>
              </w:rPr>
              <w:t>Asset Derivatives</w:t>
            </w:r>
          </w:p>
        </w:tc>
        <w:tc>
          <w:tcPr>
            <w:tcW w:w="3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Liability Derivatives</w:t>
            </w:r>
          </w:p>
        </w:tc>
        <w:tc>
          <w:tcPr>
            <w:tcW w:w="3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7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center"/>
              <w:ind w:right="37"/>
              <w:spacing w:after="0"/>
              <w:rPr>
                <w:sz w:val="20"/>
                <w:szCs w:val="20"/>
                <w:color w:val="auto"/>
              </w:rPr>
            </w:pPr>
            <w:r>
              <w:rPr>
                <w:rFonts w:ascii="Arial" w:cs="Arial" w:eastAsia="Arial" w:hAnsi="Arial"/>
                <w:sz w:val="14"/>
                <w:szCs w:val="14"/>
                <w:b w:val="1"/>
                <w:bCs w:val="1"/>
                <w:color w:val="auto"/>
                <w:w w:val="95"/>
              </w:rPr>
              <w:t>March 31,</w:t>
            </w:r>
          </w:p>
        </w:tc>
        <w:tc>
          <w:tcPr>
            <w:tcW w:w="10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7"/>
                <w:szCs w:val="17"/>
                <w:color w:val="auto"/>
              </w:rPr>
            </w:pPr>
          </w:p>
        </w:tc>
        <w:tc>
          <w:tcPr>
            <w:tcW w:w="146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Balance Sheet</w:t>
            </w:r>
          </w:p>
        </w:tc>
        <w:tc>
          <w:tcPr>
            <w:tcW w:w="860" w:type="dxa"/>
            <w:vAlign w:val="bottom"/>
          </w:tcPr>
          <w:p>
            <w:pPr>
              <w:jc w:val="center"/>
              <w:ind w:right="77"/>
              <w:spacing w:after="0"/>
              <w:rPr>
                <w:sz w:val="20"/>
                <w:szCs w:val="20"/>
                <w:color w:val="auto"/>
              </w:rPr>
            </w:pPr>
            <w:r>
              <w:rPr>
                <w:rFonts w:ascii="Arial" w:cs="Arial" w:eastAsia="Arial" w:hAnsi="Arial"/>
                <w:sz w:val="14"/>
                <w:szCs w:val="14"/>
                <w:b w:val="1"/>
                <w:bCs w:val="1"/>
                <w:color w:val="auto"/>
                <w:w w:val="95"/>
              </w:rPr>
              <w:t>March 31,</w:t>
            </w:r>
          </w:p>
        </w:tc>
        <w:tc>
          <w:tcPr>
            <w:tcW w:w="10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35"/>
        </w:trPr>
        <w:tc>
          <w:tcPr>
            <w:tcW w:w="37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8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Balance Sheet Location</w:t>
            </w:r>
          </w:p>
        </w:tc>
        <w:tc>
          <w:tcPr>
            <w:tcW w:w="14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4"/>
                <w:szCs w:val="14"/>
                <w:b w:val="1"/>
                <w:bCs w:val="1"/>
                <w:color w:val="auto"/>
                <w:w w:val="95"/>
              </w:rPr>
              <w:t>2022 Fair</w:t>
            </w:r>
          </w:p>
        </w:tc>
        <w:tc>
          <w:tcPr>
            <w:tcW w:w="10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3"/>
            <w:vMerge w:val="continue"/>
          </w:tcPr>
          <w:p>
            <w:pPr>
              <w:spacing w:after="0"/>
              <w:rPr>
                <w:sz w:val="11"/>
                <w:szCs w:val="11"/>
                <w:color w:val="auto"/>
              </w:rPr>
            </w:pPr>
          </w:p>
        </w:tc>
        <w:tc>
          <w:tcPr>
            <w:tcW w:w="86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w w:val="95"/>
              </w:rPr>
              <w:t>2022 Fair</w:t>
            </w: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780" w:type="dxa"/>
            <w:vAlign w:val="bottom"/>
            <w:tcBorders>
              <w:bottom w:val="single" w:sz="8" w:color="CCEEFF"/>
            </w:tcBorders>
            <w:vMerge w:val="continue"/>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0"/>
              </w:rPr>
              <w:t>Value</w:t>
            </w: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6"/>
              </w:rPr>
              <w:t>2021 Fair Value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Location</w:t>
            </w: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Value</w:t>
            </w: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6"/>
              </w:rPr>
              <w:t>2021 Fair Value</w:t>
            </w:r>
          </w:p>
        </w:tc>
        <w:tc>
          <w:tcPr>
            <w:tcW w:w="0" w:type="dxa"/>
            <w:vAlign w:val="bottom"/>
          </w:tcPr>
          <w:p>
            <w:pPr>
              <w:spacing w:after="0"/>
              <w:rPr>
                <w:sz w:val="1"/>
                <w:szCs w:val="1"/>
                <w:color w:val="auto"/>
              </w:rPr>
            </w:pPr>
          </w:p>
        </w:tc>
      </w:tr>
      <w:tr>
        <w:trPr>
          <w:trHeight w:val="197"/>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designated as hedges:</w:t>
            </w:r>
          </w:p>
        </w:tc>
        <w:tc>
          <w:tcPr>
            <w:tcW w:w="1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780" w:type="dxa"/>
            <w:vAlign w:val="bottom"/>
            <w:vMerge w:val="restart"/>
          </w:tcPr>
          <w:p>
            <w:pPr>
              <w:ind w:left="240"/>
              <w:spacing w:after="0"/>
              <w:rPr>
                <w:sz w:val="20"/>
                <w:szCs w:val="20"/>
                <w:color w:val="auto"/>
              </w:rPr>
            </w:pPr>
            <w:r>
              <w:rPr>
                <w:rFonts w:ascii="Arial" w:cs="Arial" w:eastAsia="Arial" w:hAnsi="Arial"/>
                <w:sz w:val="18"/>
                <w:szCs w:val="18"/>
                <w:color w:val="auto"/>
              </w:rPr>
              <w:t>Foreign currency forward contracts</w:t>
            </w:r>
          </w:p>
        </w:tc>
        <w:tc>
          <w:tcPr>
            <w:tcW w:w="1860" w:type="dxa"/>
            <w:vAlign w:val="bottom"/>
          </w:tcPr>
          <w:p>
            <w:pPr>
              <w:ind w:left="20"/>
              <w:spacing w:after="0" w:line="176" w:lineRule="exact"/>
              <w:rPr>
                <w:sz w:val="20"/>
                <w:szCs w:val="20"/>
                <w:color w:val="auto"/>
              </w:rPr>
            </w:pPr>
            <w:r>
              <w:rPr>
                <w:rFonts w:ascii="Arial" w:cs="Arial" w:eastAsia="Arial" w:hAnsi="Arial"/>
                <w:sz w:val="18"/>
                <w:szCs w:val="18"/>
                <w:color w:val="auto"/>
              </w:rPr>
              <w:t>Prepaid expenses &amp;</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63.9</w:t>
            </w: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5"/>
                <w:szCs w:val="15"/>
                <w:color w:val="auto"/>
              </w:rPr>
            </w:pPr>
          </w:p>
        </w:tc>
        <w:tc>
          <w:tcPr>
            <w:tcW w:w="1020" w:type="dxa"/>
            <w:vAlign w:val="bottom"/>
          </w:tcPr>
          <w:p>
            <w:pPr>
              <w:ind w:left="20"/>
              <w:spacing w:after="0" w:line="176" w:lineRule="exact"/>
              <w:rPr>
                <w:sz w:val="20"/>
                <w:szCs w:val="20"/>
                <w:color w:val="auto"/>
              </w:rPr>
            </w:pPr>
            <w:r>
              <w:rPr>
                <w:rFonts w:ascii="Arial" w:cs="Arial" w:eastAsia="Arial" w:hAnsi="Arial"/>
                <w:sz w:val="18"/>
                <w:szCs w:val="18"/>
                <w:color w:val="auto"/>
                <w:w w:val="92"/>
              </w:rPr>
              <w:t>Other current</w:t>
            </w: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7.6</w:t>
            </w:r>
          </w:p>
        </w:tc>
        <w:tc>
          <w:tcPr>
            <w:tcW w:w="360" w:type="dxa"/>
            <w:vAlign w:val="bottom"/>
            <w:vMerge w:val="restart"/>
          </w:tcPr>
          <w:p>
            <w:pPr>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3780" w:type="dxa"/>
            <w:vAlign w:val="bottom"/>
            <w:vMerge w:val="continue"/>
          </w:tcPr>
          <w:p>
            <w:pPr>
              <w:spacing w:after="0"/>
              <w:rPr>
                <w:sz w:val="19"/>
                <w:szCs w:val="19"/>
                <w:color w:val="auto"/>
              </w:rPr>
            </w:pPr>
          </w:p>
        </w:tc>
        <w:tc>
          <w:tcPr>
            <w:tcW w:w="18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44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Total derivatives designated as hedges</w:t>
            </w:r>
          </w:p>
        </w:tc>
        <w:tc>
          <w:tcPr>
            <w:tcW w:w="18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3"/>
        </w:trPr>
        <w:tc>
          <w:tcPr>
            <w:tcW w:w="3780" w:type="dxa"/>
            <w:vAlign w:val="bottom"/>
          </w:tcPr>
          <w:p>
            <w:pPr>
              <w:ind w:left="20"/>
              <w:spacing w:after="0"/>
              <w:rPr>
                <w:sz w:val="20"/>
                <w:szCs w:val="20"/>
                <w:color w:val="auto"/>
              </w:rPr>
            </w:pPr>
            <w:r>
              <w:rPr>
                <w:rFonts w:ascii="Arial" w:cs="Arial" w:eastAsia="Arial" w:hAnsi="Arial"/>
                <w:sz w:val="16"/>
                <w:szCs w:val="16"/>
                <w:b w:val="1"/>
                <w:bCs w:val="1"/>
                <w:color w:val="auto"/>
              </w:rPr>
              <w:t>Derivatives not designated as hedges:</w:t>
            </w:r>
          </w:p>
        </w:tc>
        <w:tc>
          <w:tcPr>
            <w:tcW w:w="1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78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Foreign currency forward contracts</w:t>
            </w:r>
          </w:p>
        </w:tc>
        <w:tc>
          <w:tcPr>
            <w:tcW w:w="1860" w:type="dxa"/>
            <w:vAlign w:val="bottom"/>
            <w:shd w:val="clear" w:color="auto" w:fill="CCEEFF"/>
          </w:tcPr>
          <w:p>
            <w:pPr>
              <w:ind w:left="20"/>
              <w:spacing w:after="0" w:line="178" w:lineRule="exact"/>
              <w:rPr>
                <w:sz w:val="20"/>
                <w:szCs w:val="20"/>
                <w:color w:val="auto"/>
              </w:rPr>
            </w:pPr>
            <w:r>
              <w:rPr>
                <w:rFonts w:ascii="Arial" w:cs="Arial" w:eastAsia="Arial" w:hAnsi="Arial"/>
                <w:sz w:val="18"/>
                <w:szCs w:val="18"/>
                <w:color w:val="auto"/>
              </w:rPr>
              <w:t>Prepaid expenses &amp;</w:t>
            </w:r>
          </w:p>
        </w:tc>
        <w:tc>
          <w:tcPr>
            <w:tcW w:w="1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3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ind w:left="20"/>
              <w:spacing w:after="0" w:line="178" w:lineRule="exact"/>
              <w:rPr>
                <w:sz w:val="20"/>
                <w:szCs w:val="20"/>
                <w:color w:val="auto"/>
              </w:rPr>
            </w:pPr>
            <w:r>
              <w:rPr>
                <w:rFonts w:ascii="Arial" w:cs="Arial" w:eastAsia="Arial" w:hAnsi="Arial"/>
                <w:sz w:val="18"/>
                <w:szCs w:val="18"/>
                <w:color w:val="auto"/>
                <w:w w:val="92"/>
              </w:rPr>
              <w:t>Other current</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3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29"/>
        </w:trPr>
        <w:tc>
          <w:tcPr>
            <w:tcW w:w="3780" w:type="dxa"/>
            <w:vAlign w:val="bottom"/>
            <w:vMerge w:val="continue"/>
            <w:shd w:val="clear" w:color="auto" w:fill="CCEEFF"/>
          </w:tcPr>
          <w:p>
            <w:pPr>
              <w:spacing w:after="0"/>
              <w:rPr>
                <w:sz w:val="19"/>
                <w:szCs w:val="19"/>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b w:val="1"/>
                <w:bCs w:val="1"/>
                <w:color w:val="auto"/>
              </w:rPr>
              <w:t>Total derivatives not designated as hedges</w:t>
            </w:r>
          </w:p>
        </w:tc>
        <w:tc>
          <w:tcPr>
            <w:tcW w:w="18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w:t>
            </w: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derivatives</w:t>
            </w:r>
          </w:p>
        </w:tc>
        <w:tc>
          <w:tcPr>
            <w:tcW w:w="1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information about the gains/(losses) incurred to hedge or offset operational foreign exchange or interest rate risk:</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7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1"/>
              </w:rPr>
              <w:t>Amount of Gains/(Losses)</w:t>
            </w:r>
          </w:p>
        </w:tc>
        <w:tc>
          <w:tcPr>
            <w:tcW w:w="1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Amount of Gains/(Losses)</w:t>
            </w:r>
          </w:p>
        </w:tc>
        <w:tc>
          <w:tcPr>
            <w:tcW w:w="1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Amount of Gains/(Losses)</w:t>
            </w: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700" w:type="dxa"/>
            <w:vAlign w:val="bottom"/>
            <w:gridSpan w:val="4"/>
            <w:vMerge w:val="continue"/>
          </w:tcPr>
          <w:p>
            <w:pPr>
              <w:spacing w:after="0"/>
              <w:rPr>
                <w:sz w:val="11"/>
                <w:szCs w:val="11"/>
                <w:color w:val="auto"/>
              </w:rPr>
            </w:pPr>
          </w:p>
        </w:tc>
        <w:tc>
          <w:tcPr>
            <w:tcW w:w="174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auto"/>
                <w:w w:val="95"/>
              </w:rPr>
              <w:t>Recognized in AOCE (Net</w:t>
            </w:r>
          </w:p>
        </w:tc>
        <w:tc>
          <w:tcPr>
            <w:tcW w:w="120" w:type="dxa"/>
            <w:vAlign w:val="bottom"/>
          </w:tcPr>
          <w:p>
            <w:pPr>
              <w:spacing w:after="0"/>
              <w:rPr>
                <w:sz w:val="11"/>
                <w:szCs w:val="11"/>
                <w:color w:val="auto"/>
              </w:rPr>
            </w:pPr>
          </w:p>
        </w:tc>
        <w:tc>
          <w:tcPr>
            <w:tcW w:w="1620" w:type="dxa"/>
            <w:vAlign w:val="bottom"/>
            <w:gridSpan w:val="3"/>
          </w:tcPr>
          <w:p>
            <w:pPr>
              <w:jc w:val="center"/>
              <w:ind w:right="13"/>
              <w:spacing w:after="0" w:line="135" w:lineRule="exact"/>
              <w:rPr>
                <w:sz w:val="20"/>
                <w:szCs w:val="20"/>
                <w:color w:val="auto"/>
              </w:rPr>
            </w:pPr>
            <w:r>
              <w:rPr>
                <w:rFonts w:ascii="Arial" w:cs="Arial" w:eastAsia="Arial" w:hAnsi="Arial"/>
                <w:sz w:val="14"/>
                <w:szCs w:val="14"/>
                <w:b w:val="1"/>
                <w:bCs w:val="1"/>
                <w:color w:val="auto"/>
                <w:w w:val="94"/>
              </w:rPr>
              <w:t>Reclassified from AOCE</w:t>
            </w:r>
          </w:p>
        </w:tc>
        <w:tc>
          <w:tcPr>
            <w:tcW w:w="0" w:type="dxa"/>
            <w:vAlign w:val="bottom"/>
          </w:tcPr>
          <w:p>
            <w:pPr>
              <w:spacing w:after="0"/>
              <w:rPr>
                <w:sz w:val="1"/>
                <w:szCs w:val="1"/>
                <w:color w:val="auto"/>
              </w:rPr>
            </w:pPr>
          </w:p>
        </w:tc>
      </w:tr>
      <w:tr>
        <w:trPr>
          <w:trHeight w:val="188"/>
        </w:trPr>
        <w:tc>
          <w:tcPr>
            <w:tcW w:w="40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13"/>
              <w:spacing w:after="0"/>
              <w:rPr>
                <w:sz w:val="20"/>
                <w:szCs w:val="20"/>
                <w:color w:val="auto"/>
              </w:rPr>
            </w:pPr>
            <w:r>
              <w:rPr>
                <w:rFonts w:ascii="Arial" w:cs="Arial" w:eastAsia="Arial" w:hAnsi="Arial"/>
                <w:sz w:val="14"/>
                <w:szCs w:val="14"/>
                <w:b w:val="1"/>
                <w:bCs w:val="1"/>
                <w:color w:val="auto"/>
                <w:w w:val="90"/>
              </w:rPr>
              <w:t>Recognized in Earnings</w:t>
            </w: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53"/>
              <w:spacing w:after="0"/>
              <w:rPr>
                <w:sz w:val="20"/>
                <w:szCs w:val="20"/>
                <w:color w:val="auto"/>
              </w:rPr>
            </w:pPr>
            <w:r>
              <w:rPr>
                <w:rFonts w:ascii="Arial" w:cs="Arial" w:eastAsia="Arial" w:hAnsi="Arial"/>
                <w:sz w:val="14"/>
                <w:szCs w:val="14"/>
                <w:b w:val="1"/>
                <w:bCs w:val="1"/>
                <w:color w:val="auto"/>
                <w:w w:val="92"/>
              </w:rPr>
              <w:t>of Tax) on Derivatives</w:t>
            </w: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13"/>
              <w:spacing w:after="0"/>
              <w:rPr>
                <w:sz w:val="20"/>
                <w:szCs w:val="20"/>
                <w:color w:val="auto"/>
              </w:rPr>
            </w:pPr>
            <w:r>
              <w:rPr>
                <w:rFonts w:ascii="Arial" w:cs="Arial" w:eastAsia="Arial" w:hAnsi="Arial"/>
                <w:sz w:val="14"/>
                <w:szCs w:val="14"/>
                <w:b w:val="1"/>
                <w:bCs w:val="1"/>
                <w:color w:val="auto"/>
                <w:w w:val="93"/>
              </w:rPr>
              <w:t>into Earnings</w:t>
            </w:r>
          </w:p>
        </w:tc>
        <w:tc>
          <w:tcPr>
            <w:tcW w:w="0" w:type="dxa"/>
            <w:vAlign w:val="bottom"/>
          </w:tcPr>
          <w:p>
            <w:pPr>
              <w:spacing w:after="0"/>
              <w:rPr>
                <w:sz w:val="1"/>
                <w:szCs w:val="1"/>
                <w:color w:val="auto"/>
              </w:rPr>
            </w:pPr>
          </w:p>
        </w:tc>
      </w:tr>
      <w:tr>
        <w:trPr>
          <w:trHeight w:val="130"/>
        </w:trPr>
        <w:tc>
          <w:tcPr>
            <w:tcW w:w="40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3"/>
          </w:tcPr>
          <w:p>
            <w:pPr>
              <w:jc w:val="center"/>
              <w:spacing w:after="0" w:line="130" w:lineRule="exact"/>
              <w:rPr>
                <w:sz w:val="20"/>
                <w:szCs w:val="20"/>
                <w:color w:val="auto"/>
              </w:rPr>
            </w:pPr>
            <w:r>
              <w:rPr>
                <w:rFonts w:ascii="Arial" w:cs="Arial" w:eastAsia="Arial" w:hAnsi="Arial"/>
                <w:sz w:val="14"/>
                <w:szCs w:val="14"/>
                <w:b w:val="1"/>
                <w:bCs w:val="1"/>
                <w:color w:val="auto"/>
                <w:w w:val="91"/>
              </w:rPr>
              <w:t>Three months ended</w:t>
            </w:r>
          </w:p>
        </w:tc>
        <w:tc>
          <w:tcPr>
            <w:tcW w:w="180" w:type="dxa"/>
            <w:vAlign w:val="bottom"/>
          </w:tcPr>
          <w:p>
            <w:pPr>
              <w:spacing w:after="0"/>
              <w:rPr>
                <w:sz w:val="11"/>
                <w:szCs w:val="11"/>
                <w:color w:val="auto"/>
              </w:rPr>
            </w:pPr>
          </w:p>
        </w:tc>
        <w:tc>
          <w:tcPr>
            <w:tcW w:w="1560" w:type="dxa"/>
            <w:vAlign w:val="bottom"/>
            <w:gridSpan w:val="3"/>
          </w:tcPr>
          <w:p>
            <w:pPr>
              <w:jc w:val="center"/>
              <w:ind w:right="53"/>
              <w:spacing w:after="0" w:line="130" w:lineRule="exact"/>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Pr>
          <w:p>
            <w:pPr>
              <w:spacing w:after="0"/>
              <w:rPr>
                <w:sz w:val="11"/>
                <w:szCs w:val="11"/>
                <w:color w:val="auto"/>
              </w:rPr>
            </w:pPr>
          </w:p>
        </w:tc>
        <w:tc>
          <w:tcPr>
            <w:tcW w:w="1620" w:type="dxa"/>
            <w:vAlign w:val="bottom"/>
            <w:gridSpan w:val="3"/>
          </w:tcPr>
          <w:p>
            <w:pPr>
              <w:jc w:val="center"/>
              <w:ind w:right="33"/>
              <w:spacing w:after="0" w:line="130" w:lineRule="exact"/>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80"/>
        </w:trPr>
        <w:tc>
          <w:tcPr>
            <w:tcW w:w="40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3"/>
          </w:tcPr>
          <w:p>
            <w:pPr>
              <w:jc w:val="center"/>
              <w:ind w:right="13"/>
              <w:spacing w:after="0"/>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15"/>
                <w:szCs w:val="15"/>
                <w:color w:val="auto"/>
              </w:rPr>
            </w:pPr>
          </w:p>
        </w:tc>
        <w:tc>
          <w:tcPr>
            <w:tcW w:w="1560" w:type="dxa"/>
            <w:vAlign w:val="bottom"/>
            <w:gridSpan w:val="3"/>
          </w:tcPr>
          <w:p>
            <w:pPr>
              <w:jc w:val="center"/>
              <w:ind w:right="53"/>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5"/>
                <w:szCs w:val="15"/>
                <w:color w:val="auto"/>
              </w:rPr>
            </w:pPr>
          </w:p>
        </w:tc>
        <w:tc>
          <w:tcPr>
            <w:tcW w:w="1620" w:type="dxa"/>
            <w:vAlign w:val="bottom"/>
            <w:gridSpan w:val="3"/>
          </w:tcPr>
          <w:p>
            <w:pPr>
              <w:jc w:val="center"/>
              <w:ind w:right="13"/>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60" w:type="dxa"/>
            <w:vAlign w:val="bottom"/>
            <w:tcBorders>
              <w:bottom w:val="single" w:sz="8" w:color="CCEEFF"/>
            </w:tcBorders>
          </w:tcPr>
          <w:p>
            <w:pPr>
              <w:ind w:left="320"/>
              <w:spacing w:after="0"/>
              <w:rPr>
                <w:sz w:val="20"/>
                <w:szCs w:val="20"/>
                <w:color w:val="auto"/>
              </w:rPr>
            </w:pPr>
            <w:r>
              <w:rPr>
                <w:rFonts w:ascii="Arial" w:cs="Arial" w:eastAsia="Arial" w:hAnsi="Arial"/>
                <w:sz w:val="14"/>
                <w:szCs w:val="14"/>
                <w:b w:val="1"/>
                <w:bCs w:val="1"/>
                <w:color w:val="auto"/>
              </w:rPr>
              <w:t>Location of Gain/(Loss)</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b w:val="1"/>
                <w:bCs w:val="1"/>
                <w:color w:val="auto"/>
                <w:w w:val="94"/>
              </w:rPr>
              <w:t>Derivative Financial Instruments in Cash Flow Hedging</w:t>
            </w: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 xml:space="preserve">Relationships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40"/>
              <w:spacing w:after="0"/>
              <w:rPr>
                <w:sz w:val="20"/>
                <w:szCs w:val="20"/>
                <w:color w:val="auto"/>
              </w:rPr>
            </w:pPr>
            <w:r>
              <w:rPr>
                <w:rFonts w:ascii="Arial" w:cs="Arial" w:eastAsia="Arial" w:hAnsi="Arial"/>
                <w:sz w:val="18"/>
                <w:szCs w:val="18"/>
                <w:color w:val="auto"/>
              </w:rPr>
              <w:t>Foreign currency forward contracts</w:t>
            </w:r>
          </w:p>
        </w:tc>
        <w:tc>
          <w:tcPr>
            <w:tcW w:w="2060" w:type="dxa"/>
            <w:vAlign w:val="bottom"/>
          </w:tcPr>
          <w:p>
            <w:pPr>
              <w:ind w:left="40"/>
              <w:spacing w:after="0" w:line="230" w:lineRule="exact"/>
              <w:rPr>
                <w:sz w:val="20"/>
                <w:szCs w:val="20"/>
                <w:color w:val="auto"/>
              </w:rPr>
            </w:pPr>
            <w:r>
              <w:rPr>
                <w:rFonts w:ascii="Arial" w:cs="Arial" w:eastAsia="Arial" w:hAnsi="Arial"/>
                <w:sz w:val="18"/>
                <w:szCs w:val="18"/>
                <w:color w:val="auto"/>
              </w:rPr>
              <w:t xml:space="preserve">Net sales </w:t>
            </w:r>
            <w:r>
              <w:rPr>
                <w:rFonts w:ascii="Arial" w:cs="Arial" w:eastAsia="Arial" w:hAnsi="Arial"/>
                <w:sz w:val="23"/>
                <w:szCs w:val="23"/>
                <w:color w:val="auto"/>
                <w:vertAlign w:val="superscript"/>
              </w:rPr>
              <w:t>(3)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rate swaps</w:t>
            </w:r>
          </w:p>
        </w:tc>
        <w:tc>
          <w:tcPr>
            <w:tcW w:w="206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3"/>
                <w:szCs w:val="23"/>
                <w:color w:val="auto"/>
                <w:vertAlign w:val="superscript"/>
              </w:rPr>
              <w:t>(3)</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62"/>
        </w:trPr>
        <w:tc>
          <w:tcPr>
            <w:tcW w:w="400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Derivative Financial Instruments in Net Investment</w:t>
            </w: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Hedging Relationships:</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2"/>
              </w:rPr>
              <w:t>Foreign currency borrowings and forward contracts</w:t>
            </w:r>
          </w:p>
        </w:tc>
        <w:tc>
          <w:tcPr>
            <w:tcW w:w="2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400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Derivative Financial Instruments Not Designated as</w:t>
            </w: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Hedging Instruments:</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option and forward contracts</w:t>
            </w:r>
          </w:p>
        </w:tc>
        <w:tc>
          <w:tcPr>
            <w:tcW w:w="2060" w:type="dxa"/>
            <w:vAlign w:val="bottom"/>
            <w:shd w:val="clear" w:color="auto" w:fill="CCEEFF"/>
          </w:tcPr>
          <w:p>
            <w:pPr>
              <w:ind w:left="40"/>
              <w:spacing w:after="0" w:line="232" w:lineRule="exact"/>
              <w:rPr>
                <w:sz w:val="20"/>
                <w:szCs w:val="20"/>
                <w:color w:val="auto"/>
              </w:rPr>
            </w:pPr>
            <w:r>
              <w:rPr>
                <w:rFonts w:ascii="Arial" w:cs="Arial" w:eastAsia="Arial" w:hAnsi="Arial"/>
                <w:sz w:val="18"/>
                <w:szCs w:val="18"/>
                <w:color w:val="auto"/>
              </w:rPr>
              <w:t xml:space="preserve">Other expense, net </w:t>
            </w:r>
            <w:r>
              <w:rPr>
                <w:rFonts w:ascii="Arial" w:cs="Arial" w:eastAsia="Arial" w:hAnsi="Arial"/>
                <w:sz w:val="23"/>
                <w:szCs w:val="23"/>
                <w:color w:val="auto"/>
                <w:vertAlign w:val="superscript"/>
              </w:rPr>
              <w:t>(2)</w:t>
            </w:r>
          </w:p>
        </w:tc>
        <w:tc>
          <w:tcPr>
            <w:tcW w:w="1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00" w:type="dxa"/>
            <w:vAlign w:val="bottom"/>
          </w:tcPr>
          <w:p>
            <w:pPr>
              <w:ind w:left="220"/>
              <w:spacing w:after="0"/>
              <w:rPr>
                <w:sz w:val="20"/>
                <w:szCs w:val="20"/>
                <w:color w:val="auto"/>
              </w:rPr>
            </w:pPr>
            <w:r>
              <w:rPr>
                <w:rFonts w:ascii="Arial" w:cs="Arial" w:eastAsia="Arial" w:hAnsi="Arial"/>
                <w:sz w:val="18"/>
                <w:szCs w:val="18"/>
                <w:b w:val="1"/>
                <w:bCs w:val="1"/>
                <w:color w:val="auto"/>
              </w:rPr>
              <w:t>Total</w:t>
            </w:r>
          </w:p>
        </w:tc>
        <w:tc>
          <w:tcPr>
            <w:tcW w:w="20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23" w:lineRule="exact"/>
        <w:rPr>
          <w:sz w:val="20"/>
          <w:szCs w:val="20"/>
          <w:color w:val="auto"/>
        </w:rPr>
      </w:pPr>
    </w:p>
    <w:p>
      <w:pPr>
        <w:ind w:left="660" w:right="420" w:hanging="328"/>
        <w:spacing w:after="0" w:line="219" w:lineRule="auto"/>
        <w:tabs>
          <w:tab w:leader="none" w:pos="64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At March 31, 2022, the Company expects that approximately $22.0 million of pre-tax net gains on cash flow hedges will be reclassified from AOCE into earnings during the next twelve months.</w:t>
      </w:r>
    </w:p>
    <w:p>
      <w:pPr>
        <w:spacing w:after="0" w:line="47" w:lineRule="exact"/>
        <w:rPr>
          <w:rFonts w:ascii="Arial" w:cs="Arial" w:eastAsia="Arial" w:hAnsi="Arial"/>
          <w:sz w:val="23"/>
          <w:szCs w:val="23"/>
          <w:color w:val="auto"/>
          <w:vertAlign w:val="superscript"/>
        </w:rPr>
      </w:pPr>
    </w:p>
    <w:p>
      <w:pPr>
        <w:ind w:left="640" w:hanging="308"/>
        <w:spacing w:after="0"/>
        <w:tabs>
          <w:tab w:leader="none" w:pos="64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Represents the location of the gain/(loss) recognized in earnings on derivatives.</w:t>
      </w:r>
    </w:p>
    <w:p>
      <w:pPr>
        <w:spacing w:after="0" w:line="68" w:lineRule="exact"/>
        <w:rPr>
          <w:rFonts w:ascii="Arial" w:cs="Arial" w:eastAsia="Arial" w:hAnsi="Arial"/>
          <w:sz w:val="23"/>
          <w:szCs w:val="23"/>
          <w:color w:val="auto"/>
          <w:vertAlign w:val="superscript"/>
        </w:rPr>
      </w:pPr>
    </w:p>
    <w:p>
      <w:pPr>
        <w:ind w:left="640" w:hanging="308"/>
        <w:spacing w:after="0" w:line="219" w:lineRule="auto"/>
        <w:tabs>
          <w:tab w:leader="none" w:pos="64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Represents the location of the gain/(loss) reclassified from AOCE into earnings.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25"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Fair value is based on the price that would be received from the sale of an identical asset or paid to transfer an identical liability in an orderly transaction between market participants at the measurement date. In order to increase consistency and comparability in fair value measurements, a fair value hierarchy has been established that prioritizes observable and unobservable inputs used to measure fair value into three broad levels, which are described below:</w:t>
      </w:r>
    </w:p>
    <w:p>
      <w:pPr>
        <w:spacing w:after="0" w:line="79" w:lineRule="exact"/>
        <w:rPr>
          <w:sz w:val="20"/>
          <w:szCs w:val="20"/>
          <w:color w:val="auto"/>
        </w:rPr>
      </w:pPr>
    </w:p>
    <w:p>
      <w:pPr>
        <w:ind w:left="980" w:right="320" w:hanging="324"/>
        <w:spacing w:after="0" w:line="277" w:lineRule="auto"/>
        <w:tabs>
          <w:tab w:leader="none" w:pos="975"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Quoted prices (unadjusted) in active markets that are accessible at the measurement date for identical assets or liabilities.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hierarchy gives the highest priority to Level 1 inputs.</w:t>
      </w:r>
    </w:p>
    <w:p>
      <w:pPr>
        <w:spacing w:after="0" w:line="62" w:lineRule="exact"/>
        <w:rPr>
          <w:rFonts w:ascii="Arial" w:cs="Arial" w:eastAsia="Arial" w:hAnsi="Arial"/>
          <w:sz w:val="18"/>
          <w:szCs w:val="18"/>
          <w:i w:val="1"/>
          <w:iCs w:val="1"/>
          <w:color w:val="auto"/>
        </w:rPr>
      </w:pPr>
    </w:p>
    <w:p>
      <w:pPr>
        <w:ind w:left="980" w:hanging="324"/>
        <w:spacing w:after="0"/>
        <w:tabs>
          <w:tab w:leader="none" w:pos="98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Observable market-based inputs other than quoted prices in active markets for identical assets or liabilities.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980" w:right="140" w:hanging="324"/>
        <w:spacing w:after="0" w:line="277" w:lineRule="auto"/>
        <w:tabs>
          <w:tab w:leader="none" w:pos="975"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Unobservable inputs are used when little or no market data is available. The fair value hierarchy gives the lowest priority to Level 3</w:t>
      </w:r>
      <w:r>
        <w:rPr>
          <w:rFonts w:ascii="Arial" w:cs="Arial" w:eastAsia="Arial" w:hAnsi="Arial"/>
          <w:sz w:val="18"/>
          <w:szCs w:val="18"/>
          <w:i w:val="1"/>
          <w:iCs w:val="1"/>
          <w:color w:val="auto"/>
        </w:rPr>
        <w:t xml:space="preserve"> </w:t>
      </w:r>
      <w:r>
        <w:rPr>
          <w:rFonts w:ascii="Arial" w:cs="Arial" w:eastAsia="Arial" w:hAnsi="Arial"/>
          <w:sz w:val="18"/>
          <w:szCs w:val="18"/>
          <w:color w:val="auto"/>
        </w:rPr>
        <w:t>inputs.</w:t>
      </w:r>
    </w:p>
    <w:p>
      <w:pPr>
        <w:spacing w:after="0" w:line="170"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and liabilities carried at fair value are classified in the tables below in one of the three categories described above: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6"/>
              </w:rPr>
              <w:t>March 31, 2022</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6"/>
          </w:tcPr>
          <w:p>
            <w:pPr>
              <w:jc w:val="center"/>
              <w:ind w:right="10"/>
              <w:spacing w:after="0"/>
              <w:rPr>
                <w:sz w:val="20"/>
                <w:szCs w:val="20"/>
                <w:color w:val="auto"/>
              </w:rPr>
            </w:pPr>
            <w:r>
              <w:rPr>
                <w:rFonts w:ascii="Arial" w:cs="Arial" w:eastAsia="Arial" w:hAnsi="Arial"/>
                <w:sz w:val="14"/>
                <w:szCs w:val="14"/>
                <w:b w:val="1"/>
                <w:bCs w:val="1"/>
                <w:color w:val="auto"/>
                <w:w w:val="93"/>
              </w:rPr>
              <w:t>December 31, 2021</w:t>
            </w:r>
          </w:p>
        </w:tc>
        <w:tc>
          <w:tcPr>
            <w:tcW w:w="740" w:type="dxa"/>
            <w:vAlign w:val="bottom"/>
            <w:tcBorders>
              <w:bottom w:val="single" w:sz="8" w:color="auto"/>
            </w:tcBorders>
          </w:tcPr>
          <w:p>
            <w:pPr>
              <w:spacing w:after="0"/>
              <w:rPr>
                <w:sz w:val="16"/>
                <w:szCs w:val="16"/>
                <w:color w:val="auto"/>
              </w:rPr>
            </w:pPr>
          </w:p>
        </w:tc>
      </w:tr>
      <w:tr>
        <w:trPr>
          <w:trHeight w:val="188"/>
        </w:trPr>
        <w:tc>
          <w:tcPr>
            <w:tcW w:w="53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6"/>
                <w:szCs w:val="16"/>
                <w:color w:val="auto"/>
              </w:rPr>
            </w:pPr>
          </w:p>
        </w:tc>
        <w:tc>
          <w:tcPr>
            <w:tcW w:w="720" w:type="dxa"/>
            <w:vAlign w:val="bottom"/>
          </w:tcPr>
          <w:p>
            <w:pPr>
              <w:jc w:val="right"/>
              <w:ind w:right="131"/>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6"/>
                <w:szCs w:val="16"/>
                <w:color w:val="auto"/>
              </w:rPr>
            </w:pPr>
          </w:p>
        </w:tc>
        <w:tc>
          <w:tcPr>
            <w:tcW w:w="680" w:type="dxa"/>
            <w:vAlign w:val="bottom"/>
          </w:tcPr>
          <w:p>
            <w:pPr>
              <w:jc w:val="right"/>
              <w:ind w:right="71"/>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Level 2</w:t>
            </w:r>
          </w:p>
        </w:tc>
        <w:tc>
          <w:tcPr>
            <w:tcW w:w="160" w:type="dxa"/>
            <w:vAlign w:val="bottom"/>
          </w:tcPr>
          <w:p>
            <w:pPr>
              <w:spacing w:after="0"/>
              <w:rPr>
                <w:sz w:val="16"/>
                <w:szCs w:val="16"/>
                <w:color w:val="auto"/>
              </w:rPr>
            </w:pPr>
          </w:p>
        </w:tc>
        <w:tc>
          <w:tcPr>
            <w:tcW w:w="740" w:type="dxa"/>
            <w:vAlign w:val="bottom"/>
          </w:tcPr>
          <w:p>
            <w:pPr>
              <w:jc w:val="right"/>
              <w:ind w:right="151"/>
              <w:spacing w:after="0"/>
              <w:rPr>
                <w:sz w:val="20"/>
                <w:szCs w:val="20"/>
                <w:color w:val="auto"/>
              </w:rPr>
            </w:pPr>
            <w:r>
              <w:rPr>
                <w:rFonts w:ascii="Arial" w:cs="Arial" w:eastAsia="Arial" w:hAnsi="Arial"/>
                <w:sz w:val="14"/>
                <w:szCs w:val="14"/>
                <w:b w:val="1"/>
                <w:bCs w:val="1"/>
                <w:color w:val="auto"/>
              </w:rPr>
              <w:t>Level 3</w:t>
            </w:r>
          </w:p>
        </w:tc>
      </w:tr>
      <w:tr>
        <w:trPr>
          <w:trHeight w:val="211"/>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Recurring fair value measurements</w:t>
            </w: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Financial Assets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equivalents: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5320" w:type="dxa"/>
            <w:vAlign w:val="bottom"/>
          </w:tcPr>
          <w:p>
            <w:pPr>
              <w:ind w:left="48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50.9</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cash equivalents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320" w:type="dxa"/>
            <w:vAlign w:val="bottom"/>
          </w:tcPr>
          <w:p>
            <w:pPr>
              <w:ind w:left="220"/>
              <w:spacing w:after="0"/>
              <w:rPr>
                <w:sz w:val="20"/>
                <w:szCs w:val="20"/>
                <w:color w:val="auto"/>
              </w:rPr>
            </w:pPr>
            <w:r>
              <w:rPr>
                <w:rFonts w:ascii="Arial" w:cs="Arial" w:eastAsia="Arial" w:hAnsi="Arial"/>
                <w:sz w:val="18"/>
                <w:szCs w:val="18"/>
                <w:color w:val="auto"/>
              </w:rPr>
              <w:t>Equity securities: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9"/>
        </w:trPr>
        <w:tc>
          <w:tcPr>
            <w:tcW w:w="5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Exchange traded funds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20" w:type="dxa"/>
            <w:vAlign w:val="bottom"/>
          </w:tcPr>
          <w:p>
            <w:pPr>
              <w:ind w:left="48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equity securities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320" w:type="dxa"/>
            <w:vAlign w:val="bottom"/>
          </w:tcPr>
          <w:p>
            <w:pPr>
              <w:ind w:left="220"/>
              <w:spacing w:after="0"/>
              <w:rPr>
                <w:sz w:val="20"/>
                <w:szCs w:val="20"/>
                <w:color w:val="auto"/>
              </w:rPr>
            </w:pPr>
            <w:r>
              <w:rPr>
                <w:rFonts w:ascii="Arial" w:cs="Arial" w:eastAsia="Arial" w:hAnsi="Arial"/>
                <w:sz w:val="18"/>
                <w:szCs w:val="18"/>
                <w:color w:val="auto"/>
              </w:rPr>
              <w:t>Available-for-sale fixed income investments: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5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Corporate bonds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20" w:type="dxa"/>
            <w:vAlign w:val="bottom"/>
          </w:tcPr>
          <w:p>
            <w:pPr>
              <w:ind w:left="480"/>
              <w:spacing w:after="0"/>
              <w:rPr>
                <w:sz w:val="20"/>
                <w:szCs w:val="20"/>
                <w:color w:val="auto"/>
              </w:rPr>
            </w:pPr>
            <w:r>
              <w:rPr>
                <w:rFonts w:ascii="Arial" w:cs="Arial" w:eastAsia="Arial" w:hAnsi="Arial"/>
                <w:sz w:val="18"/>
                <w:szCs w:val="18"/>
                <w:color w:val="auto"/>
              </w:rPr>
              <w:t>U.S. Treasuries</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Agency mortgage-backed securities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20" w:type="dxa"/>
            <w:vAlign w:val="bottom"/>
          </w:tcPr>
          <w:p>
            <w:pPr>
              <w:ind w:left="480"/>
              <w:spacing w:after="0"/>
              <w:rPr>
                <w:sz w:val="20"/>
                <w:szCs w:val="20"/>
                <w:color w:val="auto"/>
              </w:rPr>
            </w:pPr>
            <w:r>
              <w:rPr>
                <w:rFonts w:ascii="Arial" w:cs="Arial" w:eastAsia="Arial" w:hAnsi="Arial"/>
                <w:sz w:val="18"/>
                <w:szCs w:val="18"/>
                <w:color w:val="auto"/>
              </w:rPr>
              <w:t>Asset backed securities</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available-for-sale fixed income investments</w:t>
            </w: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exchange derivative assets</w:t>
            </w: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Total assets at recurring fair value measurement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97"/>
        </w:trPr>
        <w:tc>
          <w:tcPr>
            <w:tcW w:w="53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Financial Liabilities</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29"/>
        </w:trPr>
        <w:tc>
          <w:tcPr>
            <w:tcW w:w="5320" w:type="dxa"/>
            <w:vAlign w:val="bottom"/>
          </w:tcPr>
          <w:p>
            <w:pPr>
              <w:ind w:left="220"/>
              <w:spacing w:after="0"/>
              <w:rPr>
                <w:sz w:val="20"/>
                <w:szCs w:val="20"/>
                <w:color w:val="auto"/>
              </w:rPr>
            </w:pPr>
            <w:r>
              <w:rPr>
                <w:rFonts w:ascii="Arial" w:cs="Arial" w:eastAsia="Arial" w:hAnsi="Arial"/>
                <w:sz w:val="18"/>
                <w:szCs w:val="18"/>
                <w:color w:val="auto"/>
              </w:rPr>
              <w:t>Foreign exchange derivative liabilities</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Contingent consideration</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Total liabilities at recurring fair value measurement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198.4</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199.7</w:t>
            </w:r>
          </w:p>
        </w:tc>
      </w:tr>
      <w:tr>
        <w:trPr>
          <w:trHeight w:val="20"/>
        </w:trPr>
        <w:tc>
          <w:tcPr>
            <w:tcW w:w="5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For financial assets and liabilities that utilize Level 2 inputs, the Company utilizes both direct and indirect observable price quotes, including the LIBOR yield curve, foreign exchange forward prices and bank price quotes. Below is a summary of valuation techniques for Level 1 and Level 2 financial assets and liabilities:</w:t>
      </w:r>
    </w:p>
    <w:p>
      <w:pPr>
        <w:spacing w:after="0" w:line="76"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valued at observable net asset value prices.</w:t>
      </w:r>
    </w:p>
    <w:p>
      <w:pPr>
        <w:spacing w:after="0" w:line="117" w:lineRule="exact"/>
        <w:rPr>
          <w:rFonts w:ascii="Arial" w:cs="Arial" w:eastAsia="Arial" w:hAnsi="Arial"/>
          <w:sz w:val="18"/>
          <w:szCs w:val="18"/>
          <w:color w:val="auto"/>
        </w:rPr>
      </w:pPr>
    </w:p>
    <w:p>
      <w:pPr>
        <w:ind w:left="980" w:right="140" w:hanging="324"/>
        <w:spacing w:after="0" w:line="263"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Equity securities, exchange traded funds </w:t>
      </w:r>
      <w:r>
        <w:rPr>
          <w:rFonts w:ascii="Arial" w:cs="Arial" w:eastAsia="Arial" w:hAnsi="Arial"/>
          <w:sz w:val="18"/>
          <w:szCs w:val="18"/>
          <w:color w:val="auto"/>
        </w:rPr>
        <w:t>— valued at the active quoted market prices from broker or dealer quotations or transparent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sources at the reporting date. Unrealized gains and losses attributable to changes in fair value are included in other expense, net, in the condensed consolidated statements of operations.</w:t>
      </w:r>
    </w:p>
    <w:p>
      <w:pPr>
        <w:spacing w:after="0" w:line="75" w:lineRule="exact"/>
        <w:rPr>
          <w:rFonts w:ascii="Arial" w:cs="Arial" w:eastAsia="Arial" w:hAnsi="Arial"/>
          <w:sz w:val="18"/>
          <w:szCs w:val="18"/>
          <w:color w:val="auto"/>
        </w:rPr>
      </w:pPr>
    </w:p>
    <w:p>
      <w:pPr>
        <w:ind w:left="980" w:right="20" w:hanging="324"/>
        <w:spacing w:after="0" w:line="342" w:lineRule="auto"/>
        <w:tabs>
          <w:tab w:leader="none" w:pos="975"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Equity securities, marketable securities </w:t>
      </w:r>
      <w:r>
        <w:rPr>
          <w:rFonts w:ascii="Arial" w:cs="Arial" w:eastAsia="Arial" w:hAnsi="Arial"/>
          <w:sz w:val="16"/>
          <w:szCs w:val="16"/>
          <w:color w:val="auto"/>
        </w:rPr>
        <w:t>— valued using quoted stock prices from public exchanges at the reporting date. Unrealized gains and</w:t>
      </w:r>
      <w:r>
        <w:rPr>
          <w:rFonts w:ascii="Arial" w:cs="Arial" w:eastAsia="Arial" w:hAnsi="Arial"/>
          <w:sz w:val="16"/>
          <w:szCs w:val="16"/>
          <w:i w:val="1"/>
          <w:iCs w:val="1"/>
          <w:color w:val="auto"/>
        </w:rPr>
        <w:t xml:space="preserve"> </w:t>
      </w:r>
      <w:r>
        <w:rPr>
          <w:rFonts w:ascii="Arial" w:cs="Arial" w:eastAsia="Arial" w:hAnsi="Arial"/>
          <w:sz w:val="16"/>
          <w:szCs w:val="16"/>
          <w:color w:val="auto"/>
        </w:rPr>
        <w:t>losses attributable to changes in fair value are included in other expense, net,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980" w:right="400" w:hanging="324"/>
        <w:spacing w:after="0" w:line="263" w:lineRule="auto"/>
        <w:tabs>
          <w:tab w:leader="none" w:pos="975"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Available-for-sale fixed income investments </w:t>
      </w:r>
      <w:r>
        <w:rPr>
          <w:rFonts w:ascii="Arial" w:cs="Arial" w:eastAsia="Arial" w:hAnsi="Arial"/>
          <w:sz w:val="18"/>
          <w:szCs w:val="18"/>
          <w:color w:val="auto"/>
        </w:rPr>
        <w:t>— valued at the quoted market prices from broker or dealer quotations or transparent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sources at the reporting date. Unrealized gains and losses attributable to changes in fair value, net of income taxes, are included in accumulated other comprehensive loss as a component of shareholders’ equity.</w:t>
      </w:r>
    </w:p>
    <w:p>
      <w:pPr>
        <w:spacing w:after="0" w:line="75" w:lineRule="exact"/>
        <w:rPr>
          <w:rFonts w:ascii="Arial" w:cs="Arial" w:eastAsia="Arial" w:hAnsi="Arial"/>
          <w:sz w:val="18"/>
          <w:szCs w:val="18"/>
          <w:i w:val="1"/>
          <w:iCs w:val="1"/>
          <w:color w:val="auto"/>
        </w:rPr>
      </w:pPr>
    </w:p>
    <w:p>
      <w:pPr>
        <w:ind w:left="980" w:right="20" w:hanging="324"/>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Foreign exchange derivative assets and liabilities </w:t>
      </w:r>
      <w:r>
        <w:rPr>
          <w:rFonts w:ascii="Arial" w:cs="Arial" w:eastAsia="Arial" w:hAnsi="Arial"/>
          <w:sz w:val="18"/>
          <w:szCs w:val="18"/>
          <w:color w:val="auto"/>
        </w:rPr>
        <w:t>— valued using quoted forward foreign exchange prices and spot rates at the reporting date.</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Counterparties to these contracts are highly rated financial institutions.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fair value measurement of contingent consideration is determined using Level 3 inputs. The Company’s contingent consideration represents a component of the total purchase consideration for Pfizer’s respiratory delivery platform and certain other acquisitions. The measurement is calculated using unobservable inputs based on the Company’s own assumptions primarily related to the probability and timing of future development and commercial milestones and future profit sharing payments which are discounted using a market rate of return. At March 31, 2022 and December 31, 2021, a discount rate of 8.0% was utilized in the valuations. Significant changes in unobservable inputs could result in material changes to the contingent consideration liability.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rollforward of the activity in the Company’s fair value of contingent consideration from December 31, 2021 to March 31, 2022 is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 xml:space="preserve">Current Portion </w:t>
            </w:r>
            <w:r>
              <w:rPr>
                <w:rFonts w:ascii="Arial" w:cs="Arial" w:eastAsia="Arial" w:hAnsi="Arial"/>
                <w:sz w:val="18"/>
                <w:szCs w:val="18"/>
                <w:b w:val="1"/>
                <w:bCs w:val="1"/>
                <w:color w:val="auto"/>
                <w:vertAlign w:val="superscript"/>
              </w:rPr>
              <w:t>(1)</w:t>
            </w:r>
          </w:p>
        </w:tc>
        <w:tc>
          <w:tcPr>
            <w:tcW w:w="18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Long-Term</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Total Contingent</w:t>
            </w:r>
          </w:p>
        </w:tc>
        <w:tc>
          <w:tcPr>
            <w:tcW w:w="0" w:type="dxa"/>
            <w:vAlign w:val="bottom"/>
          </w:tcPr>
          <w:p>
            <w:pPr>
              <w:spacing w:after="0"/>
              <w:rPr>
                <w:sz w:val="1"/>
                <w:szCs w:val="1"/>
                <w:color w:val="auto"/>
              </w:rPr>
            </w:pPr>
          </w:p>
        </w:tc>
      </w:tr>
      <w:tr>
        <w:trPr>
          <w:trHeight w:val="189"/>
        </w:trPr>
        <w:tc>
          <w:tcPr>
            <w:tcW w:w="7380" w:type="dxa"/>
            <w:vAlign w:val="bottom"/>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280"/>
              <w:spacing w:after="0" w:line="189" w:lineRule="exact"/>
              <w:rPr>
                <w:sz w:val="20"/>
                <w:szCs w:val="20"/>
                <w:color w:val="auto"/>
              </w:rPr>
            </w:pPr>
            <w:r>
              <w:rPr>
                <w:rFonts w:ascii="Arial" w:cs="Arial" w:eastAsia="Arial" w:hAnsi="Arial"/>
                <w:sz w:val="14"/>
                <w:szCs w:val="14"/>
                <w:b w:val="1"/>
                <w:bCs w:val="1"/>
                <w:color w:val="auto"/>
                <w:w w:val="91"/>
              </w:rPr>
              <w:t xml:space="preserve">Portion </w:t>
            </w:r>
            <w:r>
              <w:rPr>
                <w:rFonts w:ascii="Arial" w:cs="Arial" w:eastAsia="Arial" w:hAnsi="Arial"/>
                <w:sz w:val="18"/>
                <w:szCs w:val="18"/>
                <w:b w:val="1"/>
                <w:bCs w:val="1"/>
                <w:color w:val="auto"/>
                <w:w w:val="91"/>
                <w:vertAlign w:val="superscript"/>
              </w:rPr>
              <w:t>(2)</w:t>
            </w:r>
          </w:p>
        </w:tc>
        <w:tc>
          <w:tcPr>
            <w:tcW w:w="140" w:type="dxa"/>
            <w:vAlign w:val="bottom"/>
          </w:tcPr>
          <w:p>
            <w:pPr>
              <w:spacing w:after="0"/>
              <w:rPr>
                <w:sz w:val="16"/>
                <w:szCs w:val="16"/>
                <w:color w:val="auto"/>
              </w:rPr>
            </w:pPr>
          </w:p>
        </w:tc>
        <w:tc>
          <w:tcPr>
            <w:tcW w:w="1060" w:type="dxa"/>
            <w:vAlign w:val="bottom"/>
          </w:tcPr>
          <w:p>
            <w:pPr>
              <w:jc w:val="right"/>
              <w:ind w:right="73"/>
              <w:spacing w:after="0"/>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223"/>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30"/>
        </w:trPr>
        <w:tc>
          <w:tcPr>
            <w:tcW w:w="7380" w:type="dxa"/>
            <w:vAlign w:val="bottom"/>
          </w:tcPr>
          <w:p>
            <w:pPr>
              <w:ind w:left="220"/>
              <w:spacing w:after="0"/>
              <w:rPr>
                <w:sz w:val="20"/>
                <w:szCs w:val="20"/>
                <w:color w:val="auto"/>
              </w:rPr>
            </w:pPr>
            <w:r>
              <w:rPr>
                <w:rFonts w:ascii="Arial" w:cs="Arial" w:eastAsia="Arial" w:hAnsi="Arial"/>
                <w:sz w:val="18"/>
                <w:szCs w:val="18"/>
                <w:color w:val="auto"/>
              </w:rPr>
              <w:t>Payments</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Reclassifications</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80" w:type="dxa"/>
            <w:vAlign w:val="bottom"/>
          </w:tcPr>
          <w:p>
            <w:pPr>
              <w:ind w:left="220"/>
              <w:spacing w:after="0"/>
              <w:rPr>
                <w:sz w:val="20"/>
                <w:szCs w:val="20"/>
                <w:color w:val="auto"/>
              </w:rPr>
            </w:pPr>
            <w:r>
              <w:rPr>
                <w:rFonts w:ascii="Arial" w:cs="Arial" w:eastAsia="Arial" w:hAnsi="Arial"/>
                <w:sz w:val="18"/>
                <w:szCs w:val="18"/>
                <w:color w:val="auto"/>
              </w:rPr>
              <w:t>Accretion</w:t>
            </w:r>
          </w:p>
        </w:tc>
        <w:tc>
          <w:tcPr>
            <w:tcW w:w="4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Fair value loss </w:t>
            </w:r>
            <w:r>
              <w:rPr>
                <w:rFonts w:ascii="Arial" w:cs="Arial" w:eastAsia="Arial" w:hAnsi="Arial"/>
                <w:sz w:val="23"/>
                <w:szCs w:val="23"/>
                <w:color w:val="auto"/>
                <w:vertAlign w:val="superscript"/>
              </w:rPr>
              <w:t>(3)</w:t>
            </w:r>
          </w:p>
        </w:tc>
        <w:tc>
          <w:tcPr>
            <w:tcW w:w="4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2022</w:t>
            </w: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112.2</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83"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Included in other current liabilities in the condensed consolidated balance sheets.</w:t>
      </w:r>
    </w:p>
    <w:p>
      <w:pPr>
        <w:spacing w:after="0" w:line="55"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Included in other long-term obligations in the condensed consolidated balance sheets.</w:t>
      </w:r>
    </w:p>
    <w:p>
      <w:pPr>
        <w:spacing w:after="0" w:line="56"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Included in litigation settlements and other contingencies, net in the condensed consolidated statements of operations.</w:t>
      </w:r>
    </w:p>
    <w:p>
      <w:pPr>
        <w:spacing w:after="0" w:line="202"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Although the Company has not elected the fair value option for other financial assets and liabilities, any future transacted financial asset or liability will be evaluated for the fair value election.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additional information, see Note 10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Viatris’ 2021 Form 10-K.</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Short-Term Borrowings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Company had $655.4 million and $1.49 billion of short-term borrowings as of March 31, 2022 and December 31, 2021, respectively.</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8"/>
        </w:trPr>
        <w:tc>
          <w:tcPr>
            <w:tcW w:w="87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 notes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1,173.4</w:t>
            </w:r>
          </w:p>
        </w:tc>
        <w:tc>
          <w:tcPr>
            <w:tcW w:w="0" w:type="dxa"/>
            <w:vAlign w:val="bottom"/>
          </w:tcPr>
          <w:p>
            <w:pPr>
              <w:spacing w:after="0"/>
              <w:rPr>
                <w:sz w:val="1"/>
                <w:szCs w:val="1"/>
                <w:color w:val="auto"/>
              </w:rPr>
            </w:pP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Receivables Facility</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8720" w:type="dxa"/>
            <w:vAlign w:val="bottom"/>
          </w:tcPr>
          <w:p>
            <w:pPr>
              <w:ind w:left="220"/>
              <w:spacing w:after="0"/>
              <w:rPr>
                <w:sz w:val="20"/>
                <w:szCs w:val="20"/>
                <w:color w:val="auto"/>
              </w:rPr>
            </w:pPr>
            <w:r>
              <w:rPr>
                <w:rFonts w:ascii="Arial" w:cs="Arial" w:eastAsia="Arial" w:hAnsi="Arial"/>
                <w:sz w:val="18"/>
                <w:szCs w:val="18"/>
                <w:b w:val="1"/>
                <w:bCs w:val="1"/>
                <w:color w:val="auto"/>
              </w:rPr>
              <w:t>Short-term borrowings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1,493.0</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Receivables Facility</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has a $400 million Receivables Facility (the “Receivables Facility”), which originally was to expire on April 22, 2022. On April 22, 2022, the Company entered into an agreement to extend the expiration date of the Receivables Facility to April 22, 2025.</w:t>
      </w:r>
    </w:p>
    <w:p>
      <w:pPr>
        <w:spacing w:after="0" w:line="170"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Under the terms of the Receivables Facility, our subsidiary, MPI, sells certain accounts receivable to Mylan Securitization LLC (“Mylan Securitization”), a wholly-owned special purpose entity which in turn sells a percentage ownership interest in the receivables to financial institutions and commercial paper conduits sponsored by financial institutions. Mylan Securitization’s assets have been pledged to MUFG Bank, Ltd., as agent, in support of its obligations under the Receivables Facility. Any amounts outstanding under the facility are recorded as borrowings and the underlying receivables are included in accounts receivable, net, in the condensed consolidated balance sheets of the Company.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Long-Term Debt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long-term debt is as follows:</w:t>
      </w:r>
    </w:p>
    <w:tbl>
      <w:tblPr>
        <w:tblLayout w:type="fixed"/>
        <w:tblInd w:w="800" w:type="dxa"/>
        <w:tblCellMar>
          <w:top w:w="0" w:type="dxa"/>
          <w:left w:w="0" w:type="dxa"/>
          <w:bottom w:w="0" w:type="dxa"/>
          <w:right w:w="0" w:type="dxa"/>
        </w:tblCellMar>
      </w:tblPr>
      <w:tr>
        <w:trPr>
          <w:trHeight w:val="158"/>
        </w:trPr>
        <w:tc>
          <w:tcPr>
            <w:tcW w:w="26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3740" w:type="dxa"/>
            <w:vAlign w:val="bottom"/>
          </w:tcPr>
          <w:p>
            <w:pPr>
              <w:ind w:left="2080"/>
              <w:spacing w:after="0" w:line="159" w:lineRule="exact"/>
              <w:rPr>
                <w:sz w:val="20"/>
                <w:szCs w:val="20"/>
                <w:color w:val="auto"/>
              </w:rPr>
            </w:pPr>
            <w:r>
              <w:rPr>
                <w:rFonts w:ascii="Arial" w:cs="Arial" w:eastAsia="Arial" w:hAnsi="Arial"/>
                <w:sz w:val="14"/>
                <w:szCs w:val="14"/>
                <w:b w:val="1"/>
                <w:bCs w:val="1"/>
                <w:color w:val="auto"/>
              </w:rPr>
              <w:t>Interest Rate as of</w:t>
            </w:r>
          </w:p>
        </w:tc>
        <w:tc>
          <w:tcPr>
            <w:tcW w:w="2060" w:type="dxa"/>
            <w:vAlign w:val="bottom"/>
          </w:tcPr>
          <w:p>
            <w:pPr>
              <w:jc w:val="right"/>
              <w:ind w:right="648"/>
              <w:spacing w:after="0" w:line="159" w:lineRule="exact"/>
              <w:rPr>
                <w:sz w:val="20"/>
                <w:szCs w:val="20"/>
                <w:color w:val="auto"/>
              </w:rPr>
            </w:pPr>
            <w:r>
              <w:rPr>
                <w:rFonts w:ascii="Arial" w:cs="Arial" w:eastAsia="Arial" w:hAnsi="Arial"/>
                <w:sz w:val="14"/>
                <w:szCs w:val="14"/>
                <w:b w:val="1"/>
                <w:bCs w:val="1"/>
                <w:color w:val="auto"/>
              </w:rPr>
              <w:t>March 31,</w:t>
            </w:r>
          </w:p>
        </w:tc>
        <w:tc>
          <w:tcPr>
            <w:tcW w:w="160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2680" w:type="dxa"/>
            <w:vAlign w:val="bottom"/>
            <w:vMerge w:val="continue"/>
          </w:tcPr>
          <w:p>
            <w:pPr>
              <w:spacing w:after="0"/>
              <w:rPr>
                <w:sz w:val="16"/>
                <w:szCs w:val="16"/>
                <w:color w:val="auto"/>
              </w:rPr>
            </w:pPr>
          </w:p>
        </w:tc>
        <w:tc>
          <w:tcPr>
            <w:tcW w:w="3740" w:type="dxa"/>
            <w:vAlign w:val="bottom"/>
          </w:tcPr>
          <w:p>
            <w:pPr>
              <w:ind w:left="1840"/>
              <w:spacing w:after="0"/>
              <w:rPr>
                <w:sz w:val="20"/>
                <w:szCs w:val="20"/>
                <w:color w:val="auto"/>
              </w:rPr>
            </w:pPr>
            <w:r>
              <w:rPr>
                <w:rFonts w:ascii="Arial" w:cs="Arial" w:eastAsia="Arial" w:hAnsi="Arial"/>
                <w:sz w:val="14"/>
                <w:szCs w:val="14"/>
                <w:b w:val="1"/>
                <w:bCs w:val="1"/>
                <w:color w:val="auto"/>
              </w:rPr>
              <w:t>March 31, 2022</w:t>
            </w:r>
          </w:p>
        </w:tc>
        <w:tc>
          <w:tcPr>
            <w:tcW w:w="2060" w:type="dxa"/>
            <w:vAlign w:val="bottom"/>
          </w:tcPr>
          <w:p>
            <w:pPr>
              <w:jc w:val="right"/>
              <w:ind w:right="1148"/>
              <w:spacing w:after="0"/>
              <w:rPr>
                <w:sz w:val="20"/>
                <w:szCs w:val="20"/>
                <w:color w:val="auto"/>
              </w:rPr>
            </w:pPr>
            <w:r>
              <w:rPr>
                <w:rFonts w:ascii="Arial" w:cs="Arial" w:eastAsia="Arial" w:hAnsi="Arial"/>
                <w:sz w:val="14"/>
                <w:szCs w:val="14"/>
                <w:b w:val="1"/>
                <w:bCs w:val="1"/>
                <w:color w:val="auto"/>
              </w:rPr>
              <w:t>2022</w:t>
            </w:r>
          </w:p>
        </w:tc>
        <w:tc>
          <w:tcPr>
            <w:tcW w:w="1600" w:type="dxa"/>
            <w:vAlign w:val="bottom"/>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bl>
    <w:p>
      <w:pPr>
        <w:ind w:left="680"/>
        <w:spacing w:after="0"/>
        <w:rPr>
          <w:sz w:val="20"/>
          <w:szCs w:val="20"/>
          <w:color w:val="auto"/>
        </w:rPr>
      </w:pPr>
      <w:r>
        <w:rPr>
          <w:rFonts w:ascii="Arial" w:cs="Arial" w:eastAsia="Arial" w:hAnsi="Arial"/>
          <w:sz w:val="18"/>
          <w:szCs w:val="18"/>
          <w:b w:val="1"/>
          <w:bCs w:val="1"/>
          <w:color w:val="auto"/>
        </w:rPr>
        <w:t>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09803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5"/>
        </w:trPr>
        <w:tc>
          <w:tcPr>
            <w:tcW w:w="1260" w:type="dxa"/>
            <w:vAlign w:val="bottom"/>
          </w:tcPr>
          <w:p>
            <w:pPr>
              <w:ind w:left="880"/>
              <w:spacing w:after="0"/>
              <w:rPr>
                <w:sz w:val="20"/>
                <w:szCs w:val="20"/>
                <w:color w:val="auto"/>
              </w:rPr>
            </w:pPr>
            <w:r>
              <w:rPr>
                <w:rFonts w:ascii="Arial" w:cs="Arial" w:eastAsia="Arial" w:hAnsi="Arial"/>
                <w:sz w:val="18"/>
                <w:szCs w:val="18"/>
                <w:color w:val="auto"/>
                <w:w w:val="89"/>
              </w:rPr>
              <w:t>2022</w:t>
            </w:r>
          </w:p>
        </w:tc>
        <w:tc>
          <w:tcPr>
            <w:tcW w:w="3260" w:type="dxa"/>
            <w:vAlign w:val="bottom"/>
          </w:tcPr>
          <w:p>
            <w:pPr>
              <w:ind w:left="20"/>
              <w:spacing w:after="0" w:line="255"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0.816</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831.8</w:t>
            </w:r>
          </w:p>
        </w:tc>
        <w:tc>
          <w:tcPr>
            <w:tcW w:w="100" w:type="dxa"/>
            <w:vAlign w:val="bottom"/>
          </w:tcPr>
          <w:p>
            <w:pPr>
              <w:spacing w:after="0"/>
              <w:rPr>
                <w:sz w:val="22"/>
                <w:szCs w:val="22"/>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856.6</w:t>
            </w:r>
          </w:p>
        </w:tc>
      </w:tr>
      <w:tr>
        <w:trPr>
          <w:trHeight w:val="229"/>
        </w:trPr>
        <w:tc>
          <w:tcPr>
            <w:tcW w:w="12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9"/>
              </w:rPr>
              <w:t>2022</w:t>
            </w:r>
          </w:p>
        </w:tc>
        <w:tc>
          <w:tcPr>
            <w:tcW w:w="32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1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1.125</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1,002.9</w:t>
            </w:r>
          </w:p>
        </w:tc>
      </w:tr>
      <w:tr>
        <w:trPr>
          <w:trHeight w:val="230"/>
        </w:trPr>
        <w:tc>
          <w:tcPr>
            <w:tcW w:w="1260" w:type="dxa"/>
            <w:vAlign w:val="bottom"/>
          </w:tcPr>
          <w:p>
            <w:pPr>
              <w:ind w:left="880"/>
              <w:spacing w:after="0"/>
              <w:rPr>
                <w:sz w:val="20"/>
                <w:szCs w:val="20"/>
                <w:color w:val="auto"/>
              </w:rPr>
            </w:pPr>
            <w:r>
              <w:rPr>
                <w:rFonts w:ascii="Arial" w:cs="Arial" w:eastAsia="Arial" w:hAnsi="Arial"/>
                <w:sz w:val="18"/>
                <w:szCs w:val="18"/>
                <w:color w:val="auto"/>
                <w:w w:val="89"/>
              </w:rPr>
              <w:t>2023</w:t>
            </w:r>
          </w:p>
        </w:tc>
        <w:tc>
          <w:tcPr>
            <w:tcW w:w="32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(a) *</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3.125</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762.2</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5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Other</w:t>
            </w:r>
          </w:p>
        </w:tc>
        <w:tc>
          <w:tcPr>
            <w:tcW w:w="17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4520" w:type="dxa"/>
            <w:vAlign w:val="bottom"/>
            <w:tcBorders>
              <w:bottom w:val="single" w:sz="8" w:color="CCEEFF"/>
            </w:tcBorders>
            <w:gridSpan w:val="2"/>
          </w:tcPr>
          <w:p>
            <w:pPr>
              <w:ind w:left="880"/>
              <w:spacing w:after="0"/>
              <w:rPr>
                <w:sz w:val="20"/>
                <w:szCs w:val="20"/>
                <w:color w:val="auto"/>
              </w:rPr>
            </w:pPr>
            <w:r>
              <w:rPr>
                <w:rFonts w:ascii="Arial" w:cs="Arial" w:eastAsia="Arial" w:hAnsi="Arial"/>
                <w:sz w:val="18"/>
                <w:szCs w:val="18"/>
                <w:color w:val="auto"/>
              </w:rPr>
              <w:t>Deferred financing fees</w:t>
            </w:r>
          </w:p>
        </w:tc>
        <w:tc>
          <w:tcPr>
            <w:tcW w:w="17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8"/>
        </w:trPr>
        <w:tc>
          <w:tcPr>
            <w:tcW w:w="452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rPr>
              <w:t>Current portion of long-term debt</w:t>
            </w:r>
          </w:p>
        </w:tc>
        <w:tc>
          <w:tcPr>
            <w:tcW w:w="17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1,860.3</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Non-current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9803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7"/>
        </w:trPr>
        <w:tc>
          <w:tcPr>
            <w:tcW w:w="1260" w:type="dxa"/>
            <w:vAlign w:val="bottom"/>
          </w:tcPr>
          <w:p>
            <w:pPr>
              <w:ind w:left="880"/>
              <w:spacing w:after="0"/>
              <w:rPr>
                <w:sz w:val="20"/>
                <w:szCs w:val="20"/>
                <w:color w:val="auto"/>
              </w:rPr>
            </w:pPr>
            <w:r>
              <w:rPr>
                <w:rFonts w:ascii="Arial" w:cs="Arial" w:eastAsia="Arial" w:hAnsi="Arial"/>
                <w:sz w:val="18"/>
                <w:szCs w:val="18"/>
                <w:color w:val="auto"/>
                <w:w w:val="89"/>
              </w:rPr>
              <w:t>2023</w:t>
            </w:r>
          </w:p>
        </w:tc>
        <w:tc>
          <w:tcPr>
            <w:tcW w:w="2940" w:type="dxa"/>
            <w:vAlign w:val="bottom"/>
          </w:tcPr>
          <w:p>
            <w:pPr>
              <w:ind w:left="20"/>
              <w:spacing w:after="0" w:line="257"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(a) *</w:t>
            </w:r>
          </w:p>
        </w:tc>
        <w:tc>
          <w:tcPr>
            <w:tcW w:w="2040" w:type="dxa"/>
            <w:vAlign w:val="bottom"/>
          </w:tcPr>
          <w:p>
            <w:pPr>
              <w:jc w:val="right"/>
              <w:ind w:right="250"/>
              <w:spacing w:after="0"/>
              <w:rPr>
                <w:sz w:val="20"/>
                <w:szCs w:val="20"/>
                <w:color w:val="auto"/>
              </w:rPr>
            </w:pPr>
            <w:r>
              <w:rPr>
                <w:rFonts w:ascii="Arial" w:cs="Arial" w:eastAsia="Arial" w:hAnsi="Arial"/>
                <w:sz w:val="18"/>
                <w:szCs w:val="18"/>
                <w:color w:val="auto"/>
              </w:rPr>
              <w:t>3.125</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2"/>
                <w:szCs w:val="2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766.1</w:t>
            </w:r>
          </w:p>
        </w:tc>
      </w:tr>
      <w:tr>
        <w:trPr>
          <w:trHeight w:val="229"/>
        </w:trPr>
        <w:tc>
          <w:tcPr>
            <w:tcW w:w="12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9"/>
              </w:rPr>
              <w:t>2023</w:t>
            </w:r>
          </w:p>
        </w:tc>
        <w:tc>
          <w:tcPr>
            <w:tcW w:w="2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20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4.200</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w:t>
            </w:r>
          </w:p>
        </w:tc>
      </w:tr>
      <w:tr>
        <w:trPr>
          <w:trHeight w:val="230"/>
        </w:trPr>
        <w:tc>
          <w:tcPr>
            <w:tcW w:w="1260" w:type="dxa"/>
            <w:vAlign w:val="bottom"/>
          </w:tcPr>
          <w:p>
            <w:pPr>
              <w:ind w:left="880"/>
              <w:spacing w:after="0"/>
              <w:rPr>
                <w:sz w:val="20"/>
                <w:szCs w:val="20"/>
                <w:color w:val="auto"/>
              </w:rPr>
            </w:pPr>
            <w:r>
              <w:rPr>
                <w:rFonts w:ascii="Arial" w:cs="Arial" w:eastAsia="Arial" w:hAnsi="Arial"/>
                <w:sz w:val="18"/>
                <w:szCs w:val="18"/>
                <w:color w:val="auto"/>
                <w:w w:val="89"/>
              </w:rPr>
              <w:t>2024</w:t>
            </w:r>
          </w:p>
        </w:tc>
        <w:tc>
          <w:tcPr>
            <w:tcW w:w="2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w:t>
            </w:r>
          </w:p>
        </w:tc>
        <w:tc>
          <w:tcPr>
            <w:tcW w:w="2040" w:type="dxa"/>
            <w:vAlign w:val="bottom"/>
          </w:tcPr>
          <w:p>
            <w:pPr>
              <w:jc w:val="right"/>
              <w:ind w:right="250"/>
              <w:spacing w:after="0"/>
              <w:rPr>
                <w:sz w:val="20"/>
                <w:szCs w:val="20"/>
                <w:color w:val="auto"/>
              </w:rPr>
            </w:pPr>
            <w:r>
              <w:rPr>
                <w:rFonts w:ascii="Arial" w:cs="Arial" w:eastAsia="Arial" w:hAnsi="Arial"/>
                <w:sz w:val="18"/>
                <w:szCs w:val="18"/>
                <w:color w:val="auto"/>
              </w:rPr>
              <w:t>2.250</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1,105.7</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1,135.8</w:t>
            </w:r>
          </w:p>
        </w:tc>
      </w:tr>
      <w:tr>
        <w:trPr>
          <w:trHeight w:val="229"/>
        </w:trPr>
        <w:tc>
          <w:tcPr>
            <w:tcW w:w="12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9"/>
              </w:rPr>
              <w:t>2024</w:t>
            </w:r>
          </w:p>
        </w:tc>
        <w:tc>
          <w:tcPr>
            <w:tcW w:w="2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w:t>
            </w:r>
          </w:p>
        </w:tc>
        <w:tc>
          <w:tcPr>
            <w:tcW w:w="20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1.023</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871.6</w:t>
            </w:r>
          </w:p>
        </w:tc>
      </w:tr>
      <w:tr>
        <w:trPr>
          <w:trHeight w:val="229"/>
        </w:trPr>
        <w:tc>
          <w:tcPr>
            <w:tcW w:w="1260" w:type="dxa"/>
            <w:vAlign w:val="bottom"/>
          </w:tcPr>
          <w:p>
            <w:pPr>
              <w:ind w:left="880"/>
              <w:spacing w:after="0"/>
              <w:rPr>
                <w:sz w:val="20"/>
                <w:szCs w:val="20"/>
                <w:color w:val="auto"/>
              </w:rPr>
            </w:pPr>
            <w:r>
              <w:rPr>
                <w:rFonts w:ascii="Arial" w:cs="Arial" w:eastAsia="Arial" w:hAnsi="Arial"/>
                <w:sz w:val="18"/>
                <w:szCs w:val="18"/>
                <w:color w:val="auto"/>
                <w:w w:val="89"/>
              </w:rPr>
              <w:t>2025</w:t>
            </w:r>
          </w:p>
        </w:tc>
        <w:tc>
          <w:tcPr>
            <w:tcW w:w="2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w:t>
            </w:r>
          </w:p>
        </w:tc>
        <w:tc>
          <w:tcPr>
            <w:tcW w:w="2040" w:type="dxa"/>
            <w:vAlign w:val="bottom"/>
          </w:tcPr>
          <w:p>
            <w:pPr>
              <w:jc w:val="right"/>
              <w:ind w:right="250"/>
              <w:spacing w:after="0"/>
              <w:rPr>
                <w:sz w:val="20"/>
                <w:szCs w:val="20"/>
                <w:color w:val="auto"/>
              </w:rPr>
            </w:pPr>
            <w:r>
              <w:rPr>
                <w:rFonts w:ascii="Arial" w:cs="Arial" w:eastAsia="Arial" w:hAnsi="Arial"/>
                <w:sz w:val="18"/>
                <w:szCs w:val="18"/>
                <w:color w:val="auto"/>
              </w:rPr>
              <w:t>2.125</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552.7</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567.8</w:t>
            </w:r>
          </w:p>
        </w:tc>
      </w:tr>
      <w:tr>
        <w:trPr>
          <w:trHeight w:val="230"/>
        </w:trPr>
        <w:tc>
          <w:tcPr>
            <w:tcW w:w="12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9"/>
              </w:rPr>
              <w:t>2025</w:t>
            </w:r>
          </w:p>
        </w:tc>
        <w:tc>
          <w:tcPr>
            <w:tcW w:w="2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20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1.650</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763.4</w:t>
            </w:r>
          </w:p>
        </w:tc>
      </w:tr>
      <w:tr>
        <w:trPr>
          <w:trHeight w:val="229"/>
        </w:trPr>
        <w:tc>
          <w:tcPr>
            <w:tcW w:w="1260" w:type="dxa"/>
            <w:vAlign w:val="bottom"/>
          </w:tcPr>
          <w:p>
            <w:pPr>
              <w:ind w:left="880"/>
              <w:spacing w:after="0"/>
              <w:rPr>
                <w:sz w:val="20"/>
                <w:szCs w:val="20"/>
                <w:color w:val="auto"/>
              </w:rPr>
            </w:pPr>
            <w:r>
              <w:rPr>
                <w:rFonts w:ascii="Arial" w:cs="Arial" w:eastAsia="Arial" w:hAnsi="Arial"/>
                <w:sz w:val="18"/>
                <w:szCs w:val="18"/>
                <w:color w:val="auto"/>
                <w:w w:val="89"/>
              </w:rPr>
              <w:t>2026</w:t>
            </w:r>
          </w:p>
        </w:tc>
        <w:tc>
          <w:tcPr>
            <w:tcW w:w="2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2040" w:type="dxa"/>
            <w:vAlign w:val="bottom"/>
          </w:tcPr>
          <w:p>
            <w:pPr>
              <w:jc w:val="right"/>
              <w:ind w:right="250"/>
              <w:spacing w:after="0"/>
              <w:rPr>
                <w:sz w:val="20"/>
                <w:szCs w:val="20"/>
                <w:color w:val="auto"/>
              </w:rPr>
            </w:pPr>
            <w:r>
              <w:rPr>
                <w:rFonts w:ascii="Arial" w:cs="Arial" w:eastAsia="Arial" w:hAnsi="Arial"/>
                <w:sz w:val="18"/>
                <w:szCs w:val="18"/>
                <w:color w:val="auto"/>
              </w:rPr>
              <w:t>3.950</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2,241.9</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2,241.4</w:t>
            </w:r>
          </w:p>
        </w:tc>
      </w:tr>
      <w:tr>
        <w:trPr>
          <w:trHeight w:val="229"/>
        </w:trPr>
        <w:tc>
          <w:tcPr>
            <w:tcW w:w="12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9"/>
              </w:rPr>
              <w:t>2027</w:t>
            </w:r>
          </w:p>
        </w:tc>
        <w:tc>
          <w:tcPr>
            <w:tcW w:w="2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w:t>
            </w:r>
          </w:p>
        </w:tc>
        <w:tc>
          <w:tcPr>
            <w:tcW w:w="20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1.362</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1,013.0</w:t>
            </w:r>
          </w:p>
        </w:tc>
      </w:tr>
      <w:tr>
        <w:trPr>
          <w:trHeight w:val="230"/>
        </w:trPr>
        <w:tc>
          <w:tcPr>
            <w:tcW w:w="1260" w:type="dxa"/>
            <w:vAlign w:val="bottom"/>
          </w:tcPr>
          <w:p>
            <w:pPr>
              <w:ind w:left="880"/>
              <w:spacing w:after="0"/>
              <w:rPr>
                <w:sz w:val="20"/>
                <w:szCs w:val="20"/>
                <w:color w:val="auto"/>
              </w:rPr>
            </w:pPr>
            <w:r>
              <w:rPr>
                <w:rFonts w:ascii="Arial" w:cs="Arial" w:eastAsia="Arial" w:hAnsi="Arial"/>
                <w:sz w:val="18"/>
                <w:szCs w:val="18"/>
                <w:color w:val="auto"/>
                <w:w w:val="89"/>
              </w:rPr>
              <w:t>2027</w:t>
            </w:r>
          </w:p>
        </w:tc>
        <w:tc>
          <w:tcPr>
            <w:tcW w:w="2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2040" w:type="dxa"/>
            <w:vAlign w:val="bottom"/>
          </w:tcPr>
          <w:p>
            <w:pPr>
              <w:jc w:val="right"/>
              <w:ind w:right="250"/>
              <w:spacing w:after="0"/>
              <w:rPr>
                <w:sz w:val="20"/>
                <w:szCs w:val="20"/>
                <w:color w:val="auto"/>
              </w:rPr>
            </w:pPr>
            <w:r>
              <w:rPr>
                <w:rFonts w:ascii="Arial" w:cs="Arial" w:eastAsia="Arial" w:hAnsi="Arial"/>
                <w:sz w:val="18"/>
                <w:szCs w:val="18"/>
                <w:color w:val="auto"/>
              </w:rPr>
              <w:t>2.300</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779.4</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780.8</w:t>
            </w:r>
          </w:p>
        </w:tc>
      </w:tr>
      <w:tr>
        <w:trPr>
          <w:trHeight w:val="229"/>
        </w:trPr>
        <w:tc>
          <w:tcPr>
            <w:tcW w:w="12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9"/>
              </w:rPr>
              <w:t>2028</w:t>
            </w:r>
          </w:p>
        </w:tc>
        <w:tc>
          <w:tcPr>
            <w:tcW w:w="2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w:t>
            </w:r>
          </w:p>
        </w:tc>
        <w:tc>
          <w:tcPr>
            <w:tcW w:w="20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3.125</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847.4</w:t>
            </w:r>
          </w:p>
        </w:tc>
      </w:tr>
      <w:tr>
        <w:trPr>
          <w:trHeight w:val="230"/>
        </w:trPr>
        <w:tc>
          <w:tcPr>
            <w:tcW w:w="1260" w:type="dxa"/>
            <w:vAlign w:val="bottom"/>
          </w:tcPr>
          <w:p>
            <w:pPr>
              <w:ind w:left="880"/>
              <w:spacing w:after="0"/>
              <w:rPr>
                <w:sz w:val="20"/>
                <w:szCs w:val="20"/>
                <w:color w:val="auto"/>
              </w:rPr>
            </w:pPr>
            <w:r>
              <w:rPr>
                <w:rFonts w:ascii="Arial" w:cs="Arial" w:eastAsia="Arial" w:hAnsi="Arial"/>
                <w:sz w:val="18"/>
                <w:szCs w:val="18"/>
                <w:color w:val="auto"/>
                <w:w w:val="89"/>
              </w:rPr>
              <w:t>2028</w:t>
            </w:r>
          </w:p>
        </w:tc>
        <w:tc>
          <w:tcPr>
            <w:tcW w:w="2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2040" w:type="dxa"/>
            <w:vAlign w:val="bottom"/>
          </w:tcPr>
          <w:p>
            <w:pPr>
              <w:jc w:val="right"/>
              <w:ind w:right="250"/>
              <w:spacing w:after="0"/>
              <w:rPr>
                <w:sz w:val="20"/>
                <w:szCs w:val="20"/>
                <w:color w:val="auto"/>
              </w:rPr>
            </w:pPr>
            <w:r>
              <w:rPr>
                <w:rFonts w:ascii="Arial" w:cs="Arial" w:eastAsia="Arial" w:hAnsi="Arial"/>
                <w:sz w:val="18"/>
                <w:szCs w:val="18"/>
                <w:color w:val="auto"/>
              </w:rPr>
              <w:t>4.550</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748.8</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748.7</w:t>
            </w:r>
          </w:p>
        </w:tc>
      </w:tr>
      <w:tr>
        <w:trPr>
          <w:trHeight w:val="230"/>
        </w:trPr>
        <w:tc>
          <w:tcPr>
            <w:tcW w:w="12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9"/>
              </w:rPr>
              <w:t>2030</w:t>
            </w:r>
          </w:p>
        </w:tc>
        <w:tc>
          <w:tcPr>
            <w:tcW w:w="2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20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2.700</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1,520.5</w:t>
            </w:r>
          </w:p>
        </w:tc>
      </w:tr>
      <w:tr>
        <w:trPr>
          <w:trHeight w:val="230"/>
        </w:trPr>
        <w:tc>
          <w:tcPr>
            <w:tcW w:w="1260" w:type="dxa"/>
            <w:vAlign w:val="bottom"/>
          </w:tcPr>
          <w:p>
            <w:pPr>
              <w:ind w:left="880"/>
              <w:spacing w:after="0"/>
              <w:rPr>
                <w:sz w:val="20"/>
                <w:szCs w:val="20"/>
                <w:color w:val="auto"/>
              </w:rPr>
            </w:pPr>
            <w:r>
              <w:rPr>
                <w:rFonts w:ascii="Arial" w:cs="Arial" w:eastAsia="Arial" w:hAnsi="Arial"/>
                <w:sz w:val="18"/>
                <w:szCs w:val="18"/>
                <w:color w:val="auto"/>
                <w:w w:val="89"/>
              </w:rPr>
              <w:t>2032</w:t>
            </w:r>
          </w:p>
        </w:tc>
        <w:tc>
          <w:tcPr>
            <w:tcW w:w="2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w:t>
            </w:r>
          </w:p>
        </w:tc>
        <w:tc>
          <w:tcPr>
            <w:tcW w:w="2040" w:type="dxa"/>
            <w:vAlign w:val="bottom"/>
          </w:tcPr>
          <w:p>
            <w:pPr>
              <w:jc w:val="right"/>
              <w:ind w:right="250"/>
              <w:spacing w:after="0"/>
              <w:rPr>
                <w:sz w:val="20"/>
                <w:szCs w:val="20"/>
                <w:color w:val="auto"/>
              </w:rPr>
            </w:pPr>
            <w:r>
              <w:rPr>
                <w:rFonts w:ascii="Arial" w:cs="Arial" w:eastAsia="Arial" w:hAnsi="Arial"/>
                <w:sz w:val="18"/>
                <w:szCs w:val="18"/>
                <w:color w:val="auto"/>
              </w:rPr>
              <w:t>1.908</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1,502.8</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1,546.6</w:t>
            </w:r>
          </w:p>
        </w:tc>
      </w:tr>
      <w:tr>
        <w:trPr>
          <w:trHeight w:val="229"/>
        </w:trPr>
        <w:tc>
          <w:tcPr>
            <w:tcW w:w="12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9"/>
              </w:rPr>
              <w:t>2040</w:t>
            </w:r>
          </w:p>
        </w:tc>
        <w:tc>
          <w:tcPr>
            <w:tcW w:w="2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20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3.850</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1,657.1</w:t>
            </w:r>
          </w:p>
        </w:tc>
      </w:tr>
      <w:tr>
        <w:trPr>
          <w:trHeight w:val="230"/>
        </w:trPr>
        <w:tc>
          <w:tcPr>
            <w:tcW w:w="1260" w:type="dxa"/>
            <w:vAlign w:val="bottom"/>
          </w:tcPr>
          <w:p>
            <w:pPr>
              <w:ind w:left="880"/>
              <w:spacing w:after="0"/>
              <w:rPr>
                <w:sz w:val="20"/>
                <w:szCs w:val="20"/>
                <w:color w:val="auto"/>
              </w:rPr>
            </w:pPr>
            <w:r>
              <w:rPr>
                <w:rFonts w:ascii="Arial" w:cs="Arial" w:eastAsia="Arial" w:hAnsi="Arial"/>
                <w:sz w:val="18"/>
                <w:szCs w:val="18"/>
                <w:color w:val="auto"/>
                <w:w w:val="89"/>
              </w:rPr>
              <w:t>2043</w:t>
            </w:r>
          </w:p>
        </w:tc>
        <w:tc>
          <w:tcPr>
            <w:tcW w:w="2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2040" w:type="dxa"/>
            <w:vAlign w:val="bottom"/>
          </w:tcPr>
          <w:p>
            <w:pPr>
              <w:jc w:val="right"/>
              <w:ind w:right="250"/>
              <w:spacing w:after="0"/>
              <w:rPr>
                <w:sz w:val="20"/>
                <w:szCs w:val="20"/>
                <w:color w:val="auto"/>
              </w:rPr>
            </w:pPr>
            <w:r>
              <w:rPr>
                <w:rFonts w:ascii="Arial" w:cs="Arial" w:eastAsia="Arial" w:hAnsi="Arial"/>
                <w:sz w:val="18"/>
                <w:szCs w:val="18"/>
                <w:color w:val="auto"/>
              </w:rPr>
              <w:t>5.400</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497.3</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497.3</w:t>
            </w:r>
          </w:p>
        </w:tc>
      </w:tr>
      <w:tr>
        <w:trPr>
          <w:trHeight w:val="230"/>
        </w:trPr>
        <w:tc>
          <w:tcPr>
            <w:tcW w:w="12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9"/>
              </w:rPr>
              <w:t>2046</w:t>
            </w:r>
          </w:p>
        </w:tc>
        <w:tc>
          <w:tcPr>
            <w:tcW w:w="2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20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5.250</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w:t>
            </w:r>
          </w:p>
        </w:tc>
      </w:tr>
      <w:tr>
        <w:trPr>
          <w:trHeight w:val="230"/>
        </w:trPr>
        <w:tc>
          <w:tcPr>
            <w:tcW w:w="1260" w:type="dxa"/>
            <w:vAlign w:val="bottom"/>
          </w:tcPr>
          <w:p>
            <w:pPr>
              <w:ind w:left="880"/>
              <w:spacing w:after="0"/>
              <w:rPr>
                <w:sz w:val="20"/>
                <w:szCs w:val="20"/>
                <w:color w:val="auto"/>
              </w:rPr>
            </w:pPr>
            <w:r>
              <w:rPr>
                <w:rFonts w:ascii="Arial" w:cs="Arial" w:eastAsia="Arial" w:hAnsi="Arial"/>
                <w:sz w:val="18"/>
                <w:szCs w:val="18"/>
                <w:color w:val="auto"/>
                <w:w w:val="89"/>
              </w:rPr>
              <w:t>2048</w:t>
            </w:r>
          </w:p>
        </w:tc>
        <w:tc>
          <w:tcPr>
            <w:tcW w:w="2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2040" w:type="dxa"/>
            <w:vAlign w:val="bottom"/>
          </w:tcPr>
          <w:p>
            <w:pPr>
              <w:jc w:val="right"/>
              <w:ind w:right="250"/>
              <w:spacing w:after="0"/>
              <w:rPr>
                <w:sz w:val="20"/>
                <w:szCs w:val="20"/>
                <w:color w:val="auto"/>
              </w:rPr>
            </w:pPr>
            <w:r>
              <w:rPr>
                <w:rFonts w:ascii="Arial" w:cs="Arial" w:eastAsia="Arial" w:hAnsi="Arial"/>
                <w:sz w:val="18"/>
                <w:szCs w:val="18"/>
                <w:color w:val="auto"/>
              </w:rPr>
              <w:t>5.200</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747.8</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747.8</w:t>
            </w:r>
          </w:p>
        </w:tc>
      </w:tr>
      <w:tr>
        <w:trPr>
          <w:trHeight w:val="229"/>
        </w:trPr>
        <w:tc>
          <w:tcPr>
            <w:tcW w:w="12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9"/>
              </w:rPr>
              <w:t>2050</w:t>
            </w:r>
          </w:p>
        </w:tc>
        <w:tc>
          <w:tcPr>
            <w:tcW w:w="2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20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4.000</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2,205.1</w:t>
            </w:r>
          </w:p>
        </w:tc>
      </w:tr>
      <w:tr>
        <w:trPr>
          <w:trHeight w:val="230"/>
        </w:trPr>
        <w:tc>
          <w:tcPr>
            <w:tcW w:w="4200" w:type="dxa"/>
            <w:vAlign w:val="bottom"/>
            <w:gridSpan w:val="2"/>
          </w:tcPr>
          <w:p>
            <w:pPr>
              <w:ind w:left="880"/>
              <w:spacing w:after="0"/>
              <w:rPr>
                <w:sz w:val="20"/>
                <w:szCs w:val="20"/>
                <w:color w:val="auto"/>
              </w:rPr>
            </w:pPr>
            <w:r>
              <w:rPr>
                <w:rFonts w:ascii="Arial" w:cs="Arial" w:eastAsia="Arial" w:hAnsi="Arial"/>
                <w:sz w:val="18"/>
                <w:szCs w:val="18"/>
                <w:color w:val="auto"/>
              </w:rPr>
              <w:t>YEN Term Loan Facility</w:t>
            </w:r>
          </w:p>
        </w:tc>
        <w:tc>
          <w:tcPr>
            <w:tcW w:w="2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328.7</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347.6</w:t>
            </w:r>
          </w:p>
        </w:tc>
      </w:tr>
      <w:tr>
        <w:trPr>
          <w:trHeight w:val="230"/>
        </w:trPr>
        <w:tc>
          <w:tcPr>
            <w:tcW w:w="42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Other</w:t>
            </w:r>
          </w:p>
        </w:tc>
        <w:tc>
          <w:tcPr>
            <w:tcW w:w="20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4200" w:type="dxa"/>
            <w:vAlign w:val="bottom"/>
            <w:tcBorders>
              <w:bottom w:val="single" w:sz="8" w:color="CCEEFF"/>
            </w:tcBorders>
            <w:gridSpan w:val="2"/>
          </w:tcPr>
          <w:p>
            <w:pPr>
              <w:ind w:left="880"/>
              <w:spacing w:after="0"/>
              <w:rPr>
                <w:sz w:val="20"/>
                <w:szCs w:val="20"/>
                <w:color w:val="auto"/>
              </w:rPr>
            </w:pPr>
            <w:r>
              <w:rPr>
                <w:rFonts w:ascii="Arial" w:cs="Arial" w:eastAsia="Arial" w:hAnsi="Arial"/>
                <w:sz w:val="18"/>
                <w:szCs w:val="18"/>
                <w:color w:val="auto"/>
              </w:rPr>
              <w:t>Deferred financing fees</w:t>
            </w:r>
          </w:p>
        </w:tc>
        <w:tc>
          <w:tcPr>
            <w:tcW w:w="20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r>
      <w:tr>
        <w:trPr>
          <w:trHeight w:val="248"/>
        </w:trPr>
        <w:tc>
          <w:tcPr>
            <w:tcW w:w="420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rPr>
              <w:t>Long-term debt</w:t>
            </w:r>
          </w:p>
        </w:tc>
        <w:tc>
          <w:tcPr>
            <w:tcW w:w="20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18,762.5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19,717.1</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117" w:lineRule="exact"/>
        <w:rPr>
          <w:sz w:val="20"/>
          <w:szCs w:val="20"/>
          <w:color w:val="auto"/>
        </w:rPr>
      </w:pPr>
    </w:p>
    <w:p>
      <w:pPr>
        <w:ind w:left="660" w:hanging="328"/>
        <w:spacing w:after="0" w:line="227" w:lineRule="auto"/>
        <w:tabs>
          <w:tab w:leader="none" w:pos="647"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In the first quarter of 2020, the Company terminated interest rate swaps designated as a fair value hedge resulting in net proceeds of approximately $45 million. The fair value adjustment is being amortized to interest expense over the remaining term of the notes.</w:t>
      </w:r>
    </w:p>
    <w:p>
      <w:pPr>
        <w:spacing w:after="0" w:line="6" w:lineRule="exact"/>
        <w:rPr>
          <w:sz w:val="20"/>
          <w:szCs w:val="20"/>
          <w:color w:val="auto"/>
        </w:rPr>
      </w:pPr>
    </w:p>
    <w:p>
      <w:pPr>
        <w:ind w:left="500" w:hanging="168"/>
        <w:spacing w:after="0"/>
        <w:tabs>
          <w:tab w:leader="none" w:pos="50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Instrument was issued by Mylan Inc.</w:t>
      </w:r>
    </w:p>
    <w:p>
      <w:pPr>
        <w:spacing w:after="0" w:line="6" w:lineRule="exact"/>
        <w:rPr>
          <w:sz w:val="20"/>
          <w:szCs w:val="20"/>
          <w:color w:val="auto"/>
        </w:rPr>
      </w:pPr>
    </w:p>
    <w:p>
      <w:pPr>
        <w:ind w:left="560" w:hanging="228"/>
        <w:spacing w:after="0"/>
        <w:tabs>
          <w:tab w:leader="none" w:pos="56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Instrument was originally issued by Mylan N.V.; now held by Utah Acquisition Sub Inc.</w:t>
      </w:r>
    </w:p>
    <w:p>
      <w:pPr>
        <w:spacing w:after="0" w:line="55" w:lineRule="exact"/>
        <w:rPr>
          <w:rFonts w:ascii="Arial" w:cs="Arial" w:eastAsia="Arial" w:hAnsi="Arial"/>
          <w:sz w:val="23"/>
          <w:szCs w:val="23"/>
          <w:color w:val="auto"/>
          <w:vertAlign w:val="superscript"/>
        </w:rPr>
      </w:pPr>
    </w:p>
    <w:p>
      <w:pPr>
        <w:ind w:left="660" w:hanging="328"/>
        <w:spacing w:after="0" w:line="194" w:lineRule="auto"/>
        <w:tabs>
          <w:tab w:leader="none" w:pos="66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Instrument was issued by Viatris Inc.</w:t>
      </w:r>
    </w:p>
    <w:p>
      <w:pPr>
        <w:spacing w:after="0" w:line="56" w:lineRule="exact"/>
        <w:rPr>
          <w:rFonts w:ascii="Arial" w:cs="Arial" w:eastAsia="Arial" w:hAnsi="Arial"/>
          <w:sz w:val="23"/>
          <w:szCs w:val="23"/>
          <w:color w:val="auto"/>
          <w:vertAlign w:val="superscript"/>
        </w:rPr>
      </w:pPr>
    </w:p>
    <w:p>
      <w:pPr>
        <w:ind w:left="720" w:hanging="388"/>
        <w:spacing w:after="0" w:line="194" w:lineRule="auto"/>
        <w:tabs>
          <w:tab w:leader="none" w:pos="72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Instrument was issued by Upjohn Finance B.V.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At March 31, 2022 and December 31, 2021, the aggregate fair value of the Company’s outstanding notes was approximately $19.49 billion and $22.01 billion, respectively. The fair values of the outstanding notes were valued at quoted market prices from broker or dealer quotations and were classified as Level 2 in the fair value hierarchy.</w:t>
      </w:r>
    </w:p>
    <w:p>
      <w:pPr>
        <w:spacing w:after="0" w:line="18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Mandatory minimum repayments remaining on the notional amount of outstanding long-term debt at March 31, 2022 were as follows for each of the periods ending December 31:</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Total</w:t>
            </w:r>
          </w:p>
        </w:tc>
      </w:tr>
      <w:tr>
        <w:trPr>
          <w:trHeight w:val="229"/>
        </w:trPr>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r>
      <w:tr>
        <w:trPr>
          <w:trHeight w:val="229"/>
        </w:trPr>
        <w:tc>
          <w:tcPr>
            <w:tcW w:w="10000" w:type="dxa"/>
            <w:vAlign w:val="bottom"/>
          </w:tcPr>
          <w:p>
            <w:pPr>
              <w:ind w:left="2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29"/>
        </w:trPr>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w:t>
            </w:r>
          </w:p>
        </w:tc>
      </w:tr>
      <w:tr>
        <w:trPr>
          <w:trHeight w:val="230"/>
        </w:trPr>
        <w:tc>
          <w:tcPr>
            <w:tcW w:w="10000" w:type="dxa"/>
            <w:vAlign w:val="bottom"/>
          </w:tcPr>
          <w:p>
            <w:pPr>
              <w:ind w:left="20"/>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1,303</w:t>
            </w:r>
          </w:p>
        </w:tc>
      </w:tr>
      <w:tr>
        <w:trPr>
          <w:trHeight w:val="229"/>
        </w:trPr>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w:t>
            </w:r>
          </w:p>
        </w:tc>
      </w:tr>
      <w:tr>
        <w:trPr>
          <w:trHeight w:val="230"/>
        </w:trPr>
        <w:tc>
          <w:tcPr>
            <w:tcW w:w="10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11,854</w:t>
            </w:r>
          </w:p>
        </w:tc>
      </w:tr>
      <w:tr>
        <w:trPr>
          <w:trHeight w:val="248"/>
        </w:trPr>
        <w:tc>
          <w:tcPr>
            <w:tcW w:w="10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20,753</w:t>
            </w:r>
          </w:p>
        </w:tc>
      </w:tr>
      <w:tr>
        <w:trPr>
          <w:trHeight w:val="20"/>
        </w:trPr>
        <w:tc>
          <w:tcPr>
            <w:tcW w:w="10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Comprehensive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Accumulated other comprehensive loss, as reflected on the condensed consolidated balance sheets, is comprised of the following:</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7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060" w:type="dxa"/>
            <w:vAlign w:val="bottom"/>
          </w:tcPr>
          <w:p>
            <w:pPr>
              <w:jc w:val="right"/>
              <w:ind w:right="95"/>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8"/>
        </w:trPr>
        <w:tc>
          <w:tcPr>
            <w:tcW w:w="87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700" w:type="dxa"/>
            <w:vAlign w:val="bottom"/>
          </w:tcPr>
          <w:p>
            <w:pPr>
              <w:ind w:left="220"/>
              <w:spacing w:after="0"/>
              <w:rPr>
                <w:sz w:val="20"/>
                <w:szCs w:val="20"/>
                <w:color w:val="auto"/>
              </w:rPr>
            </w:pPr>
            <w:r>
              <w:rPr>
                <w:rFonts w:ascii="Arial" w:cs="Arial" w:eastAsia="Arial" w:hAnsi="Arial"/>
                <w:sz w:val="18"/>
                <w:szCs w:val="18"/>
                <w:color w:val="auto"/>
              </w:rPr>
              <w:t>Net unrealized gain on marketable securities, net of tax</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unrecognized loss and prior service cost related to defined benefit plans, net of tax</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29"/>
        </w:trPr>
        <w:tc>
          <w:tcPr>
            <w:tcW w:w="8700" w:type="dxa"/>
            <w:vAlign w:val="bottom"/>
          </w:tcPr>
          <w:p>
            <w:pPr>
              <w:ind w:left="220"/>
              <w:spacing w:after="0"/>
              <w:rPr>
                <w:sz w:val="20"/>
                <w:szCs w:val="20"/>
                <w:color w:val="auto"/>
              </w:rPr>
            </w:pPr>
            <w:r>
              <w:rPr>
                <w:rFonts w:ascii="Arial" w:cs="Arial" w:eastAsia="Arial" w:hAnsi="Arial"/>
                <w:sz w:val="18"/>
                <w:szCs w:val="18"/>
                <w:color w:val="auto"/>
              </w:rPr>
              <w:t>Net unrecognized loss on derivatives in cash flow hedging relationships, net of tax</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unrecognized loss on derivatives in net investment hedging relationships, net of tax</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(2,271.6)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(1,802.4)</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(1,744.3)</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Components of accumulated other comprehensive loss, before tax, consist of the following, for the three months ended March 31, 2022 and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Three Months Ended March 31, 2022</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7"/>
        </w:trPr>
        <w:tc>
          <w:tcPr>
            <w:tcW w:w="3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Gains and</w:t>
            </w:r>
          </w:p>
        </w:tc>
        <w:tc>
          <w:tcPr>
            <w:tcW w:w="120" w:type="dxa"/>
            <w:vAlign w:val="bottom"/>
          </w:tcPr>
          <w:p>
            <w:pPr>
              <w:spacing w:after="0"/>
              <w:rPr>
                <w:sz w:val="24"/>
                <w:szCs w:val="2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Gains and</w:t>
            </w:r>
          </w:p>
        </w:tc>
        <w:tc>
          <w:tcPr>
            <w:tcW w:w="140" w:type="dxa"/>
            <w:vAlign w:val="bottom"/>
          </w:tcPr>
          <w:p>
            <w:pPr>
              <w:spacing w:after="0"/>
              <w:rPr>
                <w:sz w:val="24"/>
                <w:szCs w:val="24"/>
                <w:color w:val="auto"/>
              </w:rPr>
            </w:pP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Defined</w:t>
            </w:r>
          </w:p>
        </w:tc>
        <w:tc>
          <w:tcPr>
            <w:tcW w:w="140" w:type="dxa"/>
            <w:vAlign w:val="bottom"/>
          </w:tcPr>
          <w:p>
            <w:pPr>
              <w:spacing w:after="0"/>
              <w:rPr>
                <w:sz w:val="24"/>
                <w:szCs w:val="2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2740" w:type="dxa"/>
            <w:vAlign w:val="bottom"/>
            <w:gridSpan w:val="7"/>
            <w:vMerge w:val="restart"/>
          </w:tcPr>
          <w:p>
            <w:pPr>
              <w:jc w:val="center"/>
              <w:ind w:right="120"/>
              <w:spacing w:after="0"/>
              <w:rPr>
                <w:sz w:val="20"/>
                <w:szCs w:val="20"/>
                <w:color w:val="auto"/>
              </w:rPr>
            </w:pPr>
            <w:r>
              <w:rPr>
                <w:rFonts w:ascii="Arial" w:cs="Arial" w:eastAsia="Arial" w:hAnsi="Arial"/>
                <w:sz w:val="14"/>
                <w:szCs w:val="14"/>
                <w:b w:val="1"/>
                <w:bCs w:val="1"/>
                <w:color w:val="auto"/>
                <w:w w:val="91"/>
              </w:rPr>
              <w:t>Gains and Losses on Derivatives in Cash</w:t>
            </w:r>
          </w:p>
        </w:tc>
        <w:tc>
          <w:tcPr>
            <w:tcW w:w="108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87"/>
              </w:rPr>
              <w:t>Losses on Net</w:t>
            </w: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6"/>
              </w:rPr>
              <w:t>Losses on</w:t>
            </w: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Currency</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2740" w:type="dxa"/>
            <w:vAlign w:val="bottom"/>
            <w:gridSpan w:val="7"/>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1"/>
                <w:szCs w:val="11"/>
                <w:color w:val="auto"/>
              </w:rPr>
            </w:pPr>
          </w:p>
        </w:tc>
        <w:tc>
          <w:tcPr>
            <w:tcW w:w="7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Pension</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Translation</w:t>
            </w:r>
          </w:p>
        </w:tc>
        <w:tc>
          <w:tcPr>
            <w:tcW w:w="220" w:type="dxa"/>
            <w:vAlign w:val="bottom"/>
          </w:tcPr>
          <w:p>
            <w:pPr>
              <w:spacing w:after="0"/>
              <w:rPr>
                <w:sz w:val="11"/>
                <w:szCs w:val="11"/>
                <w:color w:val="auto"/>
              </w:rPr>
            </w:pPr>
          </w:p>
        </w:tc>
        <w:tc>
          <w:tcPr>
            <w:tcW w:w="8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8"/>
        </w:trPr>
        <w:tc>
          <w:tcPr>
            <w:tcW w:w="3200" w:type="dxa"/>
            <w:vAlign w:val="bottom"/>
          </w:tcPr>
          <w:p>
            <w:pPr>
              <w:spacing w:after="0"/>
              <w:rPr>
                <w:sz w:val="16"/>
                <w:szCs w:val="16"/>
                <w:color w:val="auto"/>
              </w:rPr>
            </w:pPr>
          </w:p>
        </w:tc>
        <w:tc>
          <w:tcPr>
            <w:tcW w:w="274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2"/>
              </w:rPr>
              <w:t>Flow Hedging Relationships</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Hedges</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Plan Items</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Adjustment</w:t>
            </w: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200" w:type="dxa"/>
            <w:vAlign w:val="bottom"/>
          </w:tcPr>
          <w:p>
            <w:pPr>
              <w:spacing w:after="0"/>
              <w:rPr>
                <w:sz w:val="11"/>
                <w:szCs w:val="11"/>
                <w:color w:val="auto"/>
              </w:rPr>
            </w:pPr>
          </w:p>
        </w:tc>
        <w:tc>
          <w:tcPr>
            <w:tcW w:w="960" w:type="dxa"/>
            <w:vAlign w:val="bottom"/>
            <w:tcBorders>
              <w:top w:val="single" w:sz="8" w:color="auto"/>
            </w:tcBorders>
            <w:gridSpan w:val="2"/>
          </w:tcPr>
          <w:p>
            <w:pPr>
              <w:jc w:val="center"/>
              <w:ind w:right="120"/>
              <w:spacing w:after="0" w:line="130" w:lineRule="exact"/>
              <w:rPr>
                <w:sz w:val="20"/>
                <w:szCs w:val="20"/>
                <w:color w:val="auto"/>
              </w:rPr>
            </w:pPr>
            <w:r>
              <w:rPr>
                <w:rFonts w:ascii="Arial" w:cs="Arial" w:eastAsia="Arial" w:hAnsi="Arial"/>
                <w:sz w:val="14"/>
                <w:szCs w:val="14"/>
                <w:b w:val="1"/>
                <w:bCs w:val="1"/>
                <w:color w:val="auto"/>
                <w:w w:val="93"/>
              </w:rPr>
              <w:t>Foreign</w:t>
            </w:r>
          </w:p>
        </w:tc>
        <w:tc>
          <w:tcPr>
            <w:tcW w:w="1020" w:type="dxa"/>
            <w:vAlign w:val="bottom"/>
            <w:tcBorders>
              <w:top w:val="single" w:sz="8" w:color="auto"/>
            </w:tcBorders>
            <w:gridSpan w:val="3"/>
            <w:vMerge w:val="restart"/>
          </w:tcPr>
          <w:p>
            <w:pPr>
              <w:jc w:val="center"/>
              <w:ind w:right="190"/>
              <w:spacing w:after="0"/>
              <w:rPr>
                <w:sz w:val="20"/>
                <w:szCs w:val="20"/>
                <w:color w:val="auto"/>
              </w:rPr>
            </w:pPr>
            <w:r>
              <w:rPr>
                <w:rFonts w:ascii="Arial" w:cs="Arial" w:eastAsia="Arial" w:hAnsi="Arial"/>
                <w:sz w:val="14"/>
                <w:szCs w:val="14"/>
                <w:b w:val="1"/>
                <w:bCs w:val="1"/>
                <w:color w:val="auto"/>
                <w:w w:val="90"/>
              </w:rPr>
              <w:t>Interest</w:t>
            </w: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9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Currency</w:t>
            </w:r>
          </w:p>
        </w:tc>
        <w:tc>
          <w:tcPr>
            <w:tcW w:w="1020" w:type="dxa"/>
            <w:vAlign w:val="bottom"/>
            <w:gridSpan w:val="3"/>
            <w:vMerge w:val="continue"/>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9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Forward</w:t>
            </w:r>
          </w:p>
        </w:tc>
        <w:tc>
          <w:tcPr>
            <w:tcW w:w="1020" w:type="dxa"/>
            <w:vAlign w:val="bottom"/>
            <w:gridSpan w:val="3"/>
          </w:tcPr>
          <w:p>
            <w:pPr>
              <w:jc w:val="center"/>
              <w:ind w:right="190"/>
              <w:spacing w:after="0" w:line="135" w:lineRule="exact"/>
              <w:rPr>
                <w:sz w:val="20"/>
                <w:szCs w:val="20"/>
                <w:color w:val="auto"/>
              </w:rPr>
            </w:pPr>
            <w:r>
              <w:rPr>
                <w:rFonts w:ascii="Arial" w:cs="Arial" w:eastAsia="Arial" w:hAnsi="Arial"/>
                <w:sz w:val="14"/>
                <w:szCs w:val="14"/>
                <w:b w:val="1"/>
                <w:bCs w:val="1"/>
                <w:color w:val="auto"/>
                <w:w w:val="98"/>
              </w:rPr>
              <w:t>Rate</w:t>
            </w: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200" w:type="dxa"/>
            <w:vAlign w:val="bottom"/>
            <w:vMerge w:val="continue"/>
          </w:tcPr>
          <w:p>
            <w:pPr>
              <w:spacing w:after="0"/>
              <w:rPr>
                <w:sz w:val="16"/>
                <w:szCs w:val="16"/>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Contracts</w:t>
            </w:r>
          </w:p>
        </w:tc>
        <w:tc>
          <w:tcPr>
            <w:tcW w:w="1020" w:type="dxa"/>
            <w:vAlign w:val="bottom"/>
            <w:gridSpan w:val="3"/>
          </w:tcPr>
          <w:p>
            <w:pPr>
              <w:jc w:val="center"/>
              <w:ind w:right="190"/>
              <w:spacing w:after="0"/>
              <w:rPr>
                <w:sz w:val="20"/>
                <w:szCs w:val="20"/>
                <w:color w:val="auto"/>
              </w:rPr>
            </w:pPr>
            <w:r>
              <w:rPr>
                <w:rFonts w:ascii="Arial" w:cs="Arial" w:eastAsia="Arial" w:hAnsi="Arial"/>
                <w:sz w:val="14"/>
                <w:szCs w:val="14"/>
                <w:b w:val="1"/>
                <w:bCs w:val="1"/>
                <w:color w:val="auto"/>
                <w:w w:val="85"/>
              </w:rPr>
              <w:t>Swaps</w:t>
            </w: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Balance at December 31, 2021, net of tax</w:t>
            </w: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(1,802.4)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(1,744.3)</w:t>
            </w:r>
          </w:p>
        </w:tc>
        <w:tc>
          <w:tcPr>
            <w:tcW w:w="0" w:type="dxa"/>
            <w:vAlign w:val="bottom"/>
          </w:tcPr>
          <w:p>
            <w:pPr>
              <w:spacing w:after="0"/>
              <w:rPr>
                <w:sz w:val="1"/>
                <w:szCs w:val="1"/>
                <w:color w:val="auto"/>
              </w:rPr>
            </w:pPr>
          </w:p>
        </w:tc>
      </w:tr>
      <w:tr>
        <w:trPr>
          <w:trHeight w:val="156"/>
        </w:trPr>
        <w:tc>
          <w:tcPr>
            <w:tcW w:w="3200" w:type="dxa"/>
            <w:vAlign w:val="bottom"/>
          </w:tcPr>
          <w:p>
            <w:pPr>
              <w:ind w:left="220"/>
              <w:spacing w:after="0" w:line="156" w:lineRule="exact"/>
              <w:rPr>
                <w:sz w:val="20"/>
                <w:szCs w:val="20"/>
                <w:color w:val="auto"/>
              </w:rPr>
            </w:pPr>
            <w:r>
              <w:rPr>
                <w:rFonts w:ascii="Arial" w:cs="Arial" w:eastAsia="Arial" w:hAnsi="Arial"/>
                <w:sz w:val="18"/>
                <w:szCs w:val="18"/>
                <w:color w:val="auto"/>
              </w:rPr>
              <w:t>Other comprehensive earnings (loss)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(469.2)</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(259.0)</w:t>
            </w:r>
          </w:p>
        </w:tc>
        <w:tc>
          <w:tcPr>
            <w:tcW w:w="0" w:type="dxa"/>
            <w:vAlign w:val="bottom"/>
          </w:tcPr>
          <w:p>
            <w:pPr>
              <w:spacing w:after="0"/>
              <w:rPr>
                <w:sz w:val="1"/>
                <w:szCs w:val="1"/>
                <w:color w:val="auto"/>
              </w:rPr>
            </w:pPr>
          </w:p>
        </w:tc>
      </w:tr>
      <w:tr>
        <w:trPr>
          <w:trHeight w:val="229"/>
        </w:trPr>
        <w:tc>
          <w:tcPr>
            <w:tcW w:w="3200" w:type="dxa"/>
            <w:vAlign w:val="bottom"/>
          </w:tcPr>
          <w:p>
            <w:pPr>
              <w:ind w:left="220"/>
              <w:spacing w:after="0"/>
              <w:rPr>
                <w:sz w:val="20"/>
                <w:szCs w:val="20"/>
                <w:color w:val="auto"/>
              </w:rPr>
            </w:pPr>
            <w:r>
              <w:rPr>
                <w:rFonts w:ascii="Arial" w:cs="Arial" w:eastAsia="Arial" w:hAnsi="Arial"/>
                <w:sz w:val="18"/>
                <w:szCs w:val="18"/>
                <w:color w:val="auto"/>
              </w:rPr>
              <w:t>before reclassifications, before tax</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4"/>
              </w:rPr>
              <w:t>Amounts reclassified from accumulated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9"/>
              </w:rPr>
              <w:t>other comprehensive (loss) earnings,</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before tax:</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480"/>
              <w:spacing w:after="0" w:line="176" w:lineRule="exact"/>
              <w:rPr>
                <w:sz w:val="20"/>
                <w:szCs w:val="20"/>
                <w:color w:val="auto"/>
              </w:rPr>
            </w:pPr>
            <w:r>
              <w:rPr>
                <w:rFonts w:ascii="Arial" w:cs="Arial" w:eastAsia="Arial" w:hAnsi="Arial"/>
                <w:sz w:val="18"/>
                <w:szCs w:val="18"/>
                <w:color w:val="auto"/>
                <w:w w:val="99"/>
              </w:rPr>
              <w:t>Gain on foreign exchange forward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tcPr>
          <w:p>
            <w:pPr>
              <w:ind w:left="480"/>
              <w:spacing w:after="0" w:line="176" w:lineRule="exact"/>
              <w:rPr>
                <w:sz w:val="20"/>
                <w:szCs w:val="20"/>
                <w:color w:val="auto"/>
              </w:rPr>
            </w:pPr>
            <w:r>
              <w:rPr>
                <w:rFonts w:ascii="Arial" w:cs="Arial" w:eastAsia="Arial" w:hAnsi="Arial"/>
                <w:sz w:val="18"/>
                <w:szCs w:val="18"/>
                <w:color w:val="auto"/>
              </w:rPr>
              <w:t>contracts classified as cash flow</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9"/>
        </w:trPr>
        <w:tc>
          <w:tcPr>
            <w:tcW w:w="3200" w:type="dxa"/>
            <w:vAlign w:val="bottom"/>
          </w:tcPr>
          <w:p>
            <w:pPr>
              <w:ind w:left="480"/>
              <w:spacing w:after="0"/>
              <w:rPr>
                <w:sz w:val="20"/>
                <w:szCs w:val="20"/>
                <w:color w:val="auto"/>
              </w:rPr>
            </w:pPr>
            <w:r>
              <w:rPr>
                <w:rFonts w:ascii="Arial" w:cs="Arial" w:eastAsia="Arial" w:hAnsi="Arial"/>
                <w:sz w:val="18"/>
                <w:szCs w:val="18"/>
                <w:color w:val="auto"/>
              </w:rPr>
              <w:t>hedges, included in net sales</w:t>
            </w: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0"/>
              </w:rPr>
              <w:t>Loss on interest rate swaps classified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as cash flow hedges, included in</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4"/>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expense</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480"/>
              <w:spacing w:after="0" w:line="176" w:lineRule="exact"/>
              <w:rPr>
                <w:sz w:val="20"/>
                <w:szCs w:val="20"/>
                <w:color w:val="auto"/>
              </w:rPr>
            </w:pPr>
            <w:r>
              <w:rPr>
                <w:rFonts w:ascii="Arial" w:cs="Arial" w:eastAsia="Arial" w:hAnsi="Arial"/>
                <w:sz w:val="18"/>
                <w:szCs w:val="18"/>
                <w:color w:val="auto"/>
                <w:w w:val="99"/>
              </w:rPr>
              <w:t>Amortization of prior service costs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included in SG&amp;A</w:t>
            </w: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200" w:type="dxa"/>
            <w:vAlign w:val="bottom"/>
            <w:shd w:val="clear" w:color="auto" w:fill="CCEEFF"/>
          </w:tcPr>
          <w:p>
            <w:pPr>
              <w:ind w:left="220"/>
              <w:spacing w:after="0" w:line="156" w:lineRule="exact"/>
              <w:rPr>
                <w:sz w:val="20"/>
                <w:szCs w:val="20"/>
                <w:color w:val="auto"/>
              </w:rPr>
            </w:pPr>
            <w:r>
              <w:rPr>
                <w:rFonts w:ascii="Arial" w:cs="Arial" w:eastAsia="Arial" w:hAnsi="Arial"/>
                <w:sz w:val="18"/>
                <w:szCs w:val="18"/>
                <w:color w:val="auto"/>
              </w:rPr>
              <w:t>Net other comprehensive earnings</w:t>
            </w: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before tax</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220"/>
              <w:spacing w:after="0"/>
              <w:rPr>
                <w:sz w:val="20"/>
                <w:szCs w:val="20"/>
                <w:color w:val="auto"/>
              </w:rPr>
            </w:pPr>
            <w:r>
              <w:rPr>
                <w:rFonts w:ascii="Arial" w:cs="Arial" w:eastAsia="Arial" w:hAnsi="Arial"/>
                <w:sz w:val="18"/>
                <w:szCs w:val="18"/>
                <w:color w:val="auto"/>
              </w:rPr>
              <w:t>Income tax provision (benefit)</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48"/>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2022, net of tax</w:t>
            </w:r>
          </w:p>
        </w:tc>
        <w:tc>
          <w:tcPr>
            <w:tcW w:w="8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(2,061.0)</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Three Months Ended March 31, 2021</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7"/>
        </w:trPr>
        <w:tc>
          <w:tcPr>
            <w:tcW w:w="3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Gains and</w:t>
            </w:r>
          </w:p>
        </w:tc>
        <w:tc>
          <w:tcPr>
            <w:tcW w:w="120" w:type="dxa"/>
            <w:vAlign w:val="bottom"/>
          </w:tcPr>
          <w:p>
            <w:pPr>
              <w:spacing w:after="0"/>
              <w:rPr>
                <w:sz w:val="24"/>
                <w:szCs w:val="2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Gains and</w:t>
            </w:r>
          </w:p>
        </w:tc>
        <w:tc>
          <w:tcPr>
            <w:tcW w:w="140" w:type="dxa"/>
            <w:vAlign w:val="bottom"/>
          </w:tcPr>
          <w:p>
            <w:pPr>
              <w:spacing w:after="0"/>
              <w:rPr>
                <w:sz w:val="24"/>
                <w:szCs w:val="24"/>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Defined</w:t>
            </w:r>
          </w:p>
        </w:tc>
        <w:tc>
          <w:tcPr>
            <w:tcW w:w="140" w:type="dxa"/>
            <w:vAlign w:val="bottom"/>
          </w:tcPr>
          <w:p>
            <w:pPr>
              <w:spacing w:after="0"/>
              <w:rPr>
                <w:sz w:val="24"/>
                <w:szCs w:val="2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2700" w:type="dxa"/>
            <w:vAlign w:val="bottom"/>
            <w:gridSpan w:val="7"/>
            <w:vMerge w:val="restart"/>
          </w:tcPr>
          <w:p>
            <w:pPr>
              <w:jc w:val="center"/>
              <w:ind w:right="100"/>
              <w:spacing w:after="0"/>
              <w:rPr>
                <w:sz w:val="20"/>
                <w:szCs w:val="20"/>
                <w:color w:val="auto"/>
              </w:rPr>
            </w:pPr>
            <w:r>
              <w:rPr>
                <w:rFonts w:ascii="Arial" w:cs="Arial" w:eastAsia="Arial" w:hAnsi="Arial"/>
                <w:sz w:val="14"/>
                <w:szCs w:val="14"/>
                <w:b w:val="1"/>
                <w:bCs w:val="1"/>
                <w:color w:val="auto"/>
                <w:w w:val="90"/>
              </w:rPr>
              <w:t>Gains and Losses on Derivatives in Cash</w:t>
            </w:r>
          </w:p>
        </w:tc>
        <w:tc>
          <w:tcPr>
            <w:tcW w:w="10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87"/>
              </w:rPr>
              <w:t>Losses on Net</w:t>
            </w:r>
          </w:p>
        </w:tc>
        <w:tc>
          <w:tcPr>
            <w:tcW w:w="120" w:type="dxa"/>
            <w:vAlign w:val="bottom"/>
          </w:tcPr>
          <w:p>
            <w:pPr>
              <w:spacing w:after="0"/>
              <w:rPr>
                <w:sz w:val="11"/>
                <w:szCs w:val="11"/>
                <w:color w:val="auto"/>
              </w:rPr>
            </w:pPr>
          </w:p>
        </w:tc>
        <w:tc>
          <w:tcPr>
            <w:tcW w:w="9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3"/>
              </w:rPr>
              <w:t>Losses on</w:t>
            </w: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Currency</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2700" w:type="dxa"/>
            <w:vAlign w:val="bottom"/>
            <w:gridSpan w:val="7"/>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8"/>
              </w:rPr>
              <w:t>Pension</w:t>
            </w:r>
          </w:p>
        </w:tc>
        <w:tc>
          <w:tcPr>
            <w:tcW w:w="14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Translation</w:t>
            </w:r>
          </w:p>
        </w:tc>
        <w:tc>
          <w:tcPr>
            <w:tcW w:w="220" w:type="dxa"/>
            <w:vAlign w:val="bottom"/>
          </w:tcPr>
          <w:p>
            <w:pPr>
              <w:spacing w:after="0"/>
              <w:rPr>
                <w:sz w:val="11"/>
                <w:szCs w:val="11"/>
                <w:color w:val="auto"/>
              </w:rPr>
            </w:pPr>
          </w:p>
        </w:tc>
        <w:tc>
          <w:tcPr>
            <w:tcW w:w="8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8"/>
        </w:trPr>
        <w:tc>
          <w:tcPr>
            <w:tcW w:w="3280" w:type="dxa"/>
            <w:vAlign w:val="bottom"/>
          </w:tcPr>
          <w:p>
            <w:pPr>
              <w:spacing w:after="0"/>
              <w:rPr>
                <w:sz w:val="16"/>
                <w:szCs w:val="16"/>
                <w:color w:val="auto"/>
              </w:rPr>
            </w:pPr>
          </w:p>
        </w:tc>
        <w:tc>
          <w:tcPr>
            <w:tcW w:w="270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1"/>
              </w:rPr>
              <w:t>Flow Hedging Relationships</w:t>
            </w: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Hedges</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Securities</w:t>
            </w:r>
          </w:p>
        </w:tc>
        <w:tc>
          <w:tcPr>
            <w:tcW w:w="9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Plan Items</w:t>
            </w:r>
          </w:p>
        </w:tc>
        <w:tc>
          <w:tcPr>
            <w:tcW w:w="14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Adjustment</w:t>
            </w: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280" w:type="dxa"/>
            <w:vAlign w:val="bottom"/>
          </w:tcPr>
          <w:p>
            <w:pPr>
              <w:spacing w:after="0"/>
              <w:rPr>
                <w:sz w:val="11"/>
                <w:szCs w:val="11"/>
                <w:color w:val="auto"/>
              </w:rPr>
            </w:pPr>
          </w:p>
        </w:tc>
        <w:tc>
          <w:tcPr>
            <w:tcW w:w="960" w:type="dxa"/>
            <w:vAlign w:val="bottom"/>
            <w:tcBorders>
              <w:top w:val="single" w:sz="8" w:color="auto"/>
            </w:tcBorders>
            <w:gridSpan w:val="2"/>
          </w:tcPr>
          <w:p>
            <w:pPr>
              <w:jc w:val="center"/>
              <w:ind w:right="120"/>
              <w:spacing w:after="0" w:line="130" w:lineRule="exact"/>
              <w:rPr>
                <w:sz w:val="20"/>
                <w:szCs w:val="20"/>
                <w:color w:val="auto"/>
              </w:rPr>
            </w:pPr>
            <w:r>
              <w:rPr>
                <w:rFonts w:ascii="Arial" w:cs="Arial" w:eastAsia="Arial" w:hAnsi="Arial"/>
                <w:sz w:val="14"/>
                <w:szCs w:val="14"/>
                <w:b w:val="1"/>
                <w:bCs w:val="1"/>
                <w:color w:val="auto"/>
                <w:w w:val="93"/>
              </w:rPr>
              <w:t>Foreign</w:t>
            </w:r>
          </w:p>
        </w:tc>
        <w:tc>
          <w:tcPr>
            <w:tcW w:w="1000" w:type="dxa"/>
            <w:vAlign w:val="bottom"/>
            <w:tcBorders>
              <w:top w:val="single" w:sz="8" w:color="auto"/>
            </w:tcBorders>
            <w:gridSpan w:val="3"/>
            <w:vMerge w:val="restart"/>
          </w:tcPr>
          <w:p>
            <w:pPr>
              <w:jc w:val="center"/>
              <w:ind w:right="190"/>
              <w:spacing w:after="0"/>
              <w:rPr>
                <w:sz w:val="20"/>
                <w:szCs w:val="20"/>
                <w:color w:val="auto"/>
              </w:rPr>
            </w:pPr>
            <w:r>
              <w:rPr>
                <w:rFonts w:ascii="Arial" w:cs="Arial" w:eastAsia="Arial" w:hAnsi="Arial"/>
                <w:sz w:val="14"/>
                <w:szCs w:val="14"/>
                <w:b w:val="1"/>
                <w:bCs w:val="1"/>
                <w:color w:val="auto"/>
                <w:w w:val="94"/>
              </w:rPr>
              <w:t>Interest</w:t>
            </w: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9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Currency</w:t>
            </w:r>
          </w:p>
        </w:tc>
        <w:tc>
          <w:tcPr>
            <w:tcW w:w="1000" w:type="dxa"/>
            <w:vAlign w:val="bottom"/>
            <w:gridSpan w:val="3"/>
            <w:vMerge w:val="continue"/>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9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Forward</w:t>
            </w:r>
          </w:p>
        </w:tc>
        <w:tc>
          <w:tcPr>
            <w:tcW w:w="1000" w:type="dxa"/>
            <w:vAlign w:val="bottom"/>
            <w:gridSpan w:val="3"/>
          </w:tcPr>
          <w:p>
            <w:pPr>
              <w:jc w:val="center"/>
              <w:ind w:right="190"/>
              <w:spacing w:after="0" w:line="135" w:lineRule="exact"/>
              <w:rPr>
                <w:sz w:val="20"/>
                <w:szCs w:val="20"/>
                <w:color w:val="auto"/>
              </w:rPr>
            </w:pPr>
            <w:r>
              <w:rPr>
                <w:rFonts w:ascii="Arial" w:cs="Arial" w:eastAsia="Arial" w:hAnsi="Arial"/>
                <w:sz w:val="14"/>
                <w:szCs w:val="14"/>
                <w:b w:val="1"/>
                <w:bCs w:val="1"/>
                <w:color w:val="auto"/>
                <w:w w:val="92"/>
              </w:rPr>
              <w:t>Rate</w:t>
            </w: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280" w:type="dxa"/>
            <w:vAlign w:val="bottom"/>
            <w:vMerge w:val="continue"/>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Contracts</w:t>
            </w:r>
          </w:p>
        </w:tc>
        <w:tc>
          <w:tcPr>
            <w:tcW w:w="1000" w:type="dxa"/>
            <w:vAlign w:val="bottom"/>
            <w:gridSpan w:val="3"/>
          </w:tcPr>
          <w:p>
            <w:pPr>
              <w:jc w:val="center"/>
              <w:ind w:right="190"/>
              <w:spacing w:after="0"/>
              <w:rPr>
                <w:sz w:val="20"/>
                <w:szCs w:val="20"/>
                <w:color w:val="auto"/>
              </w:rPr>
            </w:pPr>
            <w:r>
              <w:rPr>
                <w:rFonts w:ascii="Arial" w:cs="Arial" w:eastAsia="Arial" w:hAnsi="Arial"/>
                <w:sz w:val="14"/>
                <w:szCs w:val="14"/>
                <w:b w:val="1"/>
                <w:bCs w:val="1"/>
                <w:color w:val="auto"/>
                <w:w w:val="90"/>
              </w:rPr>
              <w:t>Swaps</w:t>
            </w: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Balance at December 31, 2020, net of tax</w:t>
            </w: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CCEEFF"/>
              <w:bottom w:val="single" w:sz="8" w:color="auto"/>
            </w:tcBorders>
            <w:shd w:val="clear" w:color="auto" w:fill="CCEEFF"/>
          </w:tcPr>
          <w:p>
            <w:pPr>
              <w:jc w:val="center"/>
              <w:ind w:left="438"/>
              <w:spacing w:after="0"/>
              <w:rPr>
                <w:sz w:val="20"/>
                <w:szCs w:val="20"/>
                <w:color w:val="auto"/>
              </w:rPr>
            </w:pPr>
            <w:r>
              <w:rPr>
                <w:rFonts w:ascii="Arial" w:cs="Arial" w:eastAsia="Arial" w:hAnsi="Arial"/>
                <w:sz w:val="18"/>
                <w:szCs w:val="18"/>
                <w:color w:val="auto"/>
                <w:w w:val="87"/>
              </w:rPr>
              <w:t>1.2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(858.0)</w:t>
            </w:r>
          </w:p>
        </w:tc>
        <w:tc>
          <w:tcPr>
            <w:tcW w:w="0" w:type="dxa"/>
            <w:vAlign w:val="bottom"/>
          </w:tcPr>
          <w:p>
            <w:pPr>
              <w:spacing w:after="0"/>
              <w:rPr>
                <w:sz w:val="1"/>
                <w:szCs w:val="1"/>
                <w:color w:val="auto"/>
              </w:rPr>
            </w:pPr>
          </w:p>
        </w:tc>
      </w:tr>
      <w:tr>
        <w:trPr>
          <w:trHeight w:val="155"/>
        </w:trPr>
        <w:tc>
          <w:tcPr>
            <w:tcW w:w="3280" w:type="dxa"/>
            <w:vAlign w:val="bottom"/>
          </w:tcPr>
          <w:p>
            <w:pPr>
              <w:ind w:left="220"/>
              <w:spacing w:after="0" w:line="156" w:lineRule="exact"/>
              <w:rPr>
                <w:sz w:val="20"/>
                <w:szCs w:val="20"/>
                <w:color w:val="auto"/>
              </w:rPr>
            </w:pPr>
            <w:r>
              <w:rPr>
                <w:rFonts w:ascii="Arial" w:cs="Arial" w:eastAsia="Arial" w:hAnsi="Arial"/>
                <w:sz w:val="18"/>
                <w:szCs w:val="18"/>
                <w:color w:val="auto"/>
              </w:rPr>
              <w:t>Other comprehensive earnings (loss)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227.4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center"/>
              <w:ind w:left="398"/>
              <w:spacing w:after="0"/>
              <w:rPr>
                <w:sz w:val="20"/>
                <w:szCs w:val="20"/>
                <w:color w:val="auto"/>
              </w:rPr>
            </w:pPr>
            <w:r>
              <w:rPr>
                <w:rFonts w:ascii="Arial" w:cs="Arial" w:eastAsia="Arial" w:hAnsi="Arial"/>
                <w:sz w:val="18"/>
                <w:szCs w:val="18"/>
                <w:color w:val="auto"/>
                <w:w w:val="91"/>
              </w:rPr>
              <w:t>(0.9)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(721.2)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(485.8)</w:t>
            </w:r>
          </w:p>
        </w:tc>
        <w:tc>
          <w:tcPr>
            <w:tcW w:w="0" w:type="dxa"/>
            <w:vAlign w:val="bottom"/>
          </w:tcPr>
          <w:p>
            <w:pPr>
              <w:spacing w:after="0"/>
              <w:rPr>
                <w:sz w:val="1"/>
                <w:szCs w:val="1"/>
                <w:color w:val="auto"/>
              </w:rPr>
            </w:pPr>
          </w:p>
        </w:tc>
      </w:tr>
      <w:tr>
        <w:trPr>
          <w:trHeight w:val="230"/>
        </w:trPr>
        <w:tc>
          <w:tcPr>
            <w:tcW w:w="3280" w:type="dxa"/>
            <w:vAlign w:val="bottom"/>
          </w:tcPr>
          <w:p>
            <w:pPr>
              <w:ind w:left="220"/>
              <w:spacing w:after="0"/>
              <w:rPr>
                <w:sz w:val="20"/>
                <w:szCs w:val="20"/>
                <w:color w:val="auto"/>
              </w:rPr>
            </w:pPr>
            <w:r>
              <w:rPr>
                <w:rFonts w:ascii="Arial" w:cs="Arial" w:eastAsia="Arial" w:hAnsi="Arial"/>
                <w:sz w:val="18"/>
                <w:szCs w:val="18"/>
                <w:color w:val="auto"/>
              </w:rPr>
              <w:t>before reclassifications, before tax</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6"/>
              </w:rPr>
              <w:t>Amounts reclassified from accumulated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other comprehensive (loss) earnings,</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before tax:</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280" w:type="dxa"/>
            <w:vAlign w:val="bottom"/>
          </w:tcPr>
          <w:p>
            <w:pPr>
              <w:ind w:left="480"/>
              <w:spacing w:after="0" w:line="176" w:lineRule="exact"/>
              <w:rPr>
                <w:sz w:val="20"/>
                <w:szCs w:val="20"/>
                <w:color w:val="auto"/>
              </w:rPr>
            </w:pPr>
            <w:r>
              <w:rPr>
                <w:rFonts w:ascii="Arial" w:cs="Arial" w:eastAsia="Arial" w:hAnsi="Arial"/>
                <w:sz w:val="18"/>
                <w:szCs w:val="18"/>
                <w:color w:val="auto"/>
              </w:rPr>
              <w:t>Gain on foreign exchange forward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80" w:type="dxa"/>
            <w:vAlign w:val="bottom"/>
          </w:tcPr>
          <w:p>
            <w:pPr>
              <w:ind w:left="480"/>
              <w:spacing w:after="0" w:line="176" w:lineRule="exact"/>
              <w:rPr>
                <w:sz w:val="20"/>
                <w:szCs w:val="20"/>
                <w:color w:val="auto"/>
              </w:rPr>
            </w:pPr>
            <w:r>
              <w:rPr>
                <w:rFonts w:ascii="Arial" w:cs="Arial" w:eastAsia="Arial" w:hAnsi="Arial"/>
                <w:sz w:val="18"/>
                <w:szCs w:val="18"/>
                <w:color w:val="auto"/>
              </w:rPr>
              <w:t>contracts classified as cash flow</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3280" w:type="dxa"/>
            <w:vAlign w:val="bottom"/>
          </w:tcPr>
          <w:p>
            <w:pPr>
              <w:ind w:left="480"/>
              <w:spacing w:after="0"/>
              <w:rPr>
                <w:sz w:val="20"/>
                <w:szCs w:val="20"/>
                <w:color w:val="auto"/>
              </w:rPr>
            </w:pPr>
            <w:r>
              <w:rPr>
                <w:rFonts w:ascii="Arial" w:cs="Arial" w:eastAsia="Arial" w:hAnsi="Arial"/>
                <w:sz w:val="18"/>
                <w:szCs w:val="18"/>
                <w:color w:val="auto"/>
              </w:rPr>
              <w:t>hedges, included in net sales</w:t>
            </w: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3"/>
              </w:rPr>
              <w:t>Loss on interest rate swaps classified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as cash flow hedges, included in</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expense</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280" w:type="dxa"/>
            <w:vAlign w:val="bottom"/>
          </w:tcPr>
          <w:p>
            <w:pPr>
              <w:ind w:left="480"/>
              <w:spacing w:after="0" w:line="176" w:lineRule="exact"/>
              <w:rPr>
                <w:sz w:val="20"/>
                <w:szCs w:val="20"/>
                <w:color w:val="auto"/>
              </w:rPr>
            </w:pPr>
            <w:r>
              <w:rPr>
                <w:rFonts w:ascii="Arial" w:cs="Arial" w:eastAsia="Arial" w:hAnsi="Arial"/>
                <w:sz w:val="18"/>
                <w:szCs w:val="18"/>
                <w:color w:val="auto"/>
              </w:rPr>
              <w:t>Amortization of prior service costs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3280" w:type="dxa"/>
            <w:vAlign w:val="bottom"/>
          </w:tcPr>
          <w:p>
            <w:pPr>
              <w:ind w:left="480"/>
              <w:spacing w:after="0"/>
              <w:rPr>
                <w:sz w:val="20"/>
                <w:szCs w:val="20"/>
                <w:color w:val="auto"/>
              </w:rPr>
            </w:pPr>
            <w:r>
              <w:rPr>
                <w:rFonts w:ascii="Arial" w:cs="Arial" w:eastAsia="Arial" w:hAnsi="Arial"/>
                <w:sz w:val="18"/>
                <w:szCs w:val="18"/>
                <w:color w:val="auto"/>
              </w:rPr>
              <w:t>included in SG&amp;A</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Amortization of actuarial gain</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included in SG&amp;A</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280" w:type="dxa"/>
            <w:vAlign w:val="bottom"/>
          </w:tcPr>
          <w:p>
            <w:pPr>
              <w:ind w:left="220"/>
              <w:spacing w:after="0" w:line="156" w:lineRule="exact"/>
              <w:rPr>
                <w:sz w:val="20"/>
                <w:szCs w:val="20"/>
                <w:color w:val="auto"/>
              </w:rPr>
            </w:pPr>
            <w:r>
              <w:rPr>
                <w:rFonts w:ascii="Arial" w:cs="Arial" w:eastAsia="Arial" w:hAnsi="Arial"/>
                <w:sz w:val="18"/>
                <w:szCs w:val="18"/>
                <w:color w:val="auto"/>
                <w:w w:val="92"/>
              </w:rPr>
              <w:t>Net other comprehensive earnings (loss),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227.4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center"/>
              <w:ind w:left="398"/>
              <w:spacing w:after="0"/>
              <w:rPr>
                <w:sz w:val="20"/>
                <w:szCs w:val="20"/>
                <w:color w:val="auto"/>
              </w:rPr>
            </w:pPr>
            <w:r>
              <w:rPr>
                <w:rFonts w:ascii="Arial" w:cs="Arial" w:eastAsia="Arial" w:hAnsi="Arial"/>
                <w:sz w:val="18"/>
                <w:szCs w:val="18"/>
                <w:color w:val="auto"/>
                <w:w w:val="91"/>
              </w:rPr>
              <w:t>(0.9)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(721.2)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(490.6)</w:t>
            </w:r>
          </w:p>
        </w:tc>
        <w:tc>
          <w:tcPr>
            <w:tcW w:w="0" w:type="dxa"/>
            <w:vAlign w:val="bottom"/>
          </w:tcPr>
          <w:p>
            <w:pPr>
              <w:spacing w:after="0"/>
              <w:rPr>
                <w:sz w:val="1"/>
                <w:szCs w:val="1"/>
                <w:color w:val="auto"/>
              </w:rPr>
            </w:pPr>
          </w:p>
        </w:tc>
      </w:tr>
      <w:tr>
        <w:trPr>
          <w:trHeight w:val="229"/>
        </w:trPr>
        <w:tc>
          <w:tcPr>
            <w:tcW w:w="3280" w:type="dxa"/>
            <w:vAlign w:val="bottom"/>
          </w:tcPr>
          <w:p>
            <w:pPr>
              <w:ind w:left="220"/>
              <w:spacing w:after="0"/>
              <w:rPr>
                <w:sz w:val="20"/>
                <w:szCs w:val="20"/>
                <w:color w:val="auto"/>
              </w:rPr>
            </w:pPr>
            <w:r>
              <w:rPr>
                <w:rFonts w:ascii="Arial" w:cs="Arial" w:eastAsia="Arial" w:hAnsi="Arial"/>
                <w:sz w:val="18"/>
                <w:szCs w:val="18"/>
                <w:color w:val="auto"/>
              </w:rPr>
              <w:t>before tax</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provision</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438"/>
              <w:spacing w:after="0"/>
              <w:rPr>
                <w:sz w:val="20"/>
                <w:szCs w:val="20"/>
                <w:color w:val="auto"/>
              </w:rPr>
            </w:pPr>
            <w:r>
              <w:rPr>
                <w:rFonts w:ascii="Arial" w:cs="Arial" w:eastAsia="Arial" w:hAnsi="Arial"/>
                <w:sz w:val="18"/>
                <w:szCs w:val="18"/>
                <w:color w:val="auto"/>
                <w:w w:val="87"/>
              </w:rPr>
              <w:t>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Arial" w:cs="Arial" w:eastAsia="Arial" w:hAnsi="Arial"/>
                <w:sz w:val="18"/>
                <w:szCs w:val="18"/>
                <w:color w:val="auto"/>
              </w:rPr>
              <w:t>Balance at March 31, 2021, net of tax</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center"/>
              <w:ind w:left="438"/>
              <w:spacing w:after="0"/>
              <w:rPr>
                <w:sz w:val="20"/>
                <w:szCs w:val="20"/>
                <w:color w:val="auto"/>
              </w:rPr>
            </w:pPr>
            <w:r>
              <w:rPr>
                <w:rFonts w:ascii="Arial" w:cs="Arial" w:eastAsia="Arial" w:hAnsi="Arial"/>
                <w:sz w:val="18"/>
                <w:szCs w:val="18"/>
                <w:color w:val="auto"/>
                <w:w w:val="87"/>
              </w:rPr>
              <w:t>0.2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(1,182.7)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(1,385.6)</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Viatris has four reportable segments: Developed Markets, Greater China, JANZ, and Emerging Markets. The Company reports segment information on the basis of markets and geography, which reflects its focus on bringing its broad and diversified portfolio of branded, complex generics and biosimilars, and generic products to people in markets everywhere. Our Developed Markets segment comprises our operations primarily in North America and Europe. Our Greater China segment includes our operations in China, Taiwan and Hong Kong. Our JANZ segment reflects our operations in Japan, Australia and New Zealand. Our Emerging Markets segment encompasses our presence in more than 125 countries with developing markets and emerging economies including in Asia, Africa, Eastern Europe, Latin America and the Middle East as well as the Company’s ARV franchise.</w:t>
      </w:r>
    </w:p>
    <w:p>
      <w:pPr>
        <w:spacing w:after="0" w:line="164"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Company’s chief operating decision maker is the Chief Executive Officer, who evaluates the performance of its segments based on total revenues and segment profitability.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costs are not included in the measurement of segment profitability, such as costs, if any, associated with the following:</w:t>
      </w:r>
    </w:p>
    <w:p>
      <w:pPr>
        <w:spacing w:after="0" w:line="117" w:lineRule="exact"/>
        <w:rPr>
          <w:sz w:val="20"/>
          <w:szCs w:val="20"/>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Intangible asset amortization expense and impairments of intangible assets;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R&amp;D expense;</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charges or net gains for litigation settlements and other contingencies;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right="20" w:firstLine="320"/>
        <w:spacing w:after="0" w:line="272" w:lineRule="auto"/>
        <w:tabs>
          <w:tab w:leader="none" w:pos="1304" w:val="left"/>
        </w:tabs>
        <w:numPr>
          <w:ilvl w:val="0"/>
          <w:numId w:val="25"/>
        </w:numPr>
        <w:rPr>
          <w:rFonts w:ascii="Arial" w:cs="Arial" w:eastAsia="Arial" w:hAnsi="Arial"/>
          <w:sz w:val="17"/>
          <w:szCs w:val="17"/>
          <w:color w:val="auto"/>
        </w:rPr>
      </w:pPr>
      <w:r>
        <w:rPr>
          <w:rFonts w:ascii="Arial" w:cs="Arial" w:eastAsia="Arial" w:hAnsi="Arial"/>
          <w:sz w:val="17"/>
          <w:szCs w:val="17"/>
          <w:color w:val="auto"/>
        </w:rPr>
        <w:t>Certain costs related to transactions and events such as (i) purchase accounting adjustments, where we incur expenses associated with the amortization of fair value adjustments to inventory and property, plant and equipment; (ii) acquisition-related costs, where we incur costs for executing the transaction, integrating the acquired operations and restructuring the combined company; and (iii) other significant items, which are substantive and/or unusual, and in some cases recurring, items (such as restructuring) that are evaluated on an individual basis by management and that either as a result of their nature or size, would not be expected to occur as part of our normal business on a regular basis. Such special items can include, but are not limited to, non-acquisition-related restructuring costs, as well as costs incurred for asset impairments and disposals of assets or businesses, including, as applicable, any associated transition activities.</w:t>
      </w:r>
    </w:p>
    <w:p>
      <w:pPr>
        <w:spacing w:after="0" w:line="69" w:lineRule="exact"/>
        <w:rPr>
          <w:rFonts w:ascii="Arial" w:cs="Arial" w:eastAsia="Arial" w:hAnsi="Arial"/>
          <w:sz w:val="17"/>
          <w:szCs w:val="17"/>
          <w:color w:val="auto"/>
        </w:rPr>
      </w:pPr>
    </w:p>
    <w:p>
      <w:pPr>
        <w:ind w:left="660" w:right="20" w:firstLine="320"/>
        <w:spacing w:after="0" w:line="257" w:lineRule="auto"/>
        <w:tabs>
          <w:tab w:leader="none" w:pos="1304"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Corporate and other unallocated costs associated with platform functions (such as digital, facilities, legal, finance, human resources, insurance, public affairs and procurement), patient advocacy activities and certain compensation and other corporate costs (such as interest income and expense, and gains and losses on investments, as well as overhead expenses associated with our manufacturing, which include manufacturing variances associated with production) and operations that are not directly assessed to an operating segment as business unit (segment) management does not manage these costs.</w:t>
      </w:r>
    </w:p>
    <w:p>
      <w:pPr>
        <w:spacing w:after="0" w:line="8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does not report depreciation expense, total assets and capital expenditures by segment, as such information is not used by the chief operating decision maker.</w:t>
      </w:r>
    </w:p>
    <w:p>
      <w:pPr>
        <w:spacing w:after="0" w:line="1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 xml:space="preserve">The accounting policies of the segments are the same as those described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included in the 2021 Form 10-K, and Note 3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xml:space="preserve"> included in this Form 10-Q.</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Presented in the table below is segment information for the periods identified and a reconciliation of segment information to total consolidated information.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6"/>
                <w:szCs w:val="16"/>
                <w:b w:val="1"/>
                <w:bCs w:val="1"/>
                <w:color w:val="auto"/>
              </w:rPr>
              <w:t>Net Sales</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771"/>
              <w:spacing w:after="0"/>
              <w:rPr>
                <w:sz w:val="20"/>
                <w:szCs w:val="20"/>
                <w:color w:val="auto"/>
              </w:rPr>
            </w:pPr>
            <w:r>
              <w:rPr>
                <w:rFonts w:ascii="Arial" w:cs="Arial" w:eastAsia="Arial" w:hAnsi="Arial"/>
                <w:sz w:val="16"/>
                <w:szCs w:val="16"/>
                <w:b w:val="1"/>
                <w:bCs w:val="1"/>
                <w:color w:val="auto"/>
              </w:rPr>
              <w:t>Segment Profitability</w:t>
            </w:r>
          </w:p>
        </w:tc>
      </w:tr>
      <w:tr>
        <w:trPr>
          <w:trHeight w:val="210"/>
        </w:trPr>
        <w:tc>
          <w:tcPr>
            <w:tcW w:w="47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6"/>
                <w:szCs w:val="16"/>
                <w:b w:val="1"/>
                <w:bCs w:val="1"/>
                <w:color w:val="auto"/>
              </w:rPr>
              <w:t>Three Months Ended March 31,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r>
      <w:tr>
        <w:trPr>
          <w:trHeight w:val="212"/>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Reportable Segments: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4740" w:type="dxa"/>
            <w:vAlign w:val="bottom"/>
          </w:tcPr>
          <w:p>
            <w:pPr>
              <w:ind w:left="140"/>
              <w:spacing w:after="0"/>
              <w:rPr>
                <w:sz w:val="20"/>
                <w:szCs w:val="20"/>
                <w:color w:val="auto"/>
              </w:rPr>
            </w:pPr>
            <w:r>
              <w:rPr>
                <w:rFonts w:ascii="Arial" w:cs="Arial" w:eastAsia="Arial" w:hAnsi="Arial"/>
                <w:sz w:val="18"/>
                <w:szCs w:val="18"/>
                <w:color w:val="auto"/>
              </w:rPr>
              <w:t>Developed Markets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2,476.1</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2,571.6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1,211.5</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1,285.4</w:t>
            </w:r>
          </w:p>
        </w:tc>
      </w:tr>
      <w:tr>
        <w:trPr>
          <w:trHeight w:val="230"/>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Greater China</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w:t>
            </w: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JANZ</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423.8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174.3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184.2</w:t>
            </w:r>
          </w:p>
        </w:tc>
      </w:tr>
      <w:tr>
        <w:trPr>
          <w:trHeight w:val="230"/>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Emerging Markets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337.3</w:t>
            </w:r>
          </w:p>
        </w:tc>
      </w:tr>
      <w:tr>
        <w:trPr>
          <w:trHeight w:val="223"/>
        </w:trPr>
        <w:tc>
          <w:tcPr>
            <w:tcW w:w="4740" w:type="dxa"/>
            <w:vAlign w:val="bottom"/>
          </w:tcPr>
          <w:p>
            <w:pPr>
              <w:ind w:left="240"/>
              <w:spacing w:after="0"/>
              <w:rPr>
                <w:sz w:val="20"/>
                <w:szCs w:val="20"/>
                <w:color w:val="auto"/>
              </w:rPr>
            </w:pPr>
            <w:r>
              <w:rPr>
                <w:rFonts w:ascii="Arial" w:cs="Arial" w:eastAsia="Arial" w:hAnsi="Arial"/>
                <w:sz w:val="18"/>
                <w:szCs w:val="18"/>
                <w:color w:val="auto"/>
              </w:rPr>
              <w:t>Total reportable segments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4,178.2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2,148.8</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2,211.8</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4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Reconciling items: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 amortization expense</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(684.4)</w:t>
            </w: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Intangible asset impairment charges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(83.4)</w:t>
            </w:r>
          </w:p>
        </w:tc>
      </w:tr>
      <w:tr>
        <w:trPr>
          <w:trHeight w:val="230"/>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Globally managed research and development costs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w:t>
            </w:r>
          </w:p>
        </w:tc>
      </w:tr>
      <w:tr>
        <w:trPr>
          <w:trHeight w:val="229"/>
        </w:trPr>
        <w:tc>
          <w:tcPr>
            <w:tcW w:w="4740" w:type="dxa"/>
            <w:vAlign w:val="bottom"/>
          </w:tcPr>
          <w:p>
            <w:pPr>
              <w:ind w:left="140"/>
              <w:spacing w:after="0"/>
              <w:rPr>
                <w:sz w:val="20"/>
                <w:szCs w:val="20"/>
                <w:color w:val="auto"/>
              </w:rPr>
            </w:pPr>
            <w:r>
              <w:rPr>
                <w:rFonts w:ascii="Arial" w:cs="Arial" w:eastAsia="Arial" w:hAnsi="Arial"/>
                <w:sz w:val="18"/>
                <w:szCs w:val="18"/>
                <w:color w:val="auto"/>
              </w:rPr>
              <w:t>Litigation settlements &amp; other contingencies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30"/>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related and other special items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(993.4)</w:t>
            </w:r>
          </w:p>
        </w:tc>
      </w:tr>
      <w:tr>
        <w:trPr>
          <w:trHeight w:val="230"/>
        </w:trPr>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other unallocated</w:t>
            </w:r>
          </w:p>
        </w:tc>
        <w:tc>
          <w:tcPr>
            <w:tcW w:w="3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(509.8)</w:t>
            </w: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4"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2020 Restructuring Program</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During the fourth quarter of 2020, Viatris announced a significant global restructuring program in order to achieve synergies and ensure that the organization is optimally structured and efficiently resourced to deliver sustainable value to patients, shareholders, customers, and other stakeholders. As part of the restructuring, the Company is optimizing its commercial capabilities and enabling functions, and closing, downsizing or divesting certain manufacturing facilities globally that are deemed to be no longer viable either due to surplus capacity, challenging market dynamics or a shift in its product portfolio toward more complex products.</w:t>
      </w:r>
    </w:p>
    <w:p>
      <w:pPr>
        <w:spacing w:after="0" w:line="188"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For the committed restructuring actions, the Company expects to incur total pre-tax charges of up to approximately $1.4 billion. Such charges are expected to include up to approximately $450 million of non-cash charges mainly related to accelerated depreciation and asset impairment charges, including inventory write-offs. The remaining estimated cash costs of up to approximately $950 million are expected to be primarily related to severance and employee benefits expense, as well as other costs, including those related to contract terminations and other plant disposal costs.</w:t>
      </w:r>
    </w:p>
    <w:p>
      <w:pPr>
        <w:spacing w:after="0" w:line="184"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Charges for restructuring and ongoing cost reduction initiatives are recorded in the period the Company commits to a restructuring or cost reduction plan, or executes specific actions contemplated by the plan and all criteria for liability recognition have been met.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restructuring charges and the reserve activity for the 2020 restructuring program from December 31, 2021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2022:</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Employee</w:t>
            </w: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Exit Costs</w:t>
            </w:r>
          </w:p>
        </w:tc>
        <w:tc>
          <w:tcPr>
            <w:tcW w:w="260" w:type="dxa"/>
            <w:vAlign w:val="bottom"/>
          </w:tcPr>
          <w:p>
            <w:pPr>
              <w:spacing w:after="0"/>
              <w:rPr>
                <w:sz w:val="14"/>
                <w:szCs w:val="14"/>
                <w:color w:val="auto"/>
              </w:rPr>
            </w:pPr>
          </w:p>
        </w:tc>
        <w:tc>
          <w:tcPr>
            <w:tcW w:w="86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7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Related Costs</w:t>
            </w:r>
          </w:p>
        </w:tc>
        <w:tc>
          <w:tcPr>
            <w:tcW w:w="120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center"/>
              <w:ind w:left="210"/>
              <w:spacing w:after="0"/>
              <w:rPr>
                <w:sz w:val="20"/>
                <w:szCs w:val="20"/>
                <w:color w:val="auto"/>
              </w:rPr>
            </w:pPr>
            <w:r>
              <w:rPr>
                <w:rFonts w:ascii="Arial" w:cs="Arial" w:eastAsia="Arial" w:hAnsi="Arial"/>
                <w:sz w:val="18"/>
                <w:szCs w:val="18"/>
                <w:color w:val="auto"/>
                <w:w w:val="87"/>
              </w:rPr>
              <w:t>4.1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Charges </w:t>
            </w:r>
            <w:r>
              <w:rPr>
                <w:rFonts w:ascii="Arial" w:cs="Arial" w:eastAsia="Arial" w:hAnsi="Arial"/>
                <w:sz w:val="23"/>
                <w:szCs w:val="23"/>
                <w:color w:val="auto"/>
                <w:vertAlign w:val="superscript"/>
              </w:rPr>
              <w:t>(1)</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jc w:val="center"/>
              <w:ind w:left="210"/>
              <w:spacing w:after="0"/>
              <w:rPr>
                <w:sz w:val="20"/>
                <w:szCs w:val="20"/>
                <w:color w:val="auto"/>
              </w:rPr>
            </w:pPr>
            <w:r>
              <w:rPr>
                <w:rFonts w:ascii="Arial" w:cs="Arial" w:eastAsia="Arial" w:hAnsi="Arial"/>
                <w:sz w:val="18"/>
                <w:szCs w:val="18"/>
                <w:color w:val="auto"/>
                <w:w w:val="87"/>
              </w:rPr>
              <w:t>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7"/>
              </w:rPr>
              <w:t>(6.2)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Utilization</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80" w:type="dxa"/>
            <w:vAlign w:val="bottom"/>
          </w:tcPr>
          <w:p>
            <w:pPr>
              <w:jc w:val="center"/>
              <w:ind w:left="190"/>
              <w:spacing w:after="0"/>
              <w:rPr>
                <w:sz w:val="20"/>
                <w:szCs w:val="20"/>
                <w:color w:val="auto"/>
              </w:rPr>
            </w:pPr>
            <w:r>
              <w:rPr>
                <w:rFonts w:ascii="Arial" w:cs="Arial" w:eastAsia="Arial" w:hAnsi="Arial"/>
                <w:sz w:val="18"/>
                <w:szCs w:val="18"/>
                <w:color w:val="auto"/>
                <w:w w:val="97"/>
              </w:rPr>
              <w:t>(4.2)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center"/>
              <w:ind w:left="190"/>
              <w:spacing w:after="0"/>
              <w:rPr>
                <w:sz w:val="20"/>
                <w:szCs w:val="20"/>
                <w:color w:val="auto"/>
              </w:rPr>
            </w:pPr>
            <w:r>
              <w:rPr>
                <w:rFonts w:ascii="Arial" w:cs="Arial" w:eastAsia="Arial" w:hAnsi="Arial"/>
                <w:sz w:val="18"/>
                <w:szCs w:val="18"/>
                <w:color w:val="auto"/>
                <w:w w:val="97"/>
              </w:rPr>
              <w:t>(0.1)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Balance at March 31, 2022: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220.2</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768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660" w:hanging="328"/>
        <w:spacing w:after="0" w:line="267" w:lineRule="auto"/>
        <w:tabs>
          <w:tab w:leader="none" w:pos="841" w:val="left"/>
        </w:tabs>
        <w:numPr>
          <w:ilvl w:val="0"/>
          <w:numId w:val="27"/>
        </w:numPr>
        <w:rPr>
          <w:rFonts w:ascii="Arial" w:cs="Arial" w:eastAsia="Arial" w:hAnsi="Arial"/>
          <w:sz w:val="21"/>
          <w:szCs w:val="21"/>
          <w:color w:val="auto"/>
          <w:vertAlign w:val="superscript"/>
        </w:rPr>
      </w:pPr>
      <w:r>
        <w:rPr>
          <w:rFonts w:ascii="Arial" w:cs="Arial" w:eastAsia="Arial" w:hAnsi="Arial"/>
          <w:sz w:val="16"/>
          <w:szCs w:val="16"/>
          <w:color w:val="auto"/>
        </w:rPr>
        <w:t>For the three months ended March 31, 2022, total restructuring charges in Developed Markets, Emerging Markets, Greater China, JANZ, Emerging Markets and Corporate/Other were approximately $12.7 million, $2.6 million, $1.3 million, $0.1 million, and $0.1 million, respectively.</w:t>
      </w:r>
    </w:p>
    <w:p>
      <w:pPr>
        <w:spacing w:after="0" w:line="17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At March 31, 2022 and December 31, 2021, accrued liabilities for restructuring and other cost reduction programs were primarily included in other current liabilities and other long-term obligations in the condensed consolidated balance sheets.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Licensing and Other Partner Agreements</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We periodically enter into licensing and other partner agreements with other pharmaceutical companies for the development, manufacture, marketing and/or sale of pharmaceutical products. Our significant licensing and other partner agreements are primarily focused on the development, manufacturing, supply and commercialization of multiple, high-value generic biologic compounds, insulin analog products and respiratory products, among other complex products. Under these agreements, we have future potential milestone payments and co-development expenses payable to third parties as part of our licensing, development and co-development programs. Payments under these agreements generally become due and are payable upon the satisfaction or achievement of certain developmental, regulatory or commercial milestones or as development expenses are incurred on defined projects. Milestone payment obligations are uncertain, including the prediction of timing and the occurrence of events triggering a future obligation and are not reflected as liabilities in the condensed consolidated balance sheets, except for obligations reflected as acquisition related contingent consideration. Refer to Note 10 </w:t>
      </w:r>
      <w:r>
        <w:rPr>
          <w:rFonts w:ascii="Arial" w:cs="Arial" w:eastAsia="Arial" w:hAnsi="Arial"/>
          <w:sz w:val="17"/>
          <w:szCs w:val="17"/>
          <w:i w:val="1"/>
          <w:iCs w:val="1"/>
          <w:color w:val="auto"/>
        </w:rPr>
        <w:t>Financial Instruments and Risk Management</w:t>
      </w:r>
      <w:r>
        <w:rPr>
          <w:rFonts w:ascii="Arial" w:cs="Arial" w:eastAsia="Arial" w:hAnsi="Arial"/>
          <w:sz w:val="17"/>
          <w:szCs w:val="17"/>
          <w:color w:val="auto"/>
        </w:rPr>
        <w:t xml:space="preserve"> for further discussion of contingent consideration.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potential maximum development milestones not accrued for at March 31, 2022 totaled approximately $338 million</w:t>
      </w:r>
      <w:r>
        <w:rPr>
          <w:rFonts w:ascii="Arial" w:cs="Arial" w:eastAsia="Arial" w:hAnsi="Arial"/>
          <w:sz w:val="18"/>
          <w:szCs w:val="18"/>
          <w:i w:val="1"/>
          <w:iCs w:val="1"/>
          <w:color w:val="auto"/>
        </w:rPr>
        <w:t>.</w:t>
      </w:r>
      <w:r>
        <w:rPr>
          <w:rFonts w:ascii="Arial" w:cs="Arial" w:eastAsia="Arial" w:hAnsi="Arial"/>
          <w:sz w:val="18"/>
          <w:szCs w:val="18"/>
          <w:color w:val="auto"/>
        </w:rPr>
        <w:t xml:space="preserve"> We estimate that the amounts that may be paid through the end of 2022 to be approximately $10 million. These agreements may also include potential sales-based milestones and call for us to pay a percentage of amounts earned from the sale of the product as a royalty or a profit share. The amounts disclosed do not include sales-based milestones or royalty or profit share obligations on future sales of product as the timing and amount of future sales levels and costs to produce products subject to these obligations is not reasonably estimable. These sales-based milestones or royalty or profit share obligations may be significant depending upon the level of commercial sales for each product.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significant changes to our licensing and other partner agreements as disclosed in our 2021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Tax Examinations</w:t>
      </w:r>
    </w:p>
    <w:p>
      <w:pPr>
        <w:spacing w:after="0" w:line="22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Company is subject to income taxes and tax audits in many jurisdictions. A certain degree of estimation is thus required in recording the assets and liabilities related to income taxes. Tax audits and examinations can involve complex issues, interpretations, and judgments and the resolution of matters that may span multiple years, particularly if subject to litigation or negotiation.</w:t>
      </w:r>
    </w:p>
    <w:p>
      <w:pPr>
        <w:spacing w:after="0" w:line="184"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Although the Company believes that adequate provisions have been made for these uncertain tax positions, the Company’s assessment of uncertain tax positions, including those arising from legal entity restructuring transactions in connection with the Combination, is based on estimates and assumptions that the Company believes are reasonable but the estimates for unrecognized tax benefits and potential tax benefits may not be representative of actual outcomes, and variations from such estimates could materially affect the Company’s financial condition, results of operations or cash flows in the period of resolution, settlement or when the statutes of limitations expire.</w:t>
      </w:r>
    </w:p>
    <w:p>
      <w:pPr>
        <w:spacing w:after="0" w:line="176"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Company is subject to ongoing IRS examinations. The years 2015 through 2019 are open years under examination. The years 2012, 2013 and 2014 have one matter open, and a Tax Court petition was filed regarding the matter and a trial was held in December 2018 and is discussed further below.</w:t>
      </w:r>
    </w:p>
    <w:p>
      <w:pPr>
        <w:spacing w:after="0" w:line="124"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Several international audits are currently in progress. In some cases, the tax auditors have proposed adjustments or issued assessments to our tax positions, including with respect to intercompany transactions, and we are in ongoing discussions with some of the auditors regarding the validity of their positions.</w:t>
      </w:r>
    </w:p>
    <w:p>
      <w:pPr>
        <w:spacing w:after="0" w:line="184"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In instances where assessments have been issued, we disagree with these assessments and believe they are without merit and incorrect as a matter of law. As a result, we anticipate that certain of these matters may become the subject of litigation before tax courts where we intend to vigorously defend our position.</w:t>
      </w:r>
    </w:p>
    <w:p>
      <w:pPr>
        <w:spacing w:after="0" w:line="184"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In Australia, the tax authorities have issued notices of assessments to the Company for the years ended December 2009 to December 2020, subject to additional interest and penalties, concerning our tax position with respect to certain intercompany transactions. The tax authorities denied our objections to the assessments for the years ended December 2009 to December 2019 and we have commenced litigation in the Australian Federal Court challenging that decision. A decision on our objection to the assessment for the year ended December 2020 is pending. The Company made a partial payment of $56.0 million in 2021 and $5.2 million in 2022 in order to stay potential interest and penalties resulting from this litigation.</w:t>
      </w:r>
    </w:p>
    <w:p>
      <w:pPr>
        <w:spacing w:after="0" w:line="188"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In France, the tax authorities have issued notices of assessments to the Company for the years ended December 2013 to December 2015 concerning our tax position with respect to whether income earned by a Company entity not domiciled in France should be subject to French tax. We have commenced litigation before the French tax courts where the tax authorities will seek unpaid taxes, penalties, and interest.</w:t>
      </w:r>
    </w:p>
    <w:p>
      <w:pPr>
        <w:spacing w:after="0" w:line="16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India, the tax authorities have issued notices of assessments to the Company seeking unpaid taxes and interest for the financial years covering 2013 to 2018 concerning our tax position with respect to certain corporate tax deductions and certain intercompany transactions. Some of these assessments remain in the audit phase where we are challenging them before the tax authorities while we are challenging some of the other assessments in the Indian tax courts.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The Company has recorded a net reserve for uncertain tax positions of $317.0 million and $315.6 million, including interest and penalties, in connection with its international audits at March 31, 2022 and December 31, 2021, respectively. In connection with our international tax audits, it is possible that we will incur material losses above the amounts reserved.</w:t>
      </w:r>
    </w:p>
    <w:p>
      <w:pPr>
        <w:spacing w:after="0" w:line="184"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Company’s major U.S. state taxing jurisdictions remain open from fiscal year 2013 through 2020, with several state audits currently in progress. The Company’s major international taxing jurisdictions remain open from 2012 through 2020.</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Court Proceedings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Company's U.S. federal income tax returns for 2012 through 2014 had been subject to proceedings in U.S. Tax Court involving a dispute with the IRS regarding whether certain costs related to ANDAs were eligible to be expensed and deducted immediately or required to be amortized over longer periods. A trial was held in U.S. Tax Court in December 2018 and on April 27, 2021, the Court affirmed Mylan’s position and held that patent litigation expenses related to ANDAs are immediately deductible. The IRS has appealed this decision.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for Uncertainty in Income Taxes</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The impact of an uncertain tax position that is more likely than not of being sustained upon audit by the relevant taxing authority must be recognized at the largest amount that is more likely than not to be sustained. No portion of an uncertain tax position will be recognized if the position has less than a 50% likelihood of being sustained.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6" w:name="page37"/>
    <w:bookmarkEnd w:id="3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Litigation</w:t>
      </w:r>
    </w:p>
    <w:p>
      <w:pPr>
        <w:spacing w:after="0" w:line="229" w:lineRule="exact"/>
        <w:rPr>
          <w:sz w:val="20"/>
          <w:szCs w:val="20"/>
          <w:color w:val="auto"/>
        </w:rPr>
      </w:pPr>
    </w:p>
    <w:p>
      <w:pPr>
        <w:jc w:val="both"/>
        <w:ind w:right="440" w:firstLine="648"/>
        <w:spacing w:after="0" w:line="311" w:lineRule="auto"/>
        <w:rPr>
          <w:sz w:val="20"/>
          <w:szCs w:val="20"/>
          <w:color w:val="auto"/>
        </w:rPr>
      </w:pPr>
      <w:r>
        <w:rPr>
          <w:rFonts w:ascii="Arial" w:cs="Arial" w:eastAsia="Arial" w:hAnsi="Arial"/>
          <w:sz w:val="16"/>
          <w:szCs w:val="16"/>
          <w:color w:val="auto"/>
        </w:rPr>
        <w:t>The Company is involved in various disputes, governmental and/or regulatory inquiries, investigations and proceedings, tax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w:t>
      </w:r>
    </w:p>
    <w:p>
      <w:pPr>
        <w:spacing w:after="0" w:line="149"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In addition, in connection with the Combination, the Company has generally assumed liability for, and control of, pending and threatened legal matters relating to the Upjohn Business – including certain matters initiated against Pfizer described below – and has agreed to indemnify Pfizer for liabilities arising out of such assumed legal matters. Pfizer, however, has agreed to retain various matters – including certain specified competition law matters – to the extent they arise from conduct during the pre-Distribution period and has agreed to indemnify the Company for liabilities arising out of such matters.</w:t>
      </w:r>
    </w:p>
    <w:p>
      <w:pPr>
        <w:spacing w:after="0" w:line="188"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While the Company believes that it has meritorious defenses with respect to the claims asserted against it and the assumed legal matters referenced above,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and/or stock price.</w:t>
      </w:r>
    </w:p>
    <w:p>
      <w:pPr>
        <w:spacing w:after="0" w:line="15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Some of these governmental inquiries, investigations, proceedings and litigation matters with which the Company is involved are described below, and unless otherwise disclosed, the Company is unable to predict the outcome of the matter or to provide an estimate of the range of reasonably possible material losses. The Company records accruals for loss contingencies to the extent we conclude it is probable that a liability has been incurred and the amount of the loss can be reasonably estimated. The Company is also involved in other pending proceedings for which, in the opinion of the Company based upon facts and circumstances known at the time, either the likelihood of loss is remote or any reasonably possible loss associated with the resolution of such proceedings is not expected to be material to the Company’s business, financial position, results of operations, cash flows, ability to pay dividends and/or stock price. If and when any reasonably possible losses associated with the resolution of such other pending proceedings, in the opinion of the Company, become material, the Company will disclose such matters.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Legal costs are recorded as incurred and are classified in SG&amp;A in the Company’s condensed consolidated statements of operations.</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EpiPen® Auto-Injector Litigation</w:t>
      </w:r>
    </w:p>
    <w:p>
      <w:pPr>
        <w:spacing w:after="0" w:line="225"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The Company and a former Mylan N.V. officer (collectively the “Mylan Defendants”) were named as defendants in indirect purchaser class actions relating to the pricing and/or marketing of the EpiPen® Auto-Injector. The plaintiffs in these cases asserted violations of various federal and state antitrust and consumer protection laws, RICO as well as common law claims. Plaintiffs’ seek monetary damages, attorneys’ fees and costs. These lawsuits were filed in various federal and state courts and have either been dismissed or transferred into a MDL in the U.S. District Court for the District of Kansas and have been consolidated or centralized. An antitrust class consisting of certain states was ultimately certified. On June 23, 2021, the Court granted – in substantial part – the Mylan Defendants’ motion for summary judgment by dismissing certain antitrust claims and the RICO claims, which included RICO claims asserted against the former Mylan N.V. officer. The remaining antitrust theory concerns a patent settlement between Pfizer and Teva and other alleged actions regarding the launch of Teva’s generic epinephrine auto-injector. In February 2022, the parties reached an agreement to fully resolve this matter for $264 million, which was accrued for during the year ended December 31, 2021. The settlement is subject to court approval and contains an express provision disclaiming and denying any wrongdoing or liability by the Mylan Defendants.</w:t>
      </w:r>
    </w:p>
    <w:p>
      <w:pPr>
        <w:spacing w:after="0" w:line="16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February 14, 2020, the Company, together with other non-Viatris affiliated companies, were named as defendants in a putative direct purchaser class action filed in the U.S. District Court for the District of Kansas relating to the pricing and/or marketing of the EpiPen® Auto-Injector. On September 21, 2021, after Plaintiffs’ then operative complaint was dismissed with an option to file a limited amended complaint, Plaintiffs filed an amended complaint asserting federal antitrust claims which are based on allegations that are similar to those in the indirect purchaser class actions discussed above. Plaintiffs’ seek monetary damages, declaratory relief, attorneys’ fees and costs.</w:t>
      </w:r>
    </w:p>
    <w:p>
      <w:pPr>
        <w:spacing w:after="0" w:line="188"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Beginning in March 2020, the Company, together with other non-Viatris affiliated companies, were named as defendants in putative direct purchaser class actions filed in the U.S. District Court for the District of Minnesota relating to</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contracts with certain pharmacy benefit managers concerning EpiPen® Auto-Injector. The plaintiffs claim that the alleged conduct resulted in the exclusion or restriction of competing products and the elimination of pricing constraints in violation of RICO and federal antitrust law. These actions have been consolidated. Plaintiffs’ seek monetary damages, attorneys’ fees and costs.</w:t>
      </w:r>
    </w:p>
    <w:p>
      <w:pPr>
        <w:spacing w:after="0" w:line="184"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On April 24, 2017, Sanofi Aventis U.S., LLC (“Sanofi”) filed a lawsuit against the Company in the U.S. District Court for the District of New Jersey. This lawsuit has been transferred into the aforementioned MDL and alleges exclusive dealing and anti-competitive marketing practices in violation of the antitrust laws in connection with the sale and marketing of the EpiPen® Auto-Injector. Sanofi seeks monetary damages, declaratory relief, attorneys’ fees and costs. The Court granted the Company’s motion for summary judgment and dismissed Sanofi’s claims. Sanofi’s appeal is pending.</w:t>
      </w:r>
    </w:p>
    <w:p>
      <w:pPr>
        <w:spacing w:after="0" w:line="15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 has a total accrual of approximately $269.0 million related to these matters at March 31, 2022, which is included in other current liabilities in the condensed consolidated balance sheets. Although it is reasonably possible that the Company may incur additional losses from these matters, any amount cannot be reasonably estimated at this time. In addition, the Company expects to incur additional legal and other professional service expenses associated with such matters in future periods and will recognize these expenses as services are received. The Company believes that the ultimate amount paid for these services and claims could have a material effect on the Company's business, financial condition, results of operations, cash flows, ability to pay dividends and/or stock price in future periods.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Drug Pricing Matters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Department of Justice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December 3, 2015, the Company received a subpoena from the Antitrust Division of the DOJ seeking information relating to the marketing, pricing, and sale of certain of our generic products and any communications with competitors about such products. On September 8, 2016, the Company, as well as certain employees and a member of senior management, received subpoenas from the DOJ seeking similar information. Related search warrants also were executed.</w:t>
      </w:r>
    </w:p>
    <w:p>
      <w:pPr>
        <w:spacing w:after="0" w:line="18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On May 10, 2018, the Company received a civil investigative demand from the Civil Division of the DOJ seeking information relating to the pricing and sale of its generic drug products.</w:t>
      </w:r>
    </w:p>
    <w:p>
      <w:pPr>
        <w:spacing w:after="0" w:line="170"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We are fully cooperating with these investigations, which we believe are related to a broader industry-wide investigation of the generic pharmaceutical industry.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Civil Litigation</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Beginning in 2016, the Company, along with other manufacturers, has been named as a defendant in lawsuits generally alleging anticompetitive conduct with respect to generic drugs. The lawsuits have been filed by plaintiffs, including putative classes of direct purchasers, indirect purchasers, and indirect resellers, as well as individual direct and indirect purchasers and certain cities and counties. They allege harm under federal and state laws, including federal and state antitrust laws, state consumer protection laws and unjust enrichment claims. Some of the lawsuits also name as defendants the Company’s President, including allegations against him with respect to a single drug product, and one of the Company’s sales employees, including allegations against him with respect to certain generic drugs. The vast majority of the lawsuits have been consolidated in an MDL proceeding in the Eastern District of Pennsylvania (“EDPA”). Plaintiffs generally seek monetary damages, restitution, declaratory and injunctive relief, attorneys’ fees and costs. The Court has ordered certain plaintiffs’ complaints regarding two single-drug product cases to proceed as bellwethers. The Company is named in those plaintiffs’ complaints that regard one of the two individual drug products.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8" w:name="page39"/>
    <w:bookmarkEnd w:id="3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Attorneys General Litigation</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December 21, 2015, the Company received a subpoena and interrogatories from the Connecticut Office of the Attorney General seeking information relating to the marketing, pricing and sale of certain of the Company’s generic products and communications with competitors about such products. On December 14, 2016, attorneys general of certain states filed a complaint in the United States District Court for the District of Connecticut against several generic pharmaceutical drug manufacturers, including the Company, alleging anticompetitive conduct with respect to, among other things, a single drug product. The complaint has subsequently been amended, including on June 18, 2018, to add attorneys general alleging violations of federal and state antitrust laws, as well as violations of various states’ consumer protection laws. This lawsuit has been transferred to the aforementioned MDL proceeding in the EDPA. The operative complaint includes attorneys general of forty-six states, the District of Columbia and the Commonwealth of Puerto Rico. The Company is alleged to have engaged in anticompetitive conduct with respect to four generic drug products. The amended complaint also includes claims asserted by attorneys general of thirty-six states and the Commonwealth of Puerto Rico against certain individuals, including the Company’s President, with respect to a single drug product. The amended complaint seeks declaratory and injunctive relief, disgorgement, attorneys’ fees and costs, and certain states seek monetary damages, civil penalties, restitution, and other equitable monetary relief.</w:t>
      </w:r>
    </w:p>
    <w:p>
      <w:pPr>
        <w:spacing w:after="0" w:line="18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May 10, 2019, certain attorneys general filed a new complaint in the United States District Court for the District of Connecticut against various drug manufacturers and individuals, including the Company and one of its sales employees, alleging anticompetitive conduct with respect to additional generic drugs. On November 1, 2019, the complaint was amended, adding additional states as plaintiffs. The operative complaint is brought by attorneys general of forty-seven states, certain territories and the District of Columbia. The amended complaint also includes claims asserted by attorneys general of forty-two states and certain territories against several individuals, including a Company sales employee. The amended complaint seeks declaratory and injunctive relief, disgorgement, attorneys’ fees and costs, and certain states seek monetary damages, civil penalties, restitution, and other equitable monetary relief. This lawsuit has been transferred to the aforementioned MDL proceeding in the EDPA.</w:t>
      </w:r>
    </w:p>
    <w:p>
      <w:pPr>
        <w:spacing w:after="0" w:line="17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On June 10, 2020, certain attorneys general filed a new complaint in the United States District Court for the District of Connecticut against drug manufacturers, including the Company, and individual defendants (none from the Company), alleging anticompetitive conduct with respect to additional generic drugs. On September 9, 2021, the complaint was amended, adding an additional state as a plaintiff. The operative complaint is brought by attorneys general of forty-six states, certain territories and the District of Columbia. The amended complaint seeks declaratory and injunctive relief, disgorgement, attorneys’ fees and costs, and certain states seek monetary damages, civil penalties, restitution, and other equitable monetary relief. This lawsuit has been transferred to the aforementioned MDL proceeding in the EDPA and has been ordered to proceed as a bellwether.</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Securities Related Litigation</w:t>
      </w:r>
    </w:p>
    <w:p>
      <w:pPr>
        <w:spacing w:after="0" w:line="225"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Purported class action complaints were filed in October 2016 against Mylan N.V. and Mylan Inc. (collectively “Mylan”), certain of Mylan’s former directors and officers, and certain of the Company’s current directors and officers (collectively, for purposes of this paragraph, the “defendants”) in the United States District Court for the Southern District of New York (“SDNY”) on behalf of certain purchasers of securities of Mylan on the NASDAQ. The complaints alleged that defendants made false or misleading statements and omissions of purportedly material fact, in violation of federal securities laws, in connection with disclosures relating to the classification of their EpiPen® Auto-Injector as a non-innovator drug for purposes of the Medicaid Drug Rebate Program. On March 20, 2017, a consolidated amended complaint was filed alleging substantially similar claims, but adding allegations that defendants made false or misleading statements and omissions of purportedly material fact in connection with allegedly anticompetitive conduct with respect to EpiPen® Auto-Injector and certain generic drugs.</w:t>
      </w:r>
    </w:p>
    <w:p>
      <w:pPr>
        <w:spacing w:after="0" w:line="17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operative complaint is the third amended consolidated complaint, which was filed on June 17, 2019, and contains the allegations as described above against Mylan, certain of Mylan’s former directors and officers, and certain of the Company’s current directors, officers, and employees (collectively, for purposes of this paragraph, the “defendants”). A class has been certified covering all persons or entities that purchased Mylan common stock between February 21, 2012 and May 24, 2019 excluding defendants, certain of the Company’s current directors and officers, former directors and officers of Mylan, members of their immediate families and their legal representatives, heirs, successors or assigns, and any entity in which defendants have or had a controlling interest. Plaintiffs seek damages and costs and expenses, including attorneys’ fees and expert costs. A decision on Defendants’ motion for summary judgment seeking to dismiss the case in its entirety and Plaintiffs’ cross-motion for partial summary judgment as to portions of certain claims is pending.</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On April 30, 2017, a similar lawsuit was filed in the Tel Aviv District Court (Economic Division) in Israel, which has been stayed pending a decision in the SDNY class action litigation.</w:t>
      </w:r>
    </w:p>
    <w:p>
      <w:pPr>
        <w:spacing w:after="0" w:line="170" w:lineRule="exact"/>
        <w:rPr>
          <w:sz w:val="20"/>
          <w:szCs w:val="20"/>
          <w:color w:val="auto"/>
        </w:rPr>
      </w:pPr>
    </w:p>
    <w:p>
      <w:pPr>
        <w:ind w:right="440" w:firstLine="648"/>
        <w:spacing w:after="0" w:line="311" w:lineRule="auto"/>
        <w:rPr>
          <w:sz w:val="20"/>
          <w:szCs w:val="20"/>
          <w:color w:val="auto"/>
        </w:rPr>
      </w:pPr>
      <w:r>
        <w:rPr>
          <w:rFonts w:ascii="Arial" w:cs="Arial" w:eastAsia="Arial" w:hAnsi="Arial"/>
          <w:sz w:val="16"/>
          <w:szCs w:val="16"/>
          <w:color w:val="auto"/>
        </w:rPr>
        <w:t>On February 14, 2020, the Abu Dhabi Investment Authority filed a complaint against Mylan in the SDNY asserting allegations pertaining to EpiPen® Auto-Injector and certain generic drugs under the federal securities laws that overlap with those asserted in the third amended complaint identified above. The Abu Dhabi Investment Authority’s complaint seeks monetary damages as well as the plaintiff’s fees and costs.</w:t>
      </w:r>
    </w:p>
    <w:p>
      <w:pPr>
        <w:spacing w:after="0" w:line="14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June 26, 2020, a putative class action complaint was filed by the Public Employees Retirement System of Mississippi, which was subsequently amended on November 13, 2020, against Mylan N.V., certain of Mylan N.V.’s former directors and officers, and an officer and director of the Company (collectively for the purposes of this paragraph, the “defendants”) in the U.S. District Court for the Western District of Pennsylvania on behalf of certain purchasers of securities of Mylan N.V. The amended complaint alleges that defendants made false or misleading statements and omissions of purportedly material fact, in violation of federal securities laws, in connection with disclosures relating to the Morgantown manufacturing plant and inspections at the plant by the FDA. Plaintiff seeks certification of a class of purchasers of Mylan N.V. securities between February 16, 2016 and May 7, 2019. The complaint seeks monetary damages, as well as the plaintiff’s fees and costs.</w:t>
      </w:r>
    </w:p>
    <w:p>
      <w:pPr>
        <w:spacing w:after="0" w:line="177"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On February 15, 2021, a complaint was filed by Skandia Mutual Life Ins. Co., Lansforsakringar AB, KBC Asset Management N.V., and GIC Private Limited, against the Company, certain of Mylan N.V.’s former directors and officers, a current director and officer of the Company, and current employees of the Company. The Complaint asserts claims which are based on allegations that are similar to those in the SDNY and the Western District of Pennsylvania complaints identified above. Plaintiffs seek compensatory damages, costs and expenses and attorneys’ fees.</w:t>
      </w:r>
    </w:p>
    <w:p>
      <w:pPr>
        <w:spacing w:after="0" w:line="171"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6"/>
          <w:szCs w:val="16"/>
          <w:color w:val="auto"/>
        </w:rPr>
        <w:t>On October 28, 2021, the Company and certain of its officers and directors were named as defendants in a putative class action lawsuit filed in the Court of Common Pleas of Allegheny County, Pennsylvania on behalf of former Mylan shareholders who received Company common stock in connection with the Combination. A non-Viatris affiliated company and persons were also named as defendants. The complaint alleges violations of Sections 11, 12(a)</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(2), and 15 of the Securities Act of 1933 for purportedly failing to disclose or misrepresenting material information in the registration statement and related prospectus issued in connection with the Combination. Plaintiffs seek monetary damages, reasonable costs and expenses, and certain other equitable and injunctive relief.</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Opioids</w:t>
      </w:r>
    </w:p>
    <w:p>
      <w:pPr>
        <w:spacing w:after="0" w:line="225" w:lineRule="exact"/>
        <w:rPr>
          <w:sz w:val="20"/>
          <w:szCs w:val="20"/>
          <w:color w:val="auto"/>
        </w:rPr>
      </w:pPr>
    </w:p>
    <w:p>
      <w:pPr>
        <w:jc w:val="both"/>
        <w:ind w:right="360" w:firstLine="648"/>
        <w:spacing w:after="0" w:line="301" w:lineRule="auto"/>
        <w:rPr>
          <w:sz w:val="20"/>
          <w:szCs w:val="20"/>
          <w:color w:val="auto"/>
        </w:rPr>
      </w:pPr>
      <w:r>
        <w:rPr>
          <w:rFonts w:ascii="Arial" w:cs="Arial" w:eastAsia="Arial" w:hAnsi="Arial"/>
          <w:sz w:val="16"/>
          <w:szCs w:val="16"/>
          <w:color w:val="auto"/>
        </w:rPr>
        <w:t>The Company, along with other manufacturers, distributors, pharmacies, pharmacy benefit managers, and individual healthcare providers is a defendant in more than 1,000 cases in the United States and Canada filed by various plaintiffs, including counties, cities and other local governmental entities, asserting civil claims related to sales, marketing and/or distribution practices with respect to prescription opioid products. In addition, lawsuits have been filed as putative class actions including on behalf of children with Neonatal Abstinence Syndrome due to alleged exposure to opioids.</w:t>
      </w:r>
    </w:p>
    <w:p>
      <w:pPr>
        <w:spacing w:after="0" w:line="157" w:lineRule="exact"/>
        <w:rPr>
          <w:sz w:val="20"/>
          <w:szCs w:val="20"/>
          <w:color w:val="auto"/>
        </w:rPr>
      </w:pPr>
    </w:p>
    <w:p>
      <w:pPr>
        <w:jc w:val="both"/>
        <w:ind w:right="340" w:firstLine="648"/>
        <w:spacing w:after="0" w:line="286" w:lineRule="auto"/>
        <w:rPr>
          <w:sz w:val="20"/>
          <w:szCs w:val="20"/>
          <w:color w:val="auto"/>
        </w:rPr>
      </w:pPr>
      <w:r>
        <w:rPr>
          <w:rFonts w:ascii="Arial" w:cs="Arial" w:eastAsia="Arial" w:hAnsi="Arial"/>
          <w:sz w:val="17"/>
          <w:szCs w:val="17"/>
          <w:color w:val="auto"/>
        </w:rPr>
        <w:t>The lawsuits generally seek equitable relief and monetary damages (including punitive and/or exemplary damages) based on a variety of legal theories, including various statutory and/or common law claims, such as negligence, public nuisance and unjust enrichment. The vast majority of these lawsuits have been consolidated in an MDL in the U.S. District Court for the Northern District Court of Ohio.</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Product Liability</w:t>
      </w:r>
    </w:p>
    <w:p>
      <w:pPr>
        <w:spacing w:after="0" w:line="225"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Like other pharmaceutical companies, the Company is involved in a number of product liability lawsuits related to alleged personal injuries arising out of certain products manufactured/or distributed by the Company, including but not limited to those discussed below. Plaintiffs in these cases generally seek damages and other relief on various grounds for alleged personal injury and economic loss.</w:t>
      </w:r>
    </w:p>
    <w:p>
      <w:pPr>
        <w:spacing w:after="0" w:line="165"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The Company has accrued approximately $75.3 million as of March 31, 2022 for its product liability matters. It is reasonably possible that we will incur additional losses and fees above the amount accrued but we cannot estimate a range of such reasonably possible losses or legal fees related to these claims at this time. There are no assurances, however, that settlements reached and/or adverse judgments received, if any, will not exceed amounts accrued.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0" w:name="page41"/>
    <w:bookmarkEnd w:id="4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Nitrosamines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Company, along with numerous other manufacturers, retailers, and others, are parties to litigation relating to alleged trace amounts of nitrosamine impurities in certain products, including valsartan and ranitidine. The vast majority of these lawsuits in the United States are pending in two MDLs, namely an MDL pending in the United States District Court for the District of New Jersey concerning valsartan and an MDL pending in the United States District Court for the Southern District of Florida concerning ranitidine. The lawsuits against the Company in the MDLs include putative class actions seeking the refund of the purchase price and other economic and punitive damages allegedly sustained by consumers and end payors as well as individuals seeking compensatory and punitive damages for personal injuries allegedly caused by ingestion of the medications. Similar lawsuits pertaining to valsartan have been filed in other countries. Class certification motions are pending in the valsartan MDL. The Company has also received claims and inquiries related to these products, as well as requests to indemnify purchasers of the Company’s API and/ or finished dose forms of these products. The original master complaints concerning ranitidine were dismissed on December 31, 2020. The Company was not named as a defendant in the amended master complaints, though it was still named in certain short form personal injury complaints. The end-payor plaintiffs and certain of the plaintiffs named in the short form personal injury complaints in the ranitidine matter have filed appeals to the U.S. Court of Appeals for the Eleventh Circuit.</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Lipitor</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 number of individual and multi-plaintiff lawsuits have been filed against Pfizer in various federal and state courts alleging that the plaintiffs developed type 2 diabetes purportedly as a result of the ingestion of Lipitor. Plaintiffs seek compensatory and punitive damages. In February 2014, the federal actions were transferred for consolidated pre-trial proceedings to an MDL in the U.S. District Court for the District of South Carolina. Since 2016, certain cases in the MDL were remanded to certain state courts. In 2017, the District Court granted Pfizer’s motion for summary judgment, dismissing all of the cases pending in the MDL. In June 2018, this dismissal was affirmed by the U.S. Court of Appeals for the Fourth Circuit. The state court proceedings remain pending in various jurisdictions, including in California, Missouri, and New York. On January 27, 2021, the California Court granted Pfizer’s motion to exclude the opinions of plaintiffs’ only general causation expert in connection with his opinions involving the three lowest doses of Lipitor (10, 20 and 40 mg). The Company’s motion for summary judgment in connection with the 10, 20, and 40 mg plaintiffs was granted, resulting in their dismissal. On November 3, 2021, the Court granted the Company’s motion seeking the dismissal of the remaining cases involving the highest dose of Lipitor (80 mg).</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Viagra</w:t>
      </w:r>
    </w:p>
    <w:p>
      <w:pPr>
        <w:spacing w:after="0" w:line="22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Since April 2016, an MDL has been pending in the U.S. District Court for the Northern District of California, in which plaintiffs allege that they developed melanoma and/or the exacerbation of melanoma purportedly as a result of the ingestion of Viagra. Additional cases filed against Eli Lilly and Company (“Lilly”) with respect to Cialis have also been consolidated in the MDL. Plaintiffs seek compensatory and punitive damages. In January 2020, the District Court granted Pfizer’s and Lilly’s motion to exclude all of plaintiffs’ general causation opinions. As a result, in April 2020, the District Court entered summary judgment in favor of defendants and dismissed all of plaintiffs’ claims. In April 2020, plaintiffs filed a notice of appeal in the U.S. Court of Appeals for the Ninth Circuit. The parties have reached a settlement in principle.</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Company is involved in a number of patent litigation lawsuits involving the validity and/or infringement of patents held by branded pharmaceutical manufacturers including but not limited to the matters described below. The Company uses its business judgment to decide to market and sell certain products, in each case based on its belief that the applicable patents are invalid and/or that its products do not infringe, notwithstanding the fact that allegations of patent infringement(s) or other potential third party rights have not been finally resolved by the courts. The risk involved in doing so can be substantial because the remedies available to the owner of a patent for infringement may include, a reasonable royalty on sales or damages measured by the profits lost by the patent owner. If there is a finding of willful infringement, damages may be increased up to three times. Moreover, because of the discount pricing typically involved with bioequivalent products, patented branded products generally realize a substantially higher profit margin than generic and biosimilar products. The Company also faces challenges to its patents, including suits in various jurisdictions pursuant to which generic drug manufacturers, payers, governments, or other parties are seeking damages for allegedly causing delay of generic entry. An adverse decision in any of these matters could have an adverse effect that is material to our business, financial condition, results of operations, cash flows, ability to pay dividends and/or stock price.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has accrued approximately $211.8 million as of March 31, 2022 for its intellectual property matters. It is reasonably possible that we will incur additional losses and fees above the amount accrued but we cannot estimate a range of such reasonably possible losses or legal fees related to these claims at this time. There are no assurances, however, that settlements reached and/or adverse judgments received, if any, will not exceed amounts accrued.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Dimethyl Fumarate</w:t>
      </w:r>
    </w:p>
    <w:p>
      <w:pPr>
        <w:spacing w:after="0" w:line="22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On June 30, 2017, Biogen MA Inc. and Biogen International GmbH (collectively, “Biogen”) sued MPI in the U.S. District Court for the Northern District of West Virginia asserting that MPI’s abbreviated new drug application for dimethyl fumarate delayed-release capsules containing 120 mg and 240 mg of dimethyl fumarate (generic for Tecfidera®) infringed six U.S. patents that Biogen had listed in the Orange Book: 6,509,376, 7,320,999, 7,619,001, 7,803,840, 8,759,393, and 8,399,514. All patents except for the ‘514 expired during the litigation and were dismissed from the case.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a trial involving only the ’514 patent on June 18, 2020, the District Court issued a judgment finding all claims of the ’514 patent invalid for</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lack of adequate written description. On appeal, the Federal Circuit affirmed the District Court’s judgment. Biogen’s petition for rehearing was denied. The deadline for Biogen to file a petition seeking review by the U.S. Supreme Court has not yet passed.</w:t>
      </w:r>
    </w:p>
    <w:p>
      <w:pPr>
        <w:spacing w:after="0" w:line="170"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On July 13, 2018, MPI filed an IPR petition challenging the ’514 patent based only on obviousness. On February 5, 2020, the PTAB issued a final written decision finding the claims not obvious. MPI’s appeal of the PTAB decision is stayed pending resolution of any request by Biogen for U.S. Supreme Court review of the Federal Circuit’s affirmance of the District Court’s invalidity judgment.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August 17, 2020, the FDA approved MPI’s dimethyl fumarate delayed-release capsules, which MPI began selling on August 18, 2020.</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Lyrica - United Kingdom</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Beginning in 2014, Pfizer was involved in patent litigation in the English courts concerning the validity of its Lyrica pain use patent. In 2015, the High Court of Justice in London ordered that the NHS England issue guidance for prescribers and pharmacists directing the prescription and dispensing of Lyrica by brand when pregabalin was prescribed for the treatment of neuropathic pain and entered a preliminary injunction against certain Sandoz group companies preventing the sale of Sandoz’s full label pregabalin product. Pfizer undertook to compensate certain generic companies and NHS entities for losses caused by these orders, which remained in effect until patent expiration in July 2017. In November 2018, the U.K. Supreme Court ruled that all the relevant claims directed to neuropathic pain were invalid.</w:t>
      </w:r>
    </w:p>
    <w:p>
      <w:pPr>
        <w:spacing w:after="0" w:line="178"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Dr. Reddy’s Laboratories filed a claim for monetary damages, interest, and costs in May 2020, followed by the Scottish Ministers and fourteen Scottish Health Boards (together, NHS Scotland) in July 2020. In September 2020, Teva, Sandoz, Ranbaxy, Actavis, and the Secretary of State for Health and Social Care, together with 32 other NHS entities (together, NHS England, Wales, Scotland and Northern Ireland) filed their claims. The claims filed by Sandoz, Teva, Actavis, and Ranbaxy have been resolved. A trial on the remaining claims has been set for November 2023.</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Litigation</w:t>
      </w:r>
    </w:p>
    <w:p>
      <w:pPr>
        <w:spacing w:after="0" w:line="225"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The Company is involved in various other legal proceedings including commercial, contractual, employment, or other similar matters that are considered normal to its business. The Company has approximately $34.8 million accrued related to these various other legal proceedings at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2" w:name="page43"/>
    <w:bookmarkEnd w:id="4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The following discussion and analysis addresses material changes in the financial condition and results of operations of Viatris Inc. and</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subsidiaries for the periods presented. Unless context requires otherwise, the “Company,” “Viatris,” “our” or “we” refer to Viatris Inc. and its subsidiaries.</w:t>
      </w:r>
    </w:p>
    <w:p>
      <w:pPr>
        <w:spacing w:after="0" w:line="234" w:lineRule="exact"/>
        <w:rPr>
          <w:sz w:val="20"/>
          <w:szCs w:val="20"/>
          <w:color w:val="auto"/>
        </w:rPr>
      </w:pPr>
    </w:p>
    <w:p>
      <w:pPr>
        <w:ind w:right="180" w:firstLine="648"/>
        <w:spacing w:after="0" w:line="296" w:lineRule="auto"/>
        <w:rPr>
          <w:sz w:val="20"/>
          <w:szCs w:val="20"/>
          <w:color w:val="auto"/>
        </w:rPr>
      </w:pPr>
      <w:r>
        <w:rPr>
          <w:rFonts w:ascii="Arial" w:cs="Arial" w:eastAsia="Arial" w:hAnsi="Arial"/>
          <w:sz w:val="16"/>
          <w:szCs w:val="16"/>
          <w:color w:val="auto"/>
        </w:rPr>
        <w:t>This discussion and analysis should be read in conjunction with the Consolidated Financial Statements, the related Notes to Consolidated Financial Statements and Management’s Discussion and Analysis of Financial Condition and Results of Operations included in Viatris’ 2021 Form 10-K, the unaudited interim financial statements and related Notes included in Part I — ITEM 1 of this Form 10-Q and our other SEC filings and public disclosures. The interim results of operations and comprehensive earnings (loss) for the three months ended March 31, 2022, and cash flows for the three months ended March 31, 2022 are not necessarily indicative of the results to be expected for the full fiscal year or any other future period.</w:t>
      </w:r>
    </w:p>
    <w:p>
      <w:pPr>
        <w:spacing w:after="0" w:line="16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This Form 10-Q contains “forward-looking statements”. These statements are made pursuant to the safe harbor provisions of the Private Securities Litigation Reform Act of 1995. Such forward-looking statements may include, without limitation, statements about the Biocon Biologics Transaction, the Combination, the benefits and synergies of the Combination or our global restructuring program, future opportunities for the Company and its products and any other statements regarding the Company’s future operations, financial or operating results, capital allocation, dividend policy and payments, debt ratio and covenants, anticipated business levels, future earnings, planned activities, anticipated growth, market opportunities, strategies, competitions, commitments, confidence in future results, efforts to create, enhance or otherwise unlock the value of our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w:t>
      </w:r>
    </w:p>
    <w:p>
      <w:pPr>
        <w:spacing w:after="0" w:line="200" w:lineRule="exact"/>
        <w:rPr>
          <w:sz w:val="20"/>
          <w:szCs w:val="20"/>
          <w:color w:val="auto"/>
        </w:rPr>
      </w:pPr>
    </w:p>
    <w:p>
      <w:pPr>
        <w:spacing w:after="0" w:line="211" w:lineRule="exact"/>
        <w:rPr>
          <w:sz w:val="20"/>
          <w:szCs w:val="20"/>
          <w:color w:val="auto"/>
        </w:rPr>
      </w:pPr>
    </w:p>
    <w:p>
      <w:pPr>
        <w:ind w:left="660" w:right="40" w:hanging="328"/>
        <w:spacing w:after="0" w:line="228"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integration of Mylan and the Upjohn Business or the implementation of the Company’s global restructuring program being more difficult, time consuming or costly than expected;</w:t>
      </w:r>
    </w:p>
    <w:p>
      <w:pPr>
        <w:ind w:left="660" w:hanging="328"/>
        <w:spacing w:after="0" w:line="21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pending Biocon Biologics Transaction may not achieve its intended benefits;</w:t>
      </w:r>
    </w:p>
    <w:p>
      <w:pPr>
        <w:ind w:left="660" w:right="760" w:hanging="328"/>
        <w:spacing w:after="0" w:line="219"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possibility that the Company may be unable to achieve expected benefits, synergies and operating efficiencies in connection with the Combination or its global restructuring program within the expected timeframe or at all;</w:t>
      </w:r>
    </w:p>
    <w:p>
      <w:pPr>
        <w:ind w:left="660" w:right="340" w:hanging="328"/>
        <w:spacing w:after="0" w:line="219"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possibility that the Company may be unable to successfully integrate Mylan and the Upjohn Business or implement its global restructuring program;</w:t>
      </w:r>
    </w:p>
    <w:p>
      <w:pPr>
        <w:ind w:left="660" w:right="940" w:hanging="328"/>
        <w:spacing w:after="0" w:line="219"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operational or financial difficulties or losses associated with the Company’s reliance on agreements with Pfizer in connection with the Combination, including with respect to transition services;</w:t>
      </w:r>
    </w:p>
    <w:p>
      <w:pPr>
        <w:ind w:left="660" w:hanging="328"/>
        <w:spacing w:after="0" w:line="21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possibility that the Company may be unable to achieve all intended benefits of its strategic initiatives;</w:t>
      </w:r>
    </w:p>
    <w:p>
      <w:pPr>
        <w:ind w:left="660" w:right="600" w:hanging="328"/>
        <w:spacing w:after="0" w:line="219"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potential impact of public health outbreaks, epidemics and pandemics, including the ongoing challenges and uncertainties posed by the COVID-19 pandemic;</w:t>
      </w:r>
    </w:p>
    <w:p>
      <w:pPr>
        <w:ind w:left="660" w:hanging="328"/>
        <w:spacing w:after="0" w:line="21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Company’s failure to achieve expected or targeted future financial and operating performance and results;</w:t>
      </w:r>
    </w:p>
    <w:p>
      <w:pPr>
        <w:ind w:left="660" w:hanging="328"/>
        <w:spacing w:after="0" w:line="21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actions and decisions of healthcare and pharmaceutical regulators;</w:t>
      </w:r>
    </w:p>
    <w:p>
      <w:pPr>
        <w:ind w:left="660" w:right="100" w:hanging="328"/>
        <w:spacing w:after="0" w:line="219"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relevant laws and regulations, including but not limited to changes in tax, healthcare and pharmaceutical laws and regulations globally (including the impact of potential tax reform in the U.S.);</w:t>
      </w:r>
    </w:p>
    <w:p>
      <w:pPr>
        <w:ind w:left="660" w:hanging="328"/>
        <w:spacing w:after="0" w:line="21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to attract and retain key personnel;</w:t>
      </w:r>
    </w:p>
    <w:p>
      <w:pPr>
        <w:ind w:left="660" w:hanging="328"/>
        <w:spacing w:after="0" w:line="21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Company’s liquidity, capital resources and ability to obtain financing;</w:t>
      </w:r>
    </w:p>
    <w:p>
      <w:pPr>
        <w:ind w:left="660" w:right="720" w:hanging="328"/>
        <w:spacing w:after="0" w:line="219"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regulatory, legal or other impediments to the Company’s ability to bring new products to market, including but not limited to “at-risk launches”;</w:t>
      </w:r>
    </w:p>
    <w:p>
      <w:pPr>
        <w:ind w:left="660" w:right="700" w:hanging="328"/>
        <w:spacing w:after="0" w:line="219"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 of clinical trials and the Company’s or its partners’ ability to execute on new product opportunities and develop, manufacture and commercialize products;</w:t>
      </w:r>
    </w:p>
    <w:p>
      <w:pPr>
        <w:ind w:left="660" w:right="300" w:hanging="328"/>
        <w:spacing w:after="0" w:line="219"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changes in or difficulties with the Company’s manufacturing facilities, including with respect to inspections, remediation and restructuring activities, supply chain or inventory or the ability to meet anticipated demand;</w:t>
      </w:r>
    </w:p>
    <w:p>
      <w:pPr>
        <w:ind w:left="660" w:right="320" w:hanging="328"/>
        <w:spacing w:after="0" w:line="219"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scope, timing and outcome of any ongoing legal proceedings, including government inquiries or investigations, and the impact of any such proceedings on the Company;</w:t>
      </w:r>
    </w:p>
    <w:p>
      <w:pPr>
        <w:ind w:left="660" w:hanging="328"/>
        <w:spacing w:after="0" w:line="21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significant breach of data security or data privacy or disruptions to our information technology systems;</w:t>
      </w:r>
    </w:p>
    <w:p>
      <w:pPr>
        <w:ind w:left="660" w:hanging="328"/>
        <w:spacing w:after="0" w:line="21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risks associated with having significant operations globally;</w:t>
      </w:r>
    </w:p>
    <w:p>
      <w:pPr>
        <w:ind w:left="660" w:hanging="328"/>
        <w:spacing w:after="0" w:line="21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to protect intellectual property and preserve intellectual property rights;</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third-party relationships;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right="560" w:hanging="328"/>
        <w:spacing w:after="0" w:line="228"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 of any changes in the Company’s or its partners’ customer and supplier relationships and customer purchasing patterns, including customer loss and business disruption being greater than expected following the Combination;</w:t>
      </w:r>
    </w:p>
    <w:p>
      <w:pPr>
        <w:ind w:left="660" w:hanging="328"/>
        <w:spacing w:after="0" w:line="21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impacts of competition, including decreases in sales or revenues as a result of the loss of market exclusivity for certain products;</w:t>
      </w:r>
    </w:p>
    <w:p>
      <w:pPr>
        <w:ind w:left="660" w:hanging="328"/>
        <w:spacing w:after="0" w:line="21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economic and financial conditions of the Company or its partners;</w:t>
      </w:r>
    </w:p>
    <w:p>
      <w:pPr>
        <w:ind w:left="660" w:hanging="328"/>
        <w:spacing w:after="0" w:line="21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uncertainties regarding future demand, pricing and reimbursement for the Company’s products;</w:t>
      </w:r>
    </w:p>
    <w:p>
      <w:pPr>
        <w:ind w:left="660" w:right="40" w:hanging="328"/>
        <w:spacing w:after="0" w:line="219"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uncertainties and matters beyond the control of management, including but not limited to general political and economic conditions, inflation rates and global exchange rates; and</w:t>
      </w:r>
    </w:p>
    <w:p>
      <w:pPr>
        <w:ind w:left="660" w:right="280" w:hanging="328"/>
        <w:spacing w:after="0" w:line="233"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inherent uncertainties involved in the estimates and judgments used in the preparation of financial statements, and the providing of estimates of financial measures, in accordance with U.S. GAAP and related standards or on an adjusted basis.</w:t>
      </w:r>
    </w:p>
    <w:p>
      <w:pPr>
        <w:spacing w:after="0" w:line="21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For more detailed information on the risks and uncertainties associated with Viatris, see the risks described in Part I, Item 1A in the 2021 Form 10-K,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by reference in this Form 10-Q and shall not be deemed “filed” under the Securities Exchange Act of 1934, as amended. Viatris undertakes no obligation to update any statements herein for revisions or changes after the filing date of this Form 10-Q other than as required by law.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1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Viatris is a global healthcare company formed in November 2020 whose mission is to empower people worldwide to live healthier at every stage of life, regardless of geography or circumstance. Improving the ability of patients to gain access to sustainable and high-quality healthcare is our relentless pursuit. One that rests on visionary thinking, determination and best-in-class capabilities that were strategically built to remove barriers across the health spectrum and advance access globally.</w:t>
      </w:r>
    </w:p>
    <w:p>
      <w:pPr>
        <w:spacing w:after="0" w:line="187"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Viatris’ seasoned management team is focused on ensuring that the Company is optimally structured and efficiently resourced to deliver sustainable value to patients, shareholders, customers and other stakeholders. With a global workforce of approximately 37,000, the Company has industry leading commercial, R&amp;D, regulatory, manufacturing, legal and medical expertise complemented by a strong commitment to quality and unparalleled geographic footprint to deliver high-quality medicines to patients in more than 165 countries and territories. Viatris’ portfolio comprises more than 1,400 approved molecules across more than 10 major therapeutic areas, including globally recognized iconic and key brands, generics, complex generics, and biosimilars. The Company operates approximately 40 manufacturing sites worldwide that produce oral solid doses, injectables, complex dosage forms and APIs. Viatris is headquartered in the U.S., with global centers in Pittsburgh, Pennsylvania, Shanghai, China and Hyderabad, India.</w:t>
      </w:r>
    </w:p>
    <w:p>
      <w:pPr>
        <w:spacing w:after="0" w:line="16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Viatris has four reportable segments: Developed Markets, Greater China, JANZ, and Emerging Markets. The Company reports segment information on the basis of markets and geography, which reflects its focus on bringing its broad and diversified portfolio of branded, complex generics and biosimilars, and generic products to people in markets everywhere. Our Developed Markets segment comprises our operations primarily in North America and Europe. Our Greater China segment includes our operations in China, Taiwan and Hong Kong. Our JANZ segment reflects our operations in Japan, Australia and New Zealand. Our Emerging Markets segment encompasses our presence in more than 125 countries with developing markets and emerging economies including in Asia, Africa, Eastern Europe, Latin America and the Middle East as well as the Company’s ARV franchise.</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Market and Industry Factors</w:t>
      </w:r>
    </w:p>
    <w:p>
      <w:pPr>
        <w:spacing w:after="0" w:line="212"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The global pharmaceutical industry is a highly competitive and highly regulated industry. As a result, we face a number of industry-specific factors and challenges, which can significantly impact our results. The following discussion highlights some of these key factors and market conditions.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60" w:firstLine="648"/>
        <w:spacing w:after="0"/>
        <w:rPr>
          <w:sz w:val="20"/>
          <w:szCs w:val="20"/>
          <w:color w:val="auto"/>
        </w:rPr>
      </w:pPr>
      <w:r>
        <w:rPr>
          <w:rFonts w:ascii="Arial" w:cs="Arial" w:eastAsia="Arial" w:hAnsi="Arial"/>
          <w:sz w:val="18"/>
          <w:szCs w:val="18"/>
          <w:color w:val="auto"/>
        </w:rPr>
        <w:t>Generic products, particularly in the U.S., generally contribute most significantly to revenues and gross margins at the time of their launch, and even more so in periods of market exclusivity, or in periods of limited generic competition. As such, the timing of new product introductions can have a significant impact on the Company’s financial results. The entrance into the market of additional competition generally has a negative impact on the volume and pricing of the affected products. Additionally, pricing is often affected by factors outside of the Company’s control. Conversely, generic products generally experience less volatility over a longer period of time in Europe as compared to the U.S., primarily due to the role of government oversight of healthcare systems in the region.</w:t>
      </w:r>
    </w:p>
    <w:p>
      <w:pPr>
        <w:spacing w:after="0" w:line="189"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For branded products, the majority of the product’s commercial value is usually realized during the period in which the product has market exclusivity. In the U.S. and some other countries, when market exclusivity expires and generic versions of a product are approved and marketed, there can often be very substantial and rapid declines in the branded product’s sales.</w:t>
      </w:r>
    </w:p>
    <w:p>
      <w:pPr>
        <w:spacing w:after="0" w:line="18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Certain markets in which we do business outside of the U.S. have undergone government-imposed price reductions, and further government-imposed price reductions are expected in the future. Such measures, along with the tender systems discussed below, are likely to have a negative impact on sales and gross profit in these markets. However, government initiatives in certain markets that appear to favor generic products could help to mitigate this unfavorable effect by increasing rates of generic substitution and penetration.</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Additionally, a number of markets in which we operate outside of the U.S. have implemented, or may implement, tender systems for generic pharmaceuticals in an effort to lower prices. Generally speaking, tender systems can have an unfavorable impact on sales and profitability. Under such tender systems, manufacturers submit bids that establish prices for generic pharmaceutical products. Upon winning the tender, the winning company will receive priority placement for a period of time. The tender system often results in companies underbidding one another by proposing low pricing in order to win the tender. The loss of a tender by a third party to whom we supply API can also have a negative impact on our sales and profitability. Sales continue to be negatively affected by the impact of tender systems in certain countries.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Dividend Reinvestment and Share Purchase Plan</w:t>
      </w:r>
    </w:p>
    <w:p>
      <w:pPr>
        <w:spacing w:after="0" w:line="117"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On May 6, 2022, the Company announced that its Board of Directors had authorized a DRIP. The DRIP will allow shareholders to automatically reinvest all or a portion of the cash dividends paid on their shares of the Company’s common stock and to make certain additional optional cash investments in the Company’s common stock.</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International Operations</w:t>
      </w:r>
    </w:p>
    <w:p>
      <w:pPr>
        <w:spacing w:after="0" w:line="11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The ongoing conflict between Russia and Ukraine did not have a material impact on our business during the first quarter of 2022 and combined total revenues for both countries were less than 1% of consolidated total revenues during the three months ended March 31, 2022. However, trade controls, sanctions, supply chain and staffing challenges and other economic considerations related to the conflict have impacted our operations in these markets and may negatively impact our financial results in future periods. In addition, a significant escalation or expansion of the conflict’s current scope may have a negative impact on our operations and financial results in future periods. For a further discussion of the risks we encounter in our business, including the risks of conducting our business internationally, please refer to Part I,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our 2021 Form 10-K.</w:t>
      </w:r>
    </w:p>
    <w:p>
      <w:pPr>
        <w:spacing w:after="0" w:line="19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Under ASC 830, </w:t>
      </w:r>
      <w:r>
        <w:rPr>
          <w:rFonts w:ascii="Arial" w:cs="Arial" w:eastAsia="Arial" w:hAnsi="Arial"/>
          <w:sz w:val="18"/>
          <w:szCs w:val="18"/>
          <w:i w:val="1"/>
          <w:iCs w:val="1"/>
          <w:color w:val="auto"/>
        </w:rPr>
        <w:t>Foreign Currency Matters</w:t>
      </w:r>
      <w:r>
        <w:rPr>
          <w:rFonts w:ascii="Arial" w:cs="Arial" w:eastAsia="Arial" w:hAnsi="Arial"/>
          <w:sz w:val="18"/>
          <w:szCs w:val="18"/>
          <w:color w:val="auto"/>
        </w:rPr>
        <w:t xml:space="preserve"> (“ASC 830”), a highly inflationary economy is one that has cumulative inflation of approximately 100% or more over a three-year period. Effective April 1, 2022, we classified Turkey as highly inflationary. In accordance with ASC 830, starting with the second quarter of 2022, we will begin to use the U.S. dollar as our functional currency in Turkey, which historically utilized the Turkish lira as the functional currency. The impacted net sales for the three months ended March 31, 2022 and total assets at March 31, 2022 represented less than 1% of our consolidated net sales and total assets,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5" w:name="page46"/>
    <w:bookmarkEnd w:id="4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Biocon Biologics Agreement</w:t>
      </w:r>
    </w:p>
    <w:p>
      <w:pPr>
        <w:spacing w:after="0" w:line="11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February 27, 2022, the Company entered into an agreement to contribute its biosimilars portfolio to Biocon Biologics. Under the terms of the Biocon Agreement, at closing Viatris will receive an up-front cash payment of $2.0 billion, subject to certain adjustments, ownership of at least 12.9% of Biocon Biologics, on a fully diluted basis, in the form of convertible preferred equity which will have certain priority rights with respect to certain liquidity events, and $335 million as additional cash payments that are expected to be paid in 2024. Upon closing of the transaction, we expect to record a gain for the difference between the consideration received, including the fair value of the convertible preferred equity, and the carrying value of the biosimilars portfolio. The companies will also enter into a two-year transition services agreement, subject to extension in certain circumstances, during which time Viatris will provide certain commercial and administrative services for an applicable service fee. The transaction is expected to close in the second half of 2022 and is subject to various closing conditions (including regulatory approvals).</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Share Repurchase Program</w:t>
      </w:r>
    </w:p>
    <w:p>
      <w:pPr>
        <w:spacing w:after="0" w:line="117"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On February 28, 2022, the Company announced that its Board of Directors had authorized a share repurchase program for the repurchase of up to $1.0 billion of the Company’s shares of common stock. The Company has not yet repurchased any shares of common stock under the share repurchase program and the share repurchase program does not obligate the Company to acquire any particular amount of common stock.</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Cyclosporine Ophthalmic Emulsion</w:t>
      </w:r>
    </w:p>
    <w:p>
      <w:pPr>
        <w:spacing w:after="0" w:line="11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February 3, 2022, the Company announced that it had received approval from the FDA for its ANDA for Cyclosporine Ophthalmic Emulsion 0.05%, the first generic version of Allergan's Restasis®. Cyclosporine Ophthalmic Emulsion is indicated to increase tear production in patients whose tear production is presumed to be suppressed due to ocular inflammation associated with keratoconjunctivitis sicca, also known as dry eye. The commercial launch of the product occurred in February 2022.</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2020 Restructuring Program</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During the fourth quarter of 2020, Viatris announced a significant global restructuring program in order to achieve synergies and ensure that the organization is optimally structured and efficiently resourced to deliver sustainable value to patients, shareholders, customers, and other stakeholders. As part of the restructuring, the Company is optimizing its commercial capabilities and enabling functions, and closing, downsizing or divesting certain manufacturing facilities globally that are deemed to be no longer viable either due to surplus capacity, challenging market dynamics or a shift in its product portfolio toward more complex products.</w:t>
      </w:r>
    </w:p>
    <w:p>
      <w:pPr>
        <w:spacing w:after="0" w:line="188"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For the committed restructuring actions, the Company expects to incur total pre-tax charges of up to approximately $1.4 billion. Such charges are expected to include up to approximately $450 million of non-cash charges mainly related to accelerated depreciation and asset impairment charges, including inventory write-offs. The remaining estimated cash costs of up to approximately $950 million are expected to be primarily related to severance and employee benefits expense, as well as other costs, including those related to contract terminations and other plant disposal costs. In addition, management believes the potential annual savings related to these committed restructuring activities to be up to approximately $900 million once fully implemented, with most of these savings expected to improve operating cash flow.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Coronavirus Pandemic</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As a leading global pharmaceutical company, Viatris is committed to continue doing its part in support of public health needs amid the evolving COVID-19 pandemic. The Company’s priorities remain protecting the health and safety of our workforce, continuing to produce critically needed medicines, deploying resources and expertise in the fight against COVID-19 through potential prevention and treatment efforts, supporting the communities in which we operate and maintaining the health of our overall business. As a result, many Viatris administrative offices continue operating under work from home protocols and some of our customer facing field personnel continue on a remote engagement model to ensure continued support for healthcare professionals, patient care and access to needed products. Additionally, all of our manufacturing facilities, and those of our key global partners, are currently operational and, at this time, we are not experiencing any significant disruptions. Current inventory levels, both ours and those in our distribution channel, remain in-line with normal levels.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6" w:name="page47"/>
    <w:bookmarkEnd w:id="4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global spread of COVID-19 has created and continues to create significant volatility, uncertainty and economic disruption affecting the markets we serve, including impacts on supply chain partners, third-party manufacturers, logistics providers and other vendors. The extent to which the COVID-19 pandemic will impact our business, operations and financial results in future periods will depend on numerous evolving factors that are beyond our control and that we may not be able to accurately predict, and could adversely impact our results of operations in future periods. Due to the Company’s ability to generate significant cash flows from operations, combined with our access to borrowing facilities and capital markets, we believe that we currently have, and will maintain, the ability to meet foreseeable liquidity needs.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is a summary of the Company’s financial results for the three months ended March 31, 2022 compared to the prior year period: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Pr>
          <w:p>
            <w:pPr>
              <w:spacing w:after="0"/>
              <w:rPr>
                <w:sz w:val="16"/>
                <w:szCs w:val="16"/>
                <w:color w:val="auto"/>
              </w:rPr>
            </w:pPr>
          </w:p>
        </w:tc>
      </w:tr>
      <w:tr>
        <w:trPr>
          <w:trHeight w:val="195"/>
        </w:trPr>
        <w:tc>
          <w:tcPr>
            <w:tcW w:w="5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186"/>
        </w:trPr>
        <w:tc>
          <w:tcPr>
            <w:tcW w:w="59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 and %s)</w:t>
            </w:r>
          </w:p>
        </w:tc>
        <w:tc>
          <w:tcPr>
            <w:tcW w:w="280" w:type="dxa"/>
            <w:vAlign w:val="bottom"/>
          </w:tcPr>
          <w:p>
            <w:pPr>
              <w:spacing w:after="0"/>
              <w:rPr>
                <w:sz w:val="16"/>
                <w:szCs w:val="16"/>
                <w:color w:val="auto"/>
              </w:rPr>
            </w:pPr>
          </w:p>
        </w:tc>
        <w:tc>
          <w:tcPr>
            <w:tcW w:w="900" w:type="dxa"/>
            <w:vAlign w:val="bottom"/>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1340" w:type="dxa"/>
            <w:vAlign w:val="bottom"/>
          </w:tcPr>
          <w:p>
            <w:pPr>
              <w:jc w:val="right"/>
              <w:ind w:right="253"/>
              <w:spacing w:after="0"/>
              <w:rPr>
                <w:sz w:val="20"/>
                <w:szCs w:val="20"/>
                <w:color w:val="auto"/>
              </w:rPr>
            </w:pPr>
            <w:r>
              <w:rPr>
                <w:rFonts w:ascii="Arial" w:cs="Arial" w:eastAsia="Arial" w:hAnsi="Arial"/>
                <w:sz w:val="14"/>
                <w:szCs w:val="14"/>
                <w:b w:val="1"/>
                <w:bCs w:val="1"/>
                <w:color w:val="auto"/>
              </w:rPr>
              <w:t>% Change</w:t>
            </w:r>
          </w:p>
        </w:tc>
      </w:tr>
      <w:tr>
        <w:trPr>
          <w:trHeight w:val="226"/>
        </w:trPr>
        <w:tc>
          <w:tcPr>
            <w:tcW w:w="598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4,191.7</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4,430.3</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(238.6)</w:t>
            </w:r>
          </w:p>
        </w:tc>
        <w:tc>
          <w:tcPr>
            <w:tcW w:w="10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Earnings (loss) from operations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973.6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Diluted earnings (loss) per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nm</w:t>
            </w:r>
          </w:p>
        </w:tc>
      </w:tr>
    </w:tbl>
    <w:p>
      <w:pPr>
        <w:spacing w:after="0" w:line="28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 detailed discussion of the Company’s financial results can be found below in the section titled “Results of Operations.” As part of this discussion, we also report sales performance using the non-GAAP financial measures of “constant currency” net sales and total revenues. These measures provide information on the change in net sales and total revenues assuming that foreign currency exchange rates had not changed between the prior and current period. The comparisons presented at constant currency rates reflect comparative local currency sales at the prior year’s foreign exchange rates. We routinely evaluate our net sales and total revenues performance at constant currency so that sales results can be viewed without the impact of foreign currency exchange rates, thereby facilitating a period-to-period comparison of our operational activities, and believe that this presentation also provides useful information to investors for the same reason.</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More information about non-GAAP measures used by the Company as part of this discussion, including adjusted cost of sales, adjusted gross margins, adjusted net earnings and adjusted EBITDA (all of which are defined below) can be found in “Item 2.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Condition </w:t>
      </w:r>
      <w:r>
        <w:rPr>
          <w:rFonts w:ascii="Arial" w:cs="Arial" w:eastAsia="Arial" w:hAnsi="Arial"/>
          <w:sz w:val="18"/>
          <w:szCs w:val="18"/>
          <w:color w:val="auto"/>
        </w:rPr>
        <w:t>-</w:t>
      </w:r>
      <w:r>
        <w:rPr>
          <w:rFonts w:ascii="Arial" w:cs="Arial" w:eastAsia="Arial" w:hAnsi="Arial"/>
          <w:sz w:val="18"/>
          <w:szCs w:val="18"/>
          <w:i w:val="1"/>
          <w:iCs w:val="1"/>
          <w:color w:val="auto"/>
        </w:rPr>
        <w:t xml:space="preserve"> Results of Operations </w:t>
      </w:r>
      <w:r>
        <w:rPr>
          <w:rFonts w:ascii="Arial" w:cs="Arial" w:eastAsia="Arial" w:hAnsi="Arial"/>
          <w:sz w:val="18"/>
          <w:szCs w:val="18"/>
          <w:color w:val="auto"/>
        </w:rPr>
        <w:t>and</w:t>
      </w:r>
      <w:r>
        <w:rPr>
          <w:rFonts w:ascii="Arial" w:cs="Arial" w:eastAsia="Arial" w:hAnsi="Arial"/>
          <w:sz w:val="18"/>
          <w:szCs w:val="18"/>
          <w:i w:val="1"/>
          <w:iCs w:val="1"/>
          <w:color w:val="auto"/>
        </w:rPr>
        <w:t xml:space="preserve"> Results of Operations - Use of Non-GAAP Financial Measures.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2022 Compared to Three Months Ended March 31, 2021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5"/>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ind w:left="1060"/>
              <w:spacing w:after="0"/>
              <w:rPr>
                <w:sz w:val="20"/>
                <w:szCs w:val="20"/>
                <w:color w:val="auto"/>
              </w:rPr>
            </w:pPr>
            <w:r>
              <w:rPr>
                <w:rFonts w:ascii="Arial" w:cs="Arial" w:eastAsia="Arial" w:hAnsi="Arial"/>
                <w:sz w:val="14"/>
                <w:szCs w:val="14"/>
                <w:b w:val="1"/>
                <w:bCs w:val="1"/>
                <w:color w:val="auto"/>
              </w:rPr>
              <w:t>March 31,</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2022 Currency</w:t>
            </w:r>
          </w:p>
        </w:tc>
        <w:tc>
          <w:tcPr>
            <w:tcW w:w="140" w:type="dxa"/>
            <w:vAlign w:val="bottom"/>
          </w:tcPr>
          <w:p>
            <w:pPr>
              <w:spacing w:after="0"/>
              <w:rPr>
                <w:sz w:val="11"/>
                <w:szCs w:val="11"/>
                <w:color w:val="auto"/>
              </w:rPr>
            </w:pPr>
          </w:p>
        </w:tc>
        <w:tc>
          <w:tcPr>
            <w:tcW w:w="1040" w:type="dxa"/>
            <w:vAlign w:val="bottom"/>
          </w:tcPr>
          <w:p>
            <w:pPr>
              <w:jc w:val="right"/>
              <w:ind w:right="55"/>
              <w:spacing w:after="0" w:line="135" w:lineRule="exact"/>
              <w:rPr>
                <w:sz w:val="20"/>
                <w:szCs w:val="20"/>
                <w:color w:val="auto"/>
              </w:rPr>
            </w:pPr>
            <w:r>
              <w:rPr>
                <w:rFonts w:ascii="Arial" w:cs="Arial" w:eastAsia="Arial" w:hAnsi="Arial"/>
                <w:sz w:val="14"/>
                <w:szCs w:val="14"/>
                <w:b w:val="1"/>
                <w:bCs w:val="1"/>
                <w:color w:val="auto"/>
                <w:w w:val="91"/>
              </w:rPr>
              <w:t>2022 Constant</w:t>
            </w:r>
          </w:p>
        </w:tc>
        <w:tc>
          <w:tcPr>
            <w:tcW w:w="10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Constant Currency</w:t>
            </w:r>
          </w:p>
        </w:tc>
        <w:tc>
          <w:tcPr>
            <w:tcW w:w="0" w:type="dxa"/>
            <w:vAlign w:val="bottom"/>
          </w:tcPr>
          <w:p>
            <w:pPr>
              <w:spacing w:after="0"/>
              <w:rPr>
                <w:sz w:val="1"/>
                <w:szCs w:val="1"/>
                <w:color w:val="auto"/>
              </w:rPr>
            </w:pPr>
          </w:p>
        </w:tc>
      </w:tr>
      <w:tr>
        <w:trPr>
          <w:trHeight w:val="135"/>
        </w:trPr>
        <w:tc>
          <w:tcPr>
            <w:tcW w:w="33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280" w:type="dxa"/>
            <w:vAlign w:val="bottom"/>
          </w:tcPr>
          <w:p>
            <w:pPr>
              <w:spacing w:after="0"/>
              <w:rPr>
                <w:sz w:val="11"/>
                <w:szCs w:val="11"/>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14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ind w:right="215"/>
              <w:spacing w:after="0" w:line="135" w:lineRule="exact"/>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3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20"/>
              <w:spacing w:after="0" w:line="189" w:lineRule="exact"/>
              <w:rPr>
                <w:sz w:val="20"/>
                <w:szCs w:val="20"/>
                <w:color w:val="auto"/>
              </w:rPr>
            </w:pPr>
            <w:r>
              <w:rPr>
                <w:rFonts w:ascii="Arial" w:cs="Arial" w:eastAsia="Arial" w:hAnsi="Arial"/>
                <w:sz w:val="14"/>
                <w:szCs w:val="14"/>
                <w:b w:val="1"/>
                <w:bCs w:val="1"/>
                <w:color w:val="auto"/>
                <w:w w:val="94"/>
              </w:rPr>
              <w:t xml:space="preserve">Impact </w:t>
            </w:r>
            <w:r>
              <w:rPr>
                <w:rFonts w:ascii="Arial" w:cs="Arial" w:eastAsia="Arial" w:hAnsi="Arial"/>
                <w:sz w:val="18"/>
                <w:szCs w:val="18"/>
                <w:b w:val="1"/>
                <w:bCs w:val="1"/>
                <w:color w:val="auto"/>
                <w:w w:val="94"/>
                <w:vertAlign w:val="superscript"/>
              </w:rPr>
              <w:t>(1)</w:t>
            </w:r>
          </w:p>
        </w:tc>
        <w:tc>
          <w:tcPr>
            <w:tcW w:w="140" w:type="dxa"/>
            <w:vAlign w:val="bottom"/>
          </w:tcPr>
          <w:p>
            <w:pPr>
              <w:spacing w:after="0"/>
              <w:rPr>
                <w:sz w:val="16"/>
                <w:szCs w:val="16"/>
                <w:color w:val="auto"/>
              </w:rPr>
            </w:pPr>
          </w:p>
        </w:tc>
        <w:tc>
          <w:tcPr>
            <w:tcW w:w="1040" w:type="dxa"/>
            <w:vAlign w:val="bottom"/>
          </w:tcPr>
          <w:p>
            <w:pPr>
              <w:jc w:val="right"/>
              <w:ind w:right="215"/>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6"/>
                <w:szCs w:val="16"/>
                <w:color w:val="auto"/>
              </w:rPr>
            </w:pPr>
          </w:p>
        </w:tc>
        <w:tc>
          <w:tcPr>
            <w:tcW w:w="1340" w:type="dxa"/>
            <w:vAlign w:val="bottom"/>
          </w:tcPr>
          <w:p>
            <w:pPr>
              <w:jc w:val="right"/>
              <w:ind w:right="197"/>
              <w:spacing w:after="0" w:line="189" w:lineRule="exact"/>
              <w:rPr>
                <w:sz w:val="20"/>
                <w:szCs w:val="20"/>
                <w:color w:val="auto"/>
              </w:rPr>
            </w:pPr>
            <w:r>
              <w:rPr>
                <w:rFonts w:ascii="Arial" w:cs="Arial" w:eastAsia="Arial" w:hAnsi="Arial"/>
                <w:sz w:val="14"/>
                <w:szCs w:val="14"/>
                <w:b w:val="1"/>
                <w:bCs w:val="1"/>
                <w:color w:val="auto"/>
              </w:rPr>
              <w:t xml:space="preserve">% Change </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sales</w:t>
            </w: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20"/>
              <w:spacing w:after="0"/>
              <w:rPr>
                <w:sz w:val="20"/>
                <w:szCs w:val="20"/>
                <w:color w:val="auto"/>
              </w:rPr>
            </w:pPr>
            <w:r>
              <w:rPr>
                <w:rFonts w:ascii="Arial" w:cs="Arial" w:eastAsia="Arial" w:hAnsi="Arial"/>
                <w:sz w:val="18"/>
                <w:szCs w:val="18"/>
                <w:color w:val="auto"/>
              </w:rPr>
              <w:t>Developed Markets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2,476.1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2,571.6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2,565.2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Greater China</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340" w:type="dxa"/>
            <w:vAlign w:val="bottom"/>
          </w:tcPr>
          <w:p>
            <w:pPr>
              <w:ind w:left="220"/>
              <w:spacing w:after="0"/>
              <w:rPr>
                <w:sz w:val="20"/>
                <w:szCs w:val="20"/>
                <w:color w:val="auto"/>
              </w:rPr>
            </w:pPr>
            <w:r>
              <w:rPr>
                <w:rFonts w:ascii="Arial" w:cs="Arial" w:eastAsia="Arial" w:hAnsi="Arial"/>
                <w:sz w:val="18"/>
                <w:szCs w:val="18"/>
                <w:color w:val="auto"/>
              </w:rPr>
              <w:t>JANZ</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423.8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481.9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461.6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Emerging Markets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3340" w:type="dxa"/>
            <w:vAlign w:val="bottom"/>
          </w:tcPr>
          <w:p>
            <w:pPr>
              <w:ind w:left="360"/>
              <w:spacing w:after="0"/>
              <w:rPr>
                <w:sz w:val="20"/>
                <w:szCs w:val="20"/>
                <w:color w:val="auto"/>
              </w:rPr>
            </w:pPr>
            <w:r>
              <w:rPr>
                <w:rFonts w:ascii="Arial" w:cs="Arial" w:eastAsia="Arial" w:hAnsi="Arial"/>
                <w:sz w:val="18"/>
                <w:szCs w:val="18"/>
                <w:color w:val="auto"/>
              </w:rPr>
              <w:t>Total net sales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4,178.2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4,400.1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4,348.4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4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 xml:space="preserve">Other revenues </w:t>
            </w:r>
            <w:r>
              <w:rPr>
                <w:rFonts w:ascii="Arial" w:cs="Arial" w:eastAsia="Arial" w:hAnsi="Arial"/>
                <w:sz w:val="23"/>
                <w:szCs w:val="23"/>
                <w:color w:val="auto"/>
                <w:vertAlign w:val="superscript"/>
              </w:rPr>
              <w:t>(3)</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gridSpan w:val="2"/>
          </w:tcPr>
          <w:p>
            <w:pPr>
              <w:ind w:left="1060"/>
              <w:spacing w:after="0"/>
              <w:rPr>
                <w:sz w:val="20"/>
                <w:szCs w:val="20"/>
                <w:color w:val="auto"/>
              </w:rPr>
            </w:pPr>
            <w:r>
              <w:rPr>
                <w:rFonts w:ascii="Arial" w:cs="Arial" w:eastAsia="Arial" w:hAnsi="Arial"/>
                <w:sz w:val="18"/>
                <w:szCs w:val="18"/>
                <w:color w:val="auto"/>
              </w:rPr>
              <w:t>nm</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8"/>
        </w:trPr>
        <w:tc>
          <w:tcPr>
            <w:tcW w:w="3340" w:type="dxa"/>
            <w:vAlign w:val="bottom"/>
            <w:tcBorders>
              <w:bottom w:val="single" w:sz="8" w:color="CCEEFF"/>
            </w:tcBorders>
            <w:shd w:val="clear" w:color="auto" w:fill="CCEEFF"/>
          </w:tcPr>
          <w:p>
            <w:pPr>
              <w:ind w:left="220"/>
              <w:spacing w:after="0" w:line="223" w:lineRule="exact"/>
              <w:rPr>
                <w:sz w:val="20"/>
                <w:szCs w:val="20"/>
                <w:color w:val="auto"/>
              </w:rPr>
            </w:pPr>
            <w:r>
              <w:rPr>
                <w:rFonts w:ascii="Arial" w:cs="Arial" w:eastAsia="Arial" w:hAnsi="Arial"/>
                <w:sz w:val="18"/>
                <w:szCs w:val="18"/>
                <w:color w:val="auto"/>
              </w:rPr>
              <w:t xml:space="preserve">Consolidated total revenues </w:t>
            </w:r>
            <w:r>
              <w:rPr>
                <w:rFonts w:ascii="Arial" w:cs="Arial" w:eastAsia="Arial" w:hAnsi="Arial"/>
                <w:sz w:val="23"/>
                <w:szCs w:val="23"/>
                <w:color w:val="auto"/>
                <w:vertAlign w:val="superscript"/>
              </w:rPr>
              <w:t>(4)</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4,430.3</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4,362.4</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83" w:lineRule="exact"/>
        <w:rPr>
          <w:sz w:val="20"/>
          <w:szCs w:val="20"/>
          <w:color w:val="auto"/>
        </w:rPr>
      </w:pPr>
    </w:p>
    <w:p>
      <w:pPr>
        <w:ind w:left="640" w:hanging="308"/>
        <w:spacing w:after="0"/>
        <w:tabs>
          <w:tab w:leader="none" w:pos="64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Currency impact is shown as unfavorable (favorable).</w:t>
      </w:r>
    </w:p>
    <w:p>
      <w:pPr>
        <w:spacing w:after="0" w:line="55" w:lineRule="exact"/>
        <w:rPr>
          <w:rFonts w:ascii="Arial" w:cs="Arial" w:eastAsia="Arial" w:hAnsi="Arial"/>
          <w:sz w:val="23"/>
          <w:szCs w:val="23"/>
          <w:color w:val="auto"/>
          <w:vertAlign w:val="superscript"/>
        </w:rPr>
      </w:pPr>
    </w:p>
    <w:p>
      <w:pPr>
        <w:jc w:val="both"/>
        <w:ind w:left="660" w:hanging="328"/>
        <w:spacing w:after="0" w:line="228" w:lineRule="auto"/>
        <w:tabs>
          <w:tab w:leader="none" w:pos="648"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The constant currency percentage change is derived by translating net sales or revenues for the current period at prior year comparative period exchange rates, and in doing so shows the percentage change from 2022 constant currency net sales or revenues to the corresponding amount in the prior year.</w:t>
      </w:r>
    </w:p>
    <w:p>
      <w:pPr>
        <w:spacing w:after="0" w:line="41" w:lineRule="exact"/>
        <w:rPr>
          <w:rFonts w:ascii="Arial" w:cs="Arial" w:eastAsia="Arial" w:hAnsi="Arial"/>
          <w:sz w:val="23"/>
          <w:szCs w:val="23"/>
          <w:color w:val="auto"/>
          <w:vertAlign w:val="superscript"/>
        </w:rPr>
      </w:pPr>
    </w:p>
    <w:p>
      <w:pPr>
        <w:ind w:left="660" w:hanging="328"/>
        <w:spacing w:after="0" w:line="227" w:lineRule="auto"/>
        <w:tabs>
          <w:tab w:leader="none" w:pos="648"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For the three months ended March 31, 2022, other revenues in Developed Markets, JANZ, and Emerging Markets were approximately $6.3 million, $0.9 million, and $6.3 million, respectively.</w:t>
      </w:r>
    </w:p>
    <w:p>
      <w:pPr>
        <w:spacing w:after="0" w:line="5" w:lineRule="exact"/>
        <w:rPr>
          <w:rFonts w:ascii="Arial" w:cs="Arial" w:eastAsia="Arial" w:hAnsi="Arial"/>
          <w:sz w:val="23"/>
          <w:szCs w:val="23"/>
          <w:color w:val="auto"/>
          <w:vertAlign w:val="superscript"/>
        </w:rPr>
      </w:pPr>
    </w:p>
    <w:p>
      <w:pPr>
        <w:ind w:left="640" w:hanging="308"/>
        <w:spacing w:after="0"/>
        <w:tabs>
          <w:tab w:leader="none" w:pos="64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Amounts exclude intersegment revenue which eliminates on a consolidated basis.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225" w:lineRule="exact"/>
        <w:rPr>
          <w:sz w:val="20"/>
          <w:szCs w:val="20"/>
          <w:color w:val="auto"/>
        </w:rPr>
      </w:pPr>
    </w:p>
    <w:p>
      <w:pPr>
        <w:ind w:right="460" w:firstLine="648"/>
        <w:spacing w:after="0" w:line="279" w:lineRule="auto"/>
        <w:rPr>
          <w:sz w:val="20"/>
          <w:szCs w:val="20"/>
          <w:color w:val="auto"/>
        </w:rPr>
      </w:pPr>
      <w:r>
        <w:rPr>
          <w:rFonts w:ascii="Arial" w:cs="Arial" w:eastAsia="Arial" w:hAnsi="Arial"/>
          <w:sz w:val="17"/>
          <w:szCs w:val="17"/>
          <w:color w:val="auto"/>
        </w:rPr>
        <w:t>For the current quarter, Viatris reported total revenues of $4.19 billion, compared to $4.43 billion for the comparable prior year period, representing a decrease of $238.6 million, or 5%. Total revenues include both net sales and other revenues from third parties. Net sales for the current quarter were $4.18 billion, compared to $4.40 billion for the comparable prior year period, representing a decrease of $221.9 million, or 5%. Other revenues for the current quarter were $13.5 million, compared to $30.2 million for the comparable prior year period.</w:t>
      </w:r>
    </w:p>
    <w:p>
      <w:pPr>
        <w:spacing w:after="0" w:line="171"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The decrease in total revenues and net sales was primarily driven by a decrease of approximately $169.7 million in net sales from existing products as a result of lower pricing and volumes, partially offset by approximately $120 million of new product sales. New product sales include new products launched in 2022 and the carryover impact of new products, including business development, launched within the last twelve months. The Company’s net sales were unfavorably impacted by the effect of foreign currency translation, primarily reflecting changes in the U.S. Dollar as compared to the currencies of subsidiaries in countries within the EU, Turkey, and Japan. The net unfavorable impact of foreign currency translation on net sales was approximately $170.3 million, or 4%. On a constant currency basis, the decrease in net sales was approximately $51.6 million, or 1% for the three months ended March 31, 2022.</w:t>
      </w:r>
    </w:p>
    <w:p>
      <w:pPr>
        <w:spacing w:after="0" w:line="19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From time to time, a limited number of our products may represent a significant portion of our net sales, gross profit and net earnings. Generally, this is due to the timing of new product introductions and the amount, if any, of additional competition in the market. Our top ten products in terms of net sales, in the aggregate, represented approximately 35% for the three months ended March 31, 2022 and 2021. This percentage may fluctuate based upon the timing of new product launches, seasonality and the impact of competition.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are derived from our four reporting segments: Developed Markets, Greater China, JANZ, and Emerging Markets.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Developed Markets Segment</w:t>
      </w:r>
    </w:p>
    <w:p>
      <w:pPr>
        <w:spacing w:after="0" w:line="252"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Net sales from Developed Markets decreased by $95.5 million or 4% during the three months ended March 31, 2022 when compared to the prior year period. Net sales within North America totaled approximately $1.12 billion and net sales within Europe totaled approximately $1.35 billion. This decrease was due primarily to the unfavorable impact of foreign currency translation, lower pricing and, to a lesser extent, lower volumes on net sales of existing products within the U.S., including Miacalcin® and Perforomist®, as a result of additional competition. These decreases were partially offset by new product sales, including Cyclosporine Ophthalmic Emulsion and Semglee® in the U.S., and higher volumes of existing products in Europe. The unfavorable impact of foreign currency translation on current period net sales was approximately $89.1 million, or 4%. Constant currency net sales decreased by approximately $6.4 million, or less than 1% when compared to the prior year period.</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Greater China Segment</w:t>
      </w:r>
    </w:p>
    <w:p>
      <w:pPr>
        <w:spacing w:after="0" w:line="22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Net sales from Greater China decreased by $18.8 million or 3% for the three months ended March 31, 2022 when compared to the prior year period. This decrease was the result of lower net sales of existing products, driven by lower volumes. Volumes on net sales of existing products were negatively impacted by competitive and other market conditions. The favorable impact of foreign currency translation was approximately $8.1 million, or 1%. Constant currency net sales decreased by approximately $26.9 million or 5% when compared to the prior year.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JANZ Segment</w:t>
      </w:r>
    </w:p>
    <w:p>
      <w:pPr>
        <w:spacing w:after="0" w:line="22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Net sales from JANZ decreased by $58.1 million or 12% for the three months ended March 31, 2022 when compared to the prior year. This decrease was primarily the result of the unfavorable impact of foreign currency translation, lower net sales of existing products mainly driven by lower pricing in Japan as a result of government price reductions and additional competition, and lower volumes on net sales of existing products in Australia. These decreases were partially offset by higher volumes on net sales of existing products in Japan, including for Celebrex®. Foreign currency translation had an unfavorable impact of approximately $37.8 million, or 8%. Constant currency net sales decreased by approximately $20.3 million, or 4% when compared to the prior year period.</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Emerging Markets Segment</w:t>
      </w:r>
    </w:p>
    <w:p>
      <w:pPr>
        <w:spacing w:after="0" w:line="225" w:lineRule="exact"/>
        <w:rPr>
          <w:sz w:val="20"/>
          <w:szCs w:val="20"/>
          <w:color w:val="auto"/>
        </w:rPr>
      </w:pPr>
    </w:p>
    <w:p>
      <w:pPr>
        <w:jc w:val="both"/>
        <w:ind w:right="80" w:firstLine="648"/>
        <w:spacing w:after="0" w:line="257" w:lineRule="auto"/>
        <w:rPr>
          <w:sz w:val="20"/>
          <w:szCs w:val="20"/>
          <w:color w:val="auto"/>
        </w:rPr>
      </w:pPr>
      <w:r>
        <w:rPr>
          <w:rFonts w:ascii="Arial" w:cs="Arial" w:eastAsia="Arial" w:hAnsi="Arial"/>
          <w:sz w:val="18"/>
          <w:szCs w:val="18"/>
          <w:color w:val="auto"/>
        </w:rPr>
        <w:t>Net sales from Emerging Markets decreased by $49.5 million or 7% for the three months ended March 31, 2022 when compared to the prior year period. This decrease was mainly driven by the unfavorable impact of foreign currency translation, lower volumes and, to a lesser extent, pricing for ARV products as a result of customer purchasing patterns and competitive market conditions. These decreases were partially offset by higher volumes in certain markets in Asia. The unfavorable impact of foreign currency translation was $51.5 million or 7%. Constant currency net sales increased by approximately $2.0 million, or less than 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Gross Profit</w:t>
      </w:r>
    </w:p>
    <w:p>
      <w:pPr>
        <w:spacing w:after="0" w:line="22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 xml:space="preserve">Cost of sales decreased from $3.30 billion for the three months ended March 31, 2021 to $2.42 billion for the three months ended March 31, 2022. Cost of sales was primarily impacted by purchase accounting related amortization of the fair value of step-up of acquired inventory of $476.4 million in the comparable prior year period, lower restructuring costs in the current period related to the 2020 restructuring program versus the comparable prior year period, and lower costs associated with other special items, which are described further in the section titled </w:t>
      </w:r>
      <w:r>
        <w:rPr>
          <w:rFonts w:ascii="Arial" w:cs="Arial" w:eastAsia="Arial" w:hAnsi="Arial"/>
          <w:sz w:val="16"/>
          <w:szCs w:val="16"/>
          <w:i w:val="1"/>
          <w:iCs w:val="1"/>
          <w:color w:val="auto"/>
        </w:rPr>
        <w:t>Use of Non-GAAP Financial Measures.</w:t>
      </w:r>
    </w:p>
    <w:p>
      <w:pPr>
        <w:spacing w:after="0" w:line="157"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Gross profit for the three months ended March 31, 2022 was $1.77 billion and gross margins were 42%. For the three months ended March 31, 2021, gross profit was $1.13 billion and gross margins were 25%. This change is primarily related to the decrease in cost of sales. Adjusted gross margins were 59% for the three months ended March 31, 2022, compared to 60% for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9" w:name="page50"/>
    <w:bookmarkEnd w:id="4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 reconciliation between cost of sales, as reported under U.S. GAAP, and adjusted cost of sales and adjusted gross margin for the three months ended March 31, 2022 compared to the three months ended March 31, 2021 is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8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U.S. GAAP cost of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2,420.5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3,303.0</w:t>
            </w:r>
          </w:p>
        </w:tc>
        <w:tc>
          <w:tcPr>
            <w:tcW w:w="0" w:type="dxa"/>
            <w:vAlign w:val="bottom"/>
          </w:tcPr>
          <w:p>
            <w:pPr>
              <w:spacing w:after="0"/>
              <w:rPr>
                <w:sz w:val="1"/>
                <w:szCs w:val="1"/>
                <w:color w:val="auto"/>
              </w:rPr>
            </w:pPr>
          </w:p>
        </w:tc>
      </w:tr>
      <w:tr>
        <w:trPr>
          <w:trHeight w:val="230"/>
        </w:trPr>
        <w:tc>
          <w:tcPr>
            <w:tcW w:w="8740" w:type="dxa"/>
            <w:vAlign w:val="bottom"/>
          </w:tcPr>
          <w:p>
            <w:pPr>
              <w:ind w:left="20"/>
              <w:spacing w:after="0"/>
              <w:rPr>
                <w:sz w:val="20"/>
                <w:szCs w:val="20"/>
                <w:color w:val="auto"/>
              </w:rPr>
            </w:pPr>
            <w:r>
              <w:rPr>
                <w:rFonts w:ascii="Arial" w:cs="Arial" w:eastAsia="Arial" w:hAnsi="Arial"/>
                <w:sz w:val="18"/>
                <w:szCs w:val="18"/>
                <w:color w:val="auto"/>
              </w:rPr>
              <w:t>Deduct:</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accounting related amortization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(658.8)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4"/>
              </w:rPr>
              <w:t>(1,255.0)</w:t>
            </w:r>
          </w:p>
        </w:tc>
        <w:tc>
          <w:tcPr>
            <w:tcW w:w="0" w:type="dxa"/>
            <w:vAlign w:val="bottom"/>
          </w:tcPr>
          <w:p>
            <w:pPr>
              <w:spacing w:after="0"/>
              <w:rPr>
                <w:sz w:val="1"/>
                <w:szCs w:val="1"/>
                <w:color w:val="auto"/>
              </w:rPr>
            </w:pPr>
          </w:p>
        </w:tc>
      </w:tr>
      <w:tr>
        <w:trPr>
          <w:trHeight w:val="229"/>
        </w:trPr>
        <w:tc>
          <w:tcPr>
            <w:tcW w:w="8740" w:type="dxa"/>
            <w:vAlign w:val="bottom"/>
          </w:tcPr>
          <w:p>
            <w:pPr>
              <w:ind w:left="220"/>
              <w:spacing w:after="0"/>
              <w:rPr>
                <w:sz w:val="20"/>
                <w:szCs w:val="20"/>
                <w:color w:val="auto"/>
              </w:rPr>
            </w:pPr>
            <w:r>
              <w:rPr>
                <w:rFonts w:ascii="Arial" w:cs="Arial" w:eastAsia="Arial" w:hAnsi="Arial"/>
                <w:sz w:val="18"/>
                <w:szCs w:val="18"/>
                <w:color w:val="auto"/>
              </w:rPr>
              <w:t>Acquisition related items</w:t>
            </w:r>
          </w:p>
        </w:tc>
        <w:tc>
          <w:tcPr>
            <w:tcW w:w="280" w:type="dxa"/>
            <w:vAlign w:val="bottom"/>
          </w:tcPr>
          <w:p>
            <w:pPr>
              <w:spacing w:after="0"/>
              <w:rPr>
                <w:sz w:val="19"/>
                <w:szCs w:val="19"/>
                <w:color w:val="auto"/>
              </w:rPr>
            </w:pPr>
          </w:p>
        </w:tc>
        <w:tc>
          <w:tcPr>
            <w:tcW w:w="920" w:type="dxa"/>
            <w:vAlign w:val="bottom"/>
          </w:tcPr>
          <w:p>
            <w:pPr>
              <w:jc w:val="right"/>
              <w:ind w:right="95"/>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related costs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29"/>
        </w:trPr>
        <w:tc>
          <w:tcPr>
            <w:tcW w:w="8740" w:type="dxa"/>
            <w:vAlign w:val="bottom"/>
          </w:tcPr>
          <w:p>
            <w:pPr>
              <w:ind w:left="22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Pr>
          <w:p>
            <w:pPr>
              <w:spacing w:after="0"/>
              <w:rPr>
                <w:sz w:val="19"/>
                <w:szCs w:val="19"/>
                <w:color w:val="auto"/>
              </w:rPr>
            </w:pPr>
          </w:p>
        </w:tc>
        <w:tc>
          <w:tcPr>
            <w:tcW w:w="920" w:type="dxa"/>
            <w:vAlign w:val="bottom"/>
          </w:tcPr>
          <w:p>
            <w:pPr>
              <w:jc w:val="right"/>
              <w:ind w:right="95"/>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special items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23"/>
        </w:trPr>
        <w:tc>
          <w:tcPr>
            <w:tcW w:w="8740" w:type="dxa"/>
            <w:vAlign w:val="bottom"/>
          </w:tcPr>
          <w:p>
            <w:pPr>
              <w:ind w:left="20"/>
              <w:spacing w:after="0"/>
              <w:rPr>
                <w:sz w:val="20"/>
                <w:szCs w:val="20"/>
                <w:color w:val="auto"/>
              </w:rPr>
            </w:pPr>
            <w:r>
              <w:rPr>
                <w:rFonts w:ascii="Arial" w:cs="Arial" w:eastAsia="Arial" w:hAnsi="Arial"/>
                <w:sz w:val="18"/>
                <w:szCs w:val="18"/>
                <w:color w:val="auto"/>
              </w:rPr>
              <w:t>Adjusted cost of sales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1,698.3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1,790.4</w:t>
            </w:r>
          </w:p>
        </w:tc>
        <w:tc>
          <w:tcPr>
            <w:tcW w:w="0" w:type="dxa"/>
            <w:vAlign w:val="bottom"/>
          </w:tcPr>
          <w:p>
            <w:pPr>
              <w:spacing w:after="0"/>
              <w:rPr>
                <w:sz w:val="1"/>
                <w:szCs w:val="1"/>
                <w:color w:val="auto"/>
              </w:rPr>
            </w:pPr>
          </w:p>
        </w:tc>
      </w:tr>
      <w:tr>
        <w:trPr>
          <w:trHeight w:val="20"/>
        </w:trPr>
        <w:tc>
          <w:tcPr>
            <w:tcW w:w="8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7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Adjusted gross profit </w:t>
            </w:r>
            <w:r>
              <w:rPr>
                <w:rFonts w:ascii="Arial" w:cs="Arial" w:eastAsia="Arial" w:hAnsi="Arial"/>
                <w:sz w:val="23"/>
                <w:szCs w:val="23"/>
                <w:color w:val="auto"/>
                <w:vertAlign w:val="superscript"/>
              </w:rPr>
              <w:t>(a)</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2,493.4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2,639.9</w:t>
            </w:r>
          </w:p>
        </w:tc>
        <w:tc>
          <w:tcPr>
            <w:tcW w:w="0" w:type="dxa"/>
            <w:vAlign w:val="bottom"/>
          </w:tcPr>
          <w:p>
            <w:pPr>
              <w:spacing w:after="0"/>
              <w:rPr>
                <w:sz w:val="1"/>
                <w:szCs w:val="1"/>
                <w:color w:val="auto"/>
              </w:rPr>
            </w:pPr>
          </w:p>
        </w:tc>
      </w:tr>
      <w:tr>
        <w:trPr>
          <w:trHeight w:val="20"/>
        </w:trPr>
        <w:tc>
          <w:tcPr>
            <w:tcW w:w="8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7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Adjusted gross margin </w:t>
            </w:r>
            <w:r>
              <w:rPr>
                <w:rFonts w:ascii="Arial" w:cs="Arial" w:eastAsia="Arial" w:hAnsi="Arial"/>
                <w:sz w:val="23"/>
                <w:szCs w:val="23"/>
                <w:color w:val="auto"/>
                <w:vertAlign w:val="superscript"/>
              </w:rPr>
              <w:t>(a)</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59 %</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0"/>
        </w:trPr>
        <w:tc>
          <w:tcPr>
            <w:tcW w:w="874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87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hanging="328"/>
        <w:spacing w:after="0" w:line="227" w:lineRule="auto"/>
        <w:tabs>
          <w:tab w:leader="none" w:pos="655"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Adjusted gross profit is calculated as total revenues less adjusted cost of sales. Adjusted gross margin is calculated as adjusted gross profit divided by total revenues.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&amp; Development Expense</w:t>
      </w:r>
    </w:p>
    <w:p>
      <w:pPr>
        <w:spacing w:after="0" w:line="225"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R&amp;D expense for the three months ended March 31, 2022 was $142.3 million, compared to $184.1 million for the comparable prior year period, a decrease of $41.8 million. This decrease was primarily due to lower costs for products under development and the impact of synergies.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&amp; Administrative Expense</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SG&amp;A expense for the current quarter was $915.3 million, compared to $1.19 billion for the comparable prior year period, a decrease of $271.2 million. The decrease was primarily due to lower restructuring costs of approximately $137.5 million related to the 2020 restructuring program and the impact of synergies.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Litigation Settlements and Other Contingencies,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includes the losses/(gains) recognized in litigation settlements and other contingencies, net during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2022 and 2021, respectively: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3"/>
          </w:tcPr>
          <w:p>
            <w:pPr>
              <w:jc w:val="right"/>
              <w:ind w:right="395"/>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40" w:type="dxa"/>
            <w:vAlign w:val="bottom"/>
            <w:tcBorders>
              <w:bottom w:val="single" w:sz="8" w:color="auto"/>
            </w:tcBorders>
          </w:tcPr>
          <w:p>
            <w:pPr>
              <w:spacing w:after="0"/>
              <w:rPr>
                <w:sz w:val="16"/>
                <w:szCs w:val="16"/>
                <w:color w:val="auto"/>
              </w:rPr>
            </w:pPr>
          </w:p>
        </w:tc>
      </w:tr>
      <w:tr>
        <w:trPr>
          <w:trHeight w:val="188"/>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r>
      <w:tr>
        <w:trPr>
          <w:trHeight w:val="224"/>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 adjustment (primarily related to respiratory delivery platform)</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12.4</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Litigation settlements, net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248"/>
        </w:trPr>
        <w:tc>
          <w:tcPr>
            <w:tcW w:w="8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litigation settlements and other contingencies,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6.2</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Interest expense for the three months ended March 31, 2022 totaled $146.2 million, compared to $169.0 million for the three months ended March 31, 2021, a decrease of $22.8 million. The decrease is primarily due to the impact of debt repayments.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0" w:name="page51"/>
    <w:bookmarkEnd w:id="5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25"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Other expense, net includes losses from equity affiliates, foreign exchange gains and losses, expense (income) related to post-employment benefit plans and interest and dividend income. Other expense, net for the three months ended March 31, 2022 totaled $33.7 million, compared to $6.1 million for the three months ended March 31, 2021. The increase was primarily driven by higher foreign exchange costs.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For the three months ended March 31, 2022, the Company recognized an income tax provision of $128.3 million, compared to $596.3 million for the comparable prior year period, a decrease of $468.0 million. The income tax provision for the three months ended March 31, 2021 was negatively impacted by the tax rates applied to the reversal of intercompany profit in inventory reserve which was recorded on the opening balance sheet as part of the Combination. This reserve eliminates the profit in inventory related to intercompany transactions and changes to this reserve occur as products are sold to third parties. Also impacting the current year income tax provision was the changing mix of income earned in jurisdictions with differing tax rates.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Whenever the Company uses non-GAAP financial measures, we provide a reconciliation of the non-GAAP financial measures to their most directly comparable U.S. GAAP financial measure. Investors and other readers are encouraged to review the related U.S. GAAP financial measures and the reconciliation of non-GAAP measures to their most directly comparable U.S. GAAP measure and should consider non-GAAP measures only as a supplement to, not as a substitute for or as a superior measure to, measures of financial performance prepared in accordance with U.S. GAAP. Additionally, since these are not measures determined in accordance with U.S. GAAP, non-GAAP financial measures have no standardized meaning across companies, or as prescribed by U.S. GAAP and, therefore, may not be comparable to the calculation of similar measures or measures with the same title used by other companies.</w:t>
      </w:r>
    </w:p>
    <w:p>
      <w:pPr>
        <w:spacing w:after="0" w:line="19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Management uses these measures internally for forecasting, budgeting, measuring its operating performance, and incentive-based awards. Primarily due to acquisitions and other significant events which may impact comparability of our periodic operating results, we believe that an evaluation of our ongoing operations (and comparisons of our current operations with historical and future operations) would be difficult if the disclosure of our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as described below, along with other performance metrics. The Company’s use of such non-GAAP measures is governed by an adjusted reporting policy maintained by the Company and such non-GAAP measures are reviewed in detail with the Audit Committee of the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Cost of Sales and Adjusted Gross Margin</w:t>
      </w:r>
    </w:p>
    <w:p>
      <w:pPr>
        <w:spacing w:after="0" w:line="229"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We use the non-GAAP financial measure “adjusted cost of sales” and the corresponding non-GAAP financial measure “adjusted gross margin.” The principal items excluded from adjusted cost of sales include restructuring, acquisition related and other special items and purchase accounting related amortization, which are described in greater detail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Earnings</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Adjusted net earnings is a non-GAAP financial measure and provides an alternative view of performance used by management. Management believes that, primarily due to acquisition activity and other significant events, an evaluation of the Company’s ongoing operations (and comparisons of its current operations with historical and future operations) would be difficult if the disclosure of its financial results were limited to financial measures prepared only in accordance with U.S. GAAP. Management believes that adjusted net earnings is an important internal financial metric related to the ongoing operating performance of the Company, and is therefore useful to investors and that their understanding of our performance is enhanced by this measure. Actual internal and forecasted operating results and annual budgets used by management include adjusted net earnings.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1" w:name="page52"/>
    <w:bookmarkEnd w:id="5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22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EBITDA and adjusted EBITDA are non-GAAP financial measures that the Company believes are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We calculate EBITDA as U.S. GAAP net earnings (loss) adjusted for net contribution attributable to equity method investments, income tax provision (benefit), interest expense and depreciation and amortization. EBITDA is further adjusted for share-based compensation expense, litigation settlements and other contingencies, net, and restructuring, acquisition related and other special items to determine adjusted EBITDA. These adjustments are generally permitted under our credit agreement in calculating adjusted EBITDA for determining compliance with our debt covenants.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items excluded from adjusted cost of sales, adjusted net earnings, and adjusted EBITDA include: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Purchase Accounting Amortization and Other Related Items</w:t>
      </w:r>
    </w:p>
    <w:p>
      <w:pPr>
        <w:spacing w:after="0" w:line="225"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 xml:space="preserve">The ongoing impact of certain amounts recorded in connection with acquisitions of both businesses and assets is excluded from adjusted cost of sales, adjusted net earnings, and adjusted EBITDA. These amounts include the amortization of intangible assets, inventory step-up, property, plant and equipment step-up, and intangible asset impairment charges, including for in-process research and development. For the acquisition of businesses accounted for under the provisions of </w:t>
      </w:r>
      <w:r>
        <w:rPr>
          <w:rFonts w:ascii="Arial" w:cs="Arial" w:eastAsia="Arial" w:hAnsi="Arial"/>
          <w:sz w:val="18"/>
          <w:szCs w:val="18"/>
          <w:i w:val="1"/>
          <w:iCs w:val="1"/>
          <w:color w:val="auto"/>
        </w:rPr>
        <w:t>ASC 805, Business Combinations</w:t>
      </w:r>
      <w:r>
        <w:rPr>
          <w:rFonts w:ascii="Arial" w:cs="Arial" w:eastAsia="Arial" w:hAnsi="Arial"/>
          <w:sz w:val="18"/>
          <w:szCs w:val="18"/>
          <w:color w:val="auto"/>
        </w:rPr>
        <w:t>, these purchase accounting impacts are excluded regardless of the financing method used for the acquisitions, including the use of cash, long-term debt, the issuance of common stock, contingent consideration or any combination thereof.</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Upfront and Milestone-Related R&amp;D Expenses</w:t>
      </w:r>
    </w:p>
    <w:p>
      <w:pPr>
        <w:spacing w:after="0" w:line="22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Beginning in 2022, upfront and milestone-related R&amp;D expenses related to collaboration and licensing arrangements are no longer excluded from adjusted net earnings and adjusted EBITDA. This change had no impact on the three months ended March 31, 2022. For all prior periods presented, these expenses and payments were excluded from adjusted net earnings and adjusted EBITDA. Prior period adjusted net earnings and adjusted EBITDA have not been recast to reflect this change in policy because the excluded amount was approximately $0.5 million and is considered immaterial.</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Accretion of Contingent Consideration Liability and Other Fair Value Adjustments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impact of changes to the fair value of contingent consideration and accretion expense are excluded from adjusted net earnings and adjusted EBITDA because they are not indicative of the Company’s ongoing operations due to the variability of the amounts and the lack of predictability as to the occurrence and/or timing and management believes their exclusion is helpful to understanding the underlying, ongoing operational performance of the business.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Share-based compensation expense is excluded from adjusted net earnings and adjusted EBITDA. Our share-based compensation programs have become increasingly weighted toward performance-based compensation, which leads to variability and to a lack of predictability as to the occurrence and/or timing of amounts incurred. As such, management believes the exclusion of such amounts on an ongoing basis is helpful to understanding the underlying operational performance of the business.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Restructuring, Acquisition Related and Other Special Items</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Costs related to restructuring, acquisition and integration activities and other actions are excluded from adjusted cost of sales, adjusted net earnings and adjusted EBITDA, as applicable. These amounts include items such as:</w:t>
      </w:r>
    </w:p>
    <w:p>
      <w:pPr>
        <w:spacing w:after="0" w:line="62" w:lineRule="exact"/>
        <w:rPr>
          <w:sz w:val="20"/>
          <w:szCs w:val="20"/>
          <w:color w:val="auto"/>
        </w:rPr>
      </w:pPr>
    </w:p>
    <w:p>
      <w:pPr>
        <w:ind w:left="980" w:right="560" w:hanging="324"/>
        <w:spacing w:after="0" w:line="263"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related to formal restructuring programs and actions, including costs associated with facilities to be closed or divested, employee separation costs, impairment charges, accelerated depreciation, incremental manufacturing variances, equipment relocation costs, decommissioning and other restructuring related costs;</w:t>
      </w:r>
    </w:p>
    <w:p>
      <w:pPr>
        <w:spacing w:after="0" w:line="21" w:lineRule="exact"/>
        <w:rPr>
          <w:rFonts w:ascii="Arial" w:cs="Arial" w:eastAsia="Arial" w:hAnsi="Arial"/>
          <w:sz w:val="18"/>
          <w:szCs w:val="18"/>
          <w:color w:val="auto"/>
        </w:rPr>
      </w:pPr>
    </w:p>
    <w:p>
      <w:pPr>
        <w:ind w:left="980" w:right="60" w:hanging="324"/>
        <w:spacing w:after="0" w:line="277"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Certain acquisition related remediation and integration and planning costs, as well as other costs associated with acquisitions such as advisory and legal fees, certain financing related costs, certain reimbursements related to the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980" w:right="20"/>
        <w:spacing w:after="0" w:line="286" w:lineRule="auto"/>
        <w:rPr>
          <w:sz w:val="20"/>
          <w:szCs w:val="20"/>
          <w:color w:val="auto"/>
        </w:rPr>
      </w:pPr>
      <w:r>
        <w:rPr>
          <w:rFonts w:ascii="Arial" w:cs="Arial" w:eastAsia="Arial" w:hAnsi="Arial"/>
          <w:sz w:val="17"/>
          <w:szCs w:val="17"/>
          <w:color w:val="auto"/>
        </w:rPr>
        <w:t>Company’s obligation to reimburse Pfizer for certain financing and transaction related costs under the Business Combination Agreement and Separation and Distribution Agreement, certain other TSA related exit costs, and other business transformation and/or optimization initiatives, which are not part of a formal restructuring program, including employee separation and post-employment costs;</w:t>
      </w:r>
    </w:p>
    <w:p>
      <w:pPr>
        <w:spacing w:after="0" w:line="3" w:lineRule="exact"/>
        <w:rPr>
          <w:sz w:val="20"/>
          <w:szCs w:val="20"/>
          <w:color w:val="auto"/>
        </w:rPr>
      </w:pPr>
    </w:p>
    <w:p>
      <w:pPr>
        <w:ind w:left="980" w:right="100" w:hanging="324"/>
        <w:spacing w:after="0" w:line="277"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pre-tax loss of the Company’s clean energy investments, whose activities qualify for income tax credits under the Code; only included in adjusted net earnings is the net tax effect of the entity’s activities;</w:t>
      </w:r>
    </w:p>
    <w:p>
      <w:pPr>
        <w:spacing w:after="0" w:line="8" w:lineRule="exact"/>
        <w:rPr>
          <w:rFonts w:ascii="Arial" w:cs="Arial" w:eastAsia="Arial" w:hAnsi="Arial"/>
          <w:sz w:val="18"/>
          <w:szCs w:val="18"/>
          <w:color w:val="auto"/>
        </w:rPr>
      </w:pPr>
    </w:p>
    <w:p>
      <w:pPr>
        <w:ind w:left="980" w:right="120" w:hanging="324"/>
        <w:spacing w:after="0" w:line="277"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costs, incurred from time to time, related to certain special events or activities that lead to gains or losses, including, but not limited to, incremental manufacturing variances, asset write-downs, or liability adjustments;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Certain costs to further develop and optimize our global enterprise resource planning systems, operations and supply chain; and</w:t>
      </w:r>
    </w:p>
    <w:p>
      <w:pPr>
        <w:spacing w:after="0" w:line="63" w:lineRule="exact"/>
        <w:rPr>
          <w:rFonts w:ascii="Arial" w:cs="Arial" w:eastAsia="Arial" w:hAnsi="Arial"/>
          <w:sz w:val="18"/>
          <w:szCs w:val="18"/>
          <w:color w:val="auto"/>
        </w:rPr>
      </w:pPr>
    </w:p>
    <w:p>
      <w:pPr>
        <w:ind w:left="980" w:right="140" w:hanging="324"/>
        <w:spacing w:after="0" w:line="263"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changes related to uncertain tax positions and certain impacts related to the Combination are excluded from adjusted net earnings. In addition, tax adjustments to adjusted earnings are recorded to present items on an after-tax basis consistent with the presentation of adjusted net earnings.</w:t>
      </w:r>
    </w:p>
    <w:p>
      <w:pPr>
        <w:spacing w:after="0" w:line="184" w:lineRule="exact"/>
        <w:rPr>
          <w:sz w:val="20"/>
          <w:szCs w:val="20"/>
          <w:color w:val="auto"/>
        </w:rPr>
      </w:pPr>
    </w:p>
    <w:p>
      <w:pPr>
        <w:ind w:right="320" w:firstLine="648"/>
        <w:spacing w:after="0" w:line="311" w:lineRule="auto"/>
        <w:rPr>
          <w:sz w:val="20"/>
          <w:szCs w:val="20"/>
          <w:color w:val="auto"/>
        </w:rPr>
      </w:pPr>
      <w:r>
        <w:rPr>
          <w:rFonts w:ascii="Arial" w:cs="Arial" w:eastAsia="Arial" w:hAnsi="Arial"/>
          <w:sz w:val="16"/>
          <w:szCs w:val="16"/>
          <w:color w:val="auto"/>
        </w:rPr>
        <w:t>The Company has undertaken restructurings and other optimization initiatives of differing types, scope and amount during the covered periods and, therefore, these charges should not be considered non-recurring; however, management excludes these amounts from adjusted net earnings and adjusted EBITDA because it believes it is helpful to understanding the underlying, ongoing operational performance of the business.</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Litigation Settlements, Net</w:t>
      </w:r>
    </w:p>
    <w:p>
      <w:pPr>
        <w:spacing w:after="0" w:line="225"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 xml:space="preserve">Charges and gains related to legal matters, such as those discussed in Note 17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included in Part I, Item 1 of this Form 10-Q are generally excluded from adjusted net earnings and adjusted EBITDA. Normal, ongoing defense costs of the Company made in the normal course of our business are not excluded.</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Reconciliation of U.S. GAAP Net Earnings (Loss) to Adjusted Net Earnings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between net earnings (loss) as reported under U.S. GAAP, and adjusted net earnings for the periods shown follows: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6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4"/>
                <w:szCs w:val="14"/>
                <w:b w:val="1"/>
                <w:bCs w:val="1"/>
                <w:color w:val="auto"/>
                <w:w w:val="99"/>
              </w:rPr>
              <w:t>Three Months Ended March 31,</w:t>
            </w:r>
          </w:p>
        </w:tc>
      </w:tr>
      <w:tr>
        <w:trPr>
          <w:trHeight w:val="188"/>
        </w:trPr>
        <w:tc>
          <w:tcPr>
            <w:tcW w:w="86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r>
      <w:tr>
        <w:trPr>
          <w:trHeight w:val="224"/>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U.S. GAAP net earnings (loss)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(1,037.6)</w:t>
            </w: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Purchase accounting related amortization (primarily included in cost of sales)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1,255.0</w:t>
            </w:r>
          </w:p>
        </w:tc>
      </w:tr>
      <w:tr>
        <w:trPr>
          <w:trHeight w:val="23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Litigation settlements and other contingencies, net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Interest expense (primarily amortization of premiums and discounts on long term debt)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29"/>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Clean energy investments pre-tax (gain) loss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30"/>
        </w:trPr>
        <w:tc>
          <w:tcPr>
            <w:tcW w:w="8600" w:type="dxa"/>
            <w:vAlign w:val="bottom"/>
          </w:tcPr>
          <w:p>
            <w:pPr>
              <w:spacing w:after="0" w:line="230" w:lineRule="exact"/>
              <w:rPr>
                <w:sz w:val="20"/>
                <w:szCs w:val="20"/>
                <w:color w:val="auto"/>
              </w:rPr>
            </w:pPr>
            <w:r>
              <w:rPr>
                <w:rFonts w:ascii="Arial" w:cs="Arial" w:eastAsia="Arial" w:hAnsi="Arial"/>
                <w:sz w:val="18"/>
                <w:szCs w:val="18"/>
                <w:color w:val="auto"/>
              </w:rPr>
              <w:t xml:space="preserve">Acquisition related costs (primarily included in SG&amp;A) </w:t>
            </w:r>
            <w:r>
              <w:rPr>
                <w:rFonts w:ascii="Arial" w:cs="Arial" w:eastAsia="Arial" w:hAnsi="Arial"/>
                <w:sz w:val="23"/>
                <w:szCs w:val="23"/>
                <w:color w:val="auto"/>
                <w:vertAlign w:val="superscript"/>
              </w:rPr>
              <w:t>(a)</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59.8</w:t>
            </w:r>
          </w:p>
        </w:tc>
      </w:tr>
      <w:tr>
        <w:trPr>
          <w:trHeight w:val="230"/>
        </w:trPr>
        <w:tc>
          <w:tcPr>
            <w:tcW w:w="860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 xml:space="preserve">Restructuring related costs </w:t>
            </w:r>
            <w:r>
              <w:rPr>
                <w:rFonts w:ascii="Arial" w:cs="Arial" w:eastAsia="Arial" w:hAnsi="Arial"/>
                <w:sz w:val="23"/>
                <w:szCs w:val="23"/>
                <w:color w:val="auto"/>
                <w:vertAlign w:val="superscript"/>
              </w:rPr>
              <w:t>(b)</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w:t>
            </w: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32.7</w:t>
            </w:r>
          </w:p>
        </w:tc>
      </w:tr>
      <w:tr>
        <w:trPr>
          <w:trHeight w:val="229"/>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 special items included in:</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600" w:type="dxa"/>
            <w:vAlign w:val="bottom"/>
          </w:tcPr>
          <w:p>
            <w:pPr>
              <w:ind w:left="200"/>
              <w:spacing w:after="0" w:line="230" w:lineRule="exact"/>
              <w:rPr>
                <w:sz w:val="20"/>
                <w:szCs w:val="20"/>
                <w:color w:val="auto"/>
              </w:rPr>
            </w:pPr>
            <w:r>
              <w:rPr>
                <w:rFonts w:ascii="Arial" w:cs="Arial" w:eastAsia="Arial" w:hAnsi="Arial"/>
                <w:sz w:val="18"/>
                <w:szCs w:val="18"/>
                <w:color w:val="auto"/>
              </w:rPr>
              <w:t xml:space="preserve">Cost of sales </w:t>
            </w:r>
            <w:r>
              <w:rPr>
                <w:rFonts w:ascii="Arial" w:cs="Arial" w:eastAsia="Arial" w:hAnsi="Arial"/>
                <w:sz w:val="23"/>
                <w:szCs w:val="23"/>
                <w:color w:val="auto"/>
                <w:vertAlign w:val="superscript"/>
              </w:rPr>
              <w:t>(c)</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86.7</w:t>
            </w:r>
          </w:p>
        </w:tc>
      </w:tr>
      <w:tr>
        <w:trPr>
          <w:trHeight w:val="230"/>
        </w:trPr>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 expense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30"/>
        </w:trPr>
        <w:tc>
          <w:tcPr>
            <w:tcW w:w="8600" w:type="dxa"/>
            <w:vAlign w:val="bottom"/>
          </w:tcPr>
          <w:p>
            <w:pPr>
              <w:ind w:left="200"/>
              <w:spacing w:after="0"/>
              <w:rPr>
                <w:sz w:val="20"/>
                <w:szCs w:val="20"/>
                <w:color w:val="auto"/>
              </w:rPr>
            </w:pPr>
            <w:r>
              <w:rPr>
                <w:rFonts w:ascii="Arial" w:cs="Arial" w:eastAsia="Arial" w:hAnsi="Arial"/>
                <w:sz w:val="18"/>
                <w:szCs w:val="18"/>
                <w:color w:val="auto"/>
              </w:rPr>
              <w:t>Selling, general and administrative expense</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29"/>
        </w:trPr>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expense, net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00" w:type="dxa"/>
            <w:vAlign w:val="bottom"/>
            <w:tcBorders>
              <w:bottom w:val="single" w:sz="8" w:color="CCEEFF"/>
            </w:tcBorders>
          </w:tcPr>
          <w:p>
            <w:pPr>
              <w:spacing w:after="0" w:line="230" w:lineRule="exact"/>
              <w:rPr>
                <w:sz w:val="20"/>
                <w:szCs w:val="20"/>
                <w:color w:val="auto"/>
              </w:rPr>
            </w:pPr>
            <w:r>
              <w:rPr>
                <w:rFonts w:ascii="Arial" w:cs="Arial" w:eastAsia="Arial" w:hAnsi="Arial"/>
                <w:sz w:val="18"/>
                <w:szCs w:val="18"/>
                <w:color w:val="auto"/>
              </w:rPr>
              <w:t xml:space="preserve">Tax effect of the above items and other income tax related items </w:t>
            </w:r>
            <w:r>
              <w:rPr>
                <w:rFonts w:ascii="Arial" w:cs="Arial" w:eastAsia="Arial" w:hAnsi="Arial"/>
                <w:sz w:val="23"/>
                <w:szCs w:val="23"/>
                <w:color w:val="auto"/>
                <w:vertAlign w:val="superscript"/>
              </w:rPr>
              <w:t>(d)</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342.9</w:t>
            </w:r>
          </w:p>
        </w:tc>
      </w:tr>
      <w:tr>
        <w:trPr>
          <w:trHeight w:val="248"/>
        </w:trPr>
        <w:tc>
          <w:tcPr>
            <w:tcW w:w="8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earnings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1,116.4</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Significant items include the following:</w:t>
      </w:r>
    </w:p>
    <w:p>
      <w:pPr>
        <w:spacing w:after="0" w:line="29"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Acquisition related costs consist primarily of transaction costs including legal and consulting fees and integration activities.</w:t>
      </w:r>
    </w:p>
    <w:p>
      <w:pPr>
        <w:spacing w:after="0" w:line="55" w:lineRule="exact"/>
        <w:rPr>
          <w:rFonts w:ascii="Arial" w:cs="Arial" w:eastAsia="Arial" w:hAnsi="Arial"/>
          <w:sz w:val="23"/>
          <w:szCs w:val="23"/>
          <w:color w:val="auto"/>
          <w:vertAlign w:val="superscript"/>
        </w:rPr>
      </w:pPr>
    </w:p>
    <w:p>
      <w:pPr>
        <w:ind w:left="660" w:hanging="328"/>
        <w:spacing w:after="0" w:line="219" w:lineRule="auto"/>
        <w:tabs>
          <w:tab w:leader="none" w:pos="648"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 xml:space="preserve">For the three months ended March 31, 2022, charges include approximately $13.1 million in cost of sales and approximately $3.7 million in SG&amp;A. Refer to Note 14 </w:t>
      </w:r>
      <w:r>
        <w:rPr>
          <w:rFonts w:ascii="Arial" w:cs="Arial" w:eastAsia="Arial" w:hAnsi="Arial"/>
          <w:sz w:val="18"/>
          <w:szCs w:val="18"/>
          <w:i w:val="1"/>
          <w:iCs w:val="1"/>
          <w:color w:val="auto"/>
        </w:rPr>
        <w:t>Restructuring</w:t>
      </w:r>
      <w:r>
        <w:rPr>
          <w:rFonts w:ascii="Arial" w:cs="Arial" w:eastAsia="Arial" w:hAnsi="Arial"/>
          <w:sz w:val="18"/>
          <w:szCs w:val="18"/>
          <w:color w:val="auto"/>
        </w:rPr>
        <w:t xml:space="preserve"> included in Part I, Item 1 of this Form 10-Q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hanging="328"/>
        <w:spacing w:after="0" w:line="227" w:lineRule="auto"/>
        <w:tabs>
          <w:tab w:leader="none" w:pos="655"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For the three months ended March 31, 2022, charges include incremental manufacturing variances at plants in the 2020 restructuring program of approximately $31.3 million.</w:t>
      </w:r>
    </w:p>
    <w:p>
      <w:pPr>
        <w:spacing w:after="0" w:line="5" w:lineRule="exact"/>
        <w:rPr>
          <w:rFonts w:ascii="Arial" w:cs="Arial" w:eastAsia="Arial" w:hAnsi="Arial"/>
          <w:sz w:val="23"/>
          <w:szCs w:val="23"/>
          <w:color w:val="auto"/>
          <w:vertAlign w:val="superscript"/>
        </w:rPr>
      </w:pPr>
    </w:p>
    <w:p>
      <w:pPr>
        <w:ind w:left="640" w:hanging="308"/>
        <w:spacing w:after="0"/>
        <w:tabs>
          <w:tab w:leader="none" w:pos="640"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Adjusted for changes for uncertain tax positions and for certain impacts of the Combination.</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Reconciliation of U.S. GAAP Net Earnings (Loss) to EBITDA and Adjusted EBITDA</w:t>
      </w:r>
    </w:p>
    <w:p>
      <w:pPr>
        <w:spacing w:after="0" w:line="158"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Below is a reconciliation of U.S. GAAP net earnings (loss) to EBITDA and adjusted EBITDA for the three months ended March 31, 2022 compared to the prior year period: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4"/>
                <w:szCs w:val="14"/>
                <w:b w:val="1"/>
                <w:bCs w:val="1"/>
                <w:color w:val="auto"/>
                <w:w w:val="99"/>
              </w:rPr>
              <w:t>Three Months Ended March 31,</w:t>
            </w:r>
          </w:p>
        </w:tc>
      </w:tr>
      <w:tr>
        <w:trPr>
          <w:trHeight w:val="188"/>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r>
      <w:tr>
        <w:trPr>
          <w:trHeight w:val="224"/>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GAAP net earnings (loss)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(1,037.6)</w:t>
            </w: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Add / (deduct) adjustments: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contribution attributable to equity method investments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29"/>
        </w:trPr>
        <w:tc>
          <w:tcPr>
            <w:tcW w:w="8640" w:type="dxa"/>
            <w:vAlign w:val="bottom"/>
          </w:tcPr>
          <w:p>
            <w:pPr>
              <w:ind w:left="220"/>
              <w:spacing w:after="0"/>
              <w:rPr>
                <w:sz w:val="20"/>
                <w:szCs w:val="20"/>
                <w:color w:val="auto"/>
              </w:rPr>
            </w:pPr>
            <w:r>
              <w:rPr>
                <w:rFonts w:ascii="Arial" w:cs="Arial" w:eastAsia="Arial" w:hAnsi="Arial"/>
                <w:sz w:val="18"/>
                <w:szCs w:val="18"/>
                <w:color w:val="auto"/>
              </w:rPr>
              <w:t>Income tax provision</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596.3</w:t>
            </w:r>
          </w:p>
        </w:tc>
      </w:tr>
      <w:tr>
        <w:trPr>
          <w:trHeight w:val="230"/>
        </w:trPr>
        <w:tc>
          <w:tcPr>
            <w:tcW w:w="86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3"/>
                <w:szCs w:val="23"/>
                <w:color w:val="auto"/>
                <w:vertAlign w:val="superscript"/>
              </w:rPr>
              <w:t>(a)</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r>
      <w:tr>
        <w:trPr>
          <w:trHeight w:val="229"/>
        </w:trPr>
        <w:tc>
          <w:tcPr>
            <w:tcW w:w="8640" w:type="dxa"/>
            <w:vAlign w:val="bottom"/>
            <w:tcBorders>
              <w:bottom w:val="single" w:sz="8" w:color="CCEEFF"/>
            </w:tcBorders>
          </w:tcPr>
          <w:p>
            <w:pPr>
              <w:ind w:left="220"/>
              <w:spacing w:after="0" w:line="230"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(b)</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1,422.5</w:t>
            </w:r>
          </w:p>
        </w:tc>
      </w:tr>
      <w:tr>
        <w:trPr>
          <w:trHeight w:val="223"/>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1,168.1</w:t>
            </w:r>
          </w:p>
        </w:tc>
      </w:tr>
      <w:tr>
        <w:trPr>
          <w:trHeight w:val="229"/>
        </w:trPr>
        <w:tc>
          <w:tcPr>
            <w:tcW w:w="8640" w:type="dxa"/>
            <w:vAlign w:val="bottom"/>
          </w:tcPr>
          <w:p>
            <w:pPr>
              <w:ind w:left="140"/>
              <w:spacing w:after="0"/>
              <w:rPr>
                <w:sz w:val="20"/>
                <w:szCs w:val="20"/>
                <w:color w:val="auto"/>
              </w:rPr>
            </w:pPr>
            <w:r>
              <w:rPr>
                <w:rFonts w:ascii="Arial" w:cs="Arial" w:eastAsia="Arial" w:hAnsi="Arial"/>
                <w:sz w:val="18"/>
                <w:szCs w:val="18"/>
                <w:color w:val="auto"/>
              </w:rPr>
              <w:t>Add adjustments: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 expense</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r>
      <w:tr>
        <w:trPr>
          <w:trHeight w:val="229"/>
        </w:trPr>
        <w:tc>
          <w:tcPr>
            <w:tcW w:w="8640" w:type="dxa"/>
            <w:vAlign w:val="bottom"/>
          </w:tcPr>
          <w:p>
            <w:pPr>
              <w:ind w:left="220"/>
              <w:spacing w:after="0"/>
              <w:rPr>
                <w:sz w:val="20"/>
                <w:szCs w:val="20"/>
                <w:color w:val="auto"/>
              </w:rPr>
            </w:pPr>
            <w:r>
              <w:rPr>
                <w:rFonts w:ascii="Arial" w:cs="Arial" w:eastAsia="Arial" w:hAnsi="Arial"/>
                <w:sz w:val="18"/>
                <w:szCs w:val="18"/>
                <w:color w:val="auto"/>
              </w:rPr>
              <w:t>Litigation settlements and other contingencies, net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29"/>
        </w:trPr>
        <w:tc>
          <w:tcPr>
            <w:tcW w:w="86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Restructuring, acquisition related and other special items </w:t>
            </w:r>
            <w:r>
              <w:rPr>
                <w:rFonts w:ascii="Arial" w:cs="Arial" w:eastAsia="Arial" w:hAnsi="Arial"/>
                <w:sz w:val="23"/>
                <w:szCs w:val="23"/>
                <w:color w:val="auto"/>
                <w:vertAlign w:val="superscript"/>
              </w:rPr>
              <w:t>(c)</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412.9</w:t>
            </w:r>
          </w:p>
        </w:tc>
      </w:tr>
      <w:tr>
        <w:trPr>
          <w:trHeight w:val="223"/>
        </w:trPr>
        <w:tc>
          <w:tcPr>
            <w:tcW w:w="86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1,636.6</w:t>
            </w:r>
          </w:p>
        </w:tc>
      </w:tr>
      <w:tr>
        <w:trPr>
          <w:trHeight w:val="20"/>
        </w:trPr>
        <w:tc>
          <w:tcPr>
            <w:tcW w:w="8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ind w:left="580" w:hanging="248"/>
        <w:spacing w:after="0"/>
        <w:tabs>
          <w:tab w:leader="none" w:pos="580"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Includes amortization of premiums and discounts on long-term debt.</w:t>
      </w:r>
    </w:p>
    <w:p>
      <w:pPr>
        <w:spacing w:after="0" w:line="55" w:lineRule="exact"/>
        <w:rPr>
          <w:rFonts w:ascii="Arial" w:cs="Arial" w:eastAsia="Arial" w:hAnsi="Arial"/>
          <w:sz w:val="23"/>
          <w:szCs w:val="23"/>
          <w:color w:val="auto"/>
          <w:vertAlign w:val="superscript"/>
        </w:rPr>
      </w:pPr>
    </w:p>
    <w:p>
      <w:pPr>
        <w:ind w:left="580" w:hanging="248"/>
        <w:spacing w:after="0" w:line="194" w:lineRule="auto"/>
        <w:tabs>
          <w:tab w:leader="none" w:pos="580"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Includes purchase accounting related amortization.</w:t>
      </w:r>
    </w:p>
    <w:p>
      <w:pPr>
        <w:spacing w:after="0" w:line="56" w:lineRule="exact"/>
        <w:rPr>
          <w:rFonts w:ascii="Arial" w:cs="Arial" w:eastAsia="Arial" w:hAnsi="Arial"/>
          <w:sz w:val="23"/>
          <w:szCs w:val="23"/>
          <w:color w:val="auto"/>
          <w:vertAlign w:val="superscript"/>
        </w:rPr>
      </w:pPr>
    </w:p>
    <w:p>
      <w:pPr>
        <w:ind w:left="580" w:hanging="248"/>
        <w:spacing w:after="0" w:line="194" w:lineRule="auto"/>
        <w:tabs>
          <w:tab w:leader="none" w:pos="580"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See items detailed in the Reconciliation of U.S. GAAP Net Earnings (Loss) to Adjusted Net Earnings.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Our primary source of liquidity is net cash provided by operating activities, which was $1.14 billion for the three months ended March 31, 2022. We believe that net cash provided by operating activities and available liquidity will continue to allow us to meet our needs for working capital, capital expenditures, interest and principal payments on debt obligations, and dividend payments. Nevertheless, our ability to satisfy our working capital requirements and debt service obligations, fund planned capital expenditures, or dividend payments, will substantially depend upon our future operating performance (which will be affected by prevailing economic conditions), and financial, business and other factors, some of which are beyond our control.</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Net cash provided by operating activities increased by $289.7 million to $1.14 billion for the three months ended March 31, 2022, as compared to net cash provided by operating activities of $848.8 million for the three months ended March 31, 2021. Net cash provided by operating activities is derived from net earnings (loss) adjusted for non-cash operating items, gains and losses attributed to investing and financing activities and changes in operating assets and liabilities resulting from timing differences between the receipts and payments of cash, including changes in cash primarily reflecting the timing of cash collections from customers, payments to vendors and employees and tax payments in the ordinary course of business.</w:t>
      </w:r>
    </w:p>
    <w:p>
      <w:pPr>
        <w:spacing w:after="0" w:line="16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increase in net cash provided by operating activities was principally due to lower payments for restructuring activities and other special items, and the impact of synergies, partially offset by the timing of cash payments and collections.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Net cash used in investing activities was $66.9 million for the three months ended March 31, 2022, as compared to net cash provided by investing activities of $236.3 million for the three months ended March 31, 2021, a net decrease of $303.2 million.</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4" w:name="page55"/>
    <w:bookmarkEnd w:id="5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2022, significant items in investing activities included the following:</w:t>
      </w:r>
    </w:p>
    <w:p>
      <w:pPr>
        <w:spacing w:after="0" w:line="121" w:lineRule="exact"/>
        <w:rPr>
          <w:sz w:val="20"/>
          <w:szCs w:val="20"/>
          <w:color w:val="auto"/>
        </w:rPr>
      </w:pPr>
    </w:p>
    <w:p>
      <w:pPr>
        <w:ind w:left="980" w:right="20" w:hanging="324"/>
        <w:spacing w:after="0" w:line="342" w:lineRule="auto"/>
        <w:tabs>
          <w:tab w:leader="none" w:pos="975" w:val="left"/>
        </w:tabs>
        <w:numPr>
          <w:ilvl w:val="0"/>
          <w:numId w:val="37"/>
        </w:numPr>
        <w:rPr>
          <w:rFonts w:ascii="Arial" w:cs="Arial" w:eastAsia="Arial" w:hAnsi="Arial"/>
          <w:sz w:val="16"/>
          <w:szCs w:val="16"/>
          <w:color w:val="auto"/>
        </w:rPr>
      </w:pPr>
      <w:r>
        <w:rPr>
          <w:rFonts w:ascii="Arial" w:cs="Arial" w:eastAsia="Arial" w:hAnsi="Arial"/>
          <w:sz w:val="16"/>
          <w:szCs w:val="16"/>
          <w:color w:val="auto"/>
        </w:rPr>
        <w:t>capital expenditures, primarily for equipment and facilities, totaling approximately $64.5 million. While there can be no assurance that current expectations will be realized, capital expenditures for the 2022 calendar year are expected to be approximately $525 million to $675 million.</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2021, significant items in investing activities included the following:</w:t>
      </w:r>
    </w:p>
    <w:p>
      <w:pPr>
        <w:spacing w:after="0" w:line="121" w:lineRule="exact"/>
        <w:rPr>
          <w:sz w:val="20"/>
          <w:szCs w:val="20"/>
          <w:color w:val="auto"/>
        </w:rPr>
      </w:pPr>
    </w:p>
    <w:p>
      <w:pPr>
        <w:ind w:left="980" w:right="420" w:hanging="324"/>
        <w:spacing w:after="0" w:line="277" w:lineRule="auto"/>
        <w:tabs>
          <w:tab w:leader="none" w:pos="9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cash received from acquisitions, net totaling approximately $277.0 million related to additional target cash balances received from Pfizer subsequent to the closing of the Combination;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capital expenditures, primarily for equipment and facilities, totaling approximately $49.5 million.</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Net cash used in financing activities was $1.01 billion for the three months ended March 31, 2022, as compared to $1.10 billion for the three months ended March 31, 2021, a decrease of $90.8 million.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2022, significant items in financing activities included the following:</w:t>
      </w:r>
    </w:p>
    <w:p>
      <w:pPr>
        <w:spacing w:after="0" w:line="121"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net repayments of short-term borrowings of $837.9 million;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cash dividends paid of $145.1 million.</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2021, significant items in financing activities included the following:</w:t>
      </w:r>
    </w:p>
    <w:p>
      <w:pPr>
        <w:spacing w:after="0" w:line="121"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net repayments of short-term borrowings of $1.06 billion.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Capital Resources</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Our cash and cash equivalents totaled $752.4 million at March 31, 2022, and the majority of these funds are held by our non-U.S. subsidiaries. The Company anticipates having sufficient liquidity, including existing borrowing capacity under the Revolving Facility, Commercial Paper Program and the Receivables Facility and the Note Securitization Facility combined with cash to be generated from operations, to fund foreseeable cash needs without requiring the repatriation of non-U.S. cash.</w:t>
      </w:r>
    </w:p>
    <w:p>
      <w:pPr>
        <w:spacing w:after="0" w:line="187"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The Company has access to $4.0 billion under the Revolving Facility which matures in July 2026. Up to $1.65 billion of the Revolving Facility may be used to support borrowings under our Commercial Paper Program. As of March 31, 2022, the Company had $328.5 million outstanding under the Commercial Paper Program and did not have any borrowings outstanding under the Revolving Facility.</w:t>
      </w:r>
    </w:p>
    <w:p>
      <w:pPr>
        <w:spacing w:after="0" w:line="16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In addition to the Revolving Facility, MPI, a wholly owned subsidiary of the Company, has access to $400 million under the Receivables Facility. On April 22, 2022, the Company entered into an agreement to extend the expiration date of the Receivables Facility to April 22, 2025. As of March 31, 2022, the Company had $325.5 million outstanding under the Receivables Facility.</w:t>
      </w:r>
    </w:p>
    <w:p>
      <w:pPr>
        <w:spacing w:after="0" w:line="184"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In August 2020, the Company entered into the Note Securitization Facility for borrowings up to $200 million, which was amended on July 1, 2021 to extend the term to August 2022. As of March 31, 2022, the Company did not have any borrowings outstanding under the Note Securitization Facility.</w:t>
      </w:r>
    </w:p>
    <w:p>
      <w:pPr>
        <w:spacing w:after="0" w:line="124"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Under the terms of each of the Receivables Facility and Note Securitization Facility, certain of our accounts receivable secure the amounts borrowed and cannot be used to pay our other debts or liabilities. The amount that we may borrow at a given point in time is determined based on the amount of qualifying accounts receivable that are present at such point in time. Borrowings outstanding under the Receivables Facility bear interest at the applicable base rate plus 0.775% and under the Note Securitization Facility at the relevant base rate plus 0.85% and are included as a component of short-term borrowings, while the accounts receivable securing these obligations remain as a component of accounts receivable, net, in our condensed consolidated balance sheets. In addition, the agreements governing the Receivables Facility and Note Securitization Facility contain various customary affirmative and negative covenants, and customary default and termination provisions.</w:t>
      </w:r>
    </w:p>
    <w:p>
      <w:pPr>
        <w:spacing w:after="0" w:line="177"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We have entered into accounts receivable factoring agreements with financial institutions to sell certain of our non-U.S. accounts receivable. These transactions are accounted for as sales and result in a reduction in accounts receivable because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the agreements transfer effective control over and risk related to the receivables to the buyers. Our factoring agreements do not allow for recourse in the event of uncollectibility, and we do not retain any interest in the underlying accounts receivable once sold. We derecognized $55.1 million and $29.6 million of accounts receivable as of March 31, 2022 and December 31, 2021 under these factoring arrangements, respectively.</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For information regarding our dividends paid and declared, refer to Note 8 </w:t>
      </w:r>
      <w:r>
        <w:rPr>
          <w:rFonts w:ascii="Arial" w:cs="Arial" w:eastAsia="Arial" w:hAnsi="Arial"/>
          <w:sz w:val="17"/>
          <w:szCs w:val="17"/>
          <w:i w:val="1"/>
          <w:iCs w:val="1"/>
          <w:color w:val="auto"/>
        </w:rPr>
        <w:t>Earnings (Loss) per Share</w:t>
      </w:r>
      <w:r>
        <w:rPr>
          <w:rFonts w:ascii="Arial" w:cs="Arial" w:eastAsia="Arial" w:hAnsi="Arial"/>
          <w:sz w:val="17"/>
          <w:szCs w:val="17"/>
          <w:color w:val="auto"/>
        </w:rPr>
        <w:t xml:space="preserve"> in Part I, Item 1 of this Form 10-Q.</w:t>
      </w:r>
    </w:p>
    <w:p>
      <w:pPr>
        <w:spacing w:after="0" w:line="23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are continuously evaluating the potential acquisition of products, as well as companies, as a strategic part of our future growth. Consequently, we may utilize current cash reserves or incur additional indebtedness to finance any such acquisitions, which could impact future liquidity. Also, on an ongoing basis, we review our operations including the evaluation of potential divestitures of products and businesses as part of our future strategy. Any divestitures could impact future liquidity. In addition, we plan to continue to explore various other ways to create, enhance or otherwise unlock the value of the Company’s unique global platform in order to create shareholder value.</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Long-term Debt Maturity</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For information regarding our debt agreements and mandatory minimum repayments remaining on the outstanding notional amount of long-term debt at March 31, 2022, refer to Note 11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Part I, Item 1 of this Form 10-Q.</w:t>
      </w:r>
    </w:p>
    <w:p>
      <w:pPr>
        <w:spacing w:after="0" w:line="170"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The YEN Term Loan Facility and the Revolving Facility contain customary affirmative covenants for facilities of this type, including among others, covenants pertaining to the delivery of financial statements, notices of default and certain material events, maintenance of corporate existence and rights, property, and insurance and compliance with laws, as well as customary negative covenants for facilities of this type, including limitations on the incurrence of subsidiary indebtedness, liens, mergers and certain other fundamental changes, investments and loans, acquisitions, transactions with affiliates, payments of dividends and other restricted payments and changes in our lines of business.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is in compliance with its covenants at March 31, 2022 and expects to remain in compliance for the next twelve months.</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Supplemental Guarantor Financial Information</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Viatris Inc. is the issuer of the Registered Upjohn Notes, which are fully and unconditionally guaranteed on a senior unsecured basis by Mylan Inc., Mylan II B.V. and Utah Acquisition Sub Inc.</w:t>
      </w:r>
    </w:p>
    <w:p>
      <w:pPr>
        <w:spacing w:after="0" w:line="11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Following the Combination, Utah Acquisition Sub Inc. is the issuer of the Utah U.S. Dollar Notes, which are fully and unconditionally guaranteed on a senior unsecured basis by Mylan Inc., Viatris Inc. and Mylan II B.V.</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Mylan Inc. is the issuer of the Mylan Inc. U.S. Dollar Notes, which are fully and unconditionally guaranteed on a senior unsecured basis by Mylan II B.V., Viatris Inc. and Utah Acquisition Sub Inc.</w:t>
      </w:r>
    </w:p>
    <w:p>
      <w:pPr>
        <w:spacing w:after="0" w:line="19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The respective obligations of Viatris Inc., Mylan Inc., Utah Acquisition Sub Inc., and Mylan II B.V. as guarantors of the applicable series of Senior U.S. Dollar Notes are senior unsecured obligations of the applicable guarantor and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with all of such guarantor’s existing and future senior unsecured obligations that are not expressly subordinated to such guarantor’s guarantee of the applicable series of Senior U.S. Dollar Notes, rank senior in right of payment to any future obligations of such guarantor that are expressly subordinated to such guarantor’s guarantee of the applicable series of Senior U.S. Dollar Notes, and are effectively subordinated to such guarantor’s existing and future secured obligations to the extent of the value of the collateral securing such obligations. Such obligations are structurally subordinated to all of the existing and future liabilities, including trade payables, of the existing and future subsidiaries of such guarantor that do not guarantee the applicable series of Senior U.S. Dollar Notes.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The guarantees by Mylan Inc., Mylan II B.V. and Utah Acquisition Sub Inc. under the applicable series of Senior U.S. Dollar Notes will terminate under certain customary circumstances, each as described in the applicable indenture, including: (1) a sale or disposition of the applicable guarantor in a transaction that complies with the applicable indenture such that such guarantor ceases to be a subsidiary of the issuer of the applicable series of Senior U.S. Dollar Notes; (2) legal defeasance or covenant defeasance or if the issuer’s obligations under the applicable indenture are discharged; (3) with respect to the Utah U.S. Dollar Notes, the earlier to occur of (i) with respect to the guarantee provided by Mylan Inc., (x) the release of Utah Acquisition Sub Inc.’s guarantee under all applicable Mylan Inc. Debt (as defined in the applicable indenture) and (y) Mylan Inc. no longer having any obligations in respect of any Mylan Inc. Debt and (ii) with respect to the guarantee provided by Mylan II B.V., (x) the release of Mylan II B.V.’s guarantee under all applicable Triggering Indebtedness (as defined in the applicable indenture) and (y) the issuer and/or borrower of the applicable Triggering Indebtedness no longer having any obligations with respect to such Triggering Indebtedness; (4) with respect to the guarantees provided by Utah Acquisition Sub Inc. and Mylan II B.V. of the Mylan Inc. U.S. Dollar Notes, subject to certain exceptions set forth in the applicable indenture, such guarantor ceasing to be a guarantor or obligor in respect of any Triggering Indebtedness; and (5) with respect to the Registered Upjohn Notes, (a) upon the applicable guarantor no longer being an issuer or guarantor in respect of (i) Mylan Notes (as defined in the indenture governing the Registered Upjohn Notes) that have an aggregate principal amount in excess of $500.0 million or (ii) any Triggering Indebtedness; in each case, other than in respect of indebtedness or guarantees, as applicable, that are being concurrently released; or (b) upon receipt of the consent of holders of a majority of the aggregate principal amount of the outstanding notes of such series in accordance with the indenture governing the Registered Upjohn Notes.</w:t>
      </w:r>
    </w:p>
    <w:p>
      <w:pPr>
        <w:spacing w:after="0" w:line="16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guarantee obligations of Viatris Inc., Mylan Inc., Utah Acquisition Sub Inc., and Mylan II B.V. under the Senior U.S. Dollar Notes are subject to certain limitations and terms similar to those applicable to other guarantees of similar instruments, including that (i) the guarantees are subject to fraudulent transfer and conveyance laws and (ii) each guarantee is limited in amount to an amount not to exceed the maximum amount that can be guaranteed by the applicable guarantor without rendering the guarantee, as it relates to such guarantor, voidable under applicable fraudulent transfer and conveyance laws or similar laws affecting the rights of creditors generally.</w:t>
      </w:r>
    </w:p>
    <w:p>
      <w:pPr>
        <w:spacing w:after="0" w:line="21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following table presents unaudited summarized financial information of Viatris Inc., Mylan Inc., Utah Acquisition Sub Inc., and Mylan II B.V. on a combined basis as of and for the three months ended March 31, 2022 and as of and for the year ended December 31, 2021. All intercompany balances have been eliminated in consolidation. This unaudited combined summarized financial information is presented utilizing the equity method of accounting.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Combined Summarized Balance Sheet Information of</w:t>
            </w:r>
          </w:p>
        </w:tc>
        <w:tc>
          <w:tcPr>
            <w:tcW w:w="0" w:type="dxa"/>
            <w:vAlign w:val="bottom"/>
          </w:tcPr>
          <w:p>
            <w:pPr>
              <w:spacing w:after="0"/>
              <w:rPr>
                <w:sz w:val="1"/>
                <w:szCs w:val="1"/>
                <w:color w:val="auto"/>
              </w:rPr>
            </w:pPr>
          </w:p>
        </w:tc>
      </w:tr>
      <w:tr>
        <w:trPr>
          <w:trHeight w:val="162"/>
        </w:trPr>
        <w:tc>
          <w:tcPr>
            <w:tcW w:w="7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60" w:type="dxa"/>
            <w:vAlign w:val="bottom"/>
            <w:gridSpan w:val="4"/>
          </w:tcPr>
          <w:p>
            <w:pPr>
              <w:jc w:val="center"/>
              <w:ind w:right="35"/>
              <w:spacing w:after="0"/>
              <w:rPr>
                <w:sz w:val="20"/>
                <w:szCs w:val="20"/>
                <w:color w:val="auto"/>
              </w:rPr>
            </w:pPr>
            <w:r>
              <w:rPr>
                <w:rFonts w:ascii="Arial" w:cs="Arial" w:eastAsia="Arial" w:hAnsi="Arial"/>
                <w:sz w:val="14"/>
                <w:szCs w:val="14"/>
                <w:b w:val="1"/>
                <w:bCs w:val="1"/>
                <w:color w:val="auto"/>
                <w:w w:val="95"/>
              </w:rPr>
              <w:t>Viatris Inc., Mylan Inc., Utah Acquisition Sub Inc.</w:t>
            </w:r>
          </w:p>
        </w:tc>
        <w:tc>
          <w:tcPr>
            <w:tcW w:w="0" w:type="dxa"/>
            <w:vAlign w:val="bottom"/>
          </w:tcPr>
          <w:p>
            <w:pPr>
              <w:spacing w:after="0"/>
              <w:rPr>
                <w:sz w:val="1"/>
                <w:szCs w:val="1"/>
                <w:color w:val="auto"/>
              </w:rPr>
            </w:pPr>
          </w:p>
        </w:tc>
      </w:tr>
      <w:tr>
        <w:trPr>
          <w:trHeight w:val="186"/>
        </w:trPr>
        <w:tc>
          <w:tcPr>
            <w:tcW w:w="7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gridSpan w:val="4"/>
          </w:tcPr>
          <w:p>
            <w:pPr>
              <w:jc w:val="center"/>
              <w:ind w:right="35"/>
              <w:spacing w:after="0"/>
              <w:rPr>
                <w:sz w:val="20"/>
                <w:szCs w:val="20"/>
                <w:color w:val="auto"/>
              </w:rPr>
            </w:pPr>
            <w:r>
              <w:rPr>
                <w:rFonts w:ascii="Arial" w:cs="Arial" w:eastAsia="Arial" w:hAnsi="Arial"/>
                <w:sz w:val="14"/>
                <w:szCs w:val="14"/>
                <w:b w:val="1"/>
                <w:bCs w:val="1"/>
                <w:color w:val="auto"/>
                <w:w w:val="98"/>
              </w:rPr>
              <w:t>and Mylan II B.V.</w:t>
            </w:r>
          </w:p>
        </w:tc>
        <w:tc>
          <w:tcPr>
            <w:tcW w:w="0" w:type="dxa"/>
            <w:vAlign w:val="bottom"/>
          </w:tcPr>
          <w:p>
            <w:pPr>
              <w:spacing w:after="0"/>
              <w:rPr>
                <w:sz w:val="1"/>
                <w:szCs w:val="1"/>
                <w:color w:val="auto"/>
              </w:rPr>
            </w:pPr>
          </w:p>
        </w:tc>
      </w:tr>
      <w:tr>
        <w:trPr>
          <w:trHeight w:val="25"/>
        </w:trPr>
        <w:tc>
          <w:tcPr>
            <w:tcW w:w="77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7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 2022</w:t>
            </w:r>
          </w:p>
        </w:tc>
        <w:tc>
          <w:tcPr>
            <w:tcW w:w="120" w:type="dxa"/>
            <w:vAlign w:val="bottom"/>
          </w:tcPr>
          <w:p>
            <w:pPr>
              <w:spacing w:after="0"/>
              <w:rPr>
                <w:sz w:val="15"/>
                <w:szCs w:val="15"/>
                <w:color w:val="auto"/>
              </w:rPr>
            </w:pPr>
          </w:p>
        </w:tc>
        <w:tc>
          <w:tcPr>
            <w:tcW w:w="1520" w:type="dxa"/>
            <w:vAlign w:val="bottom"/>
          </w:tcPr>
          <w:p>
            <w:pPr>
              <w:jc w:val="center"/>
              <w:ind w:right="35"/>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212"/>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60,622.5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60,298.0</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23,619.9</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15,625.0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16,465.6</w:t>
            </w:r>
          </w:p>
        </w:tc>
        <w:tc>
          <w:tcPr>
            <w:tcW w:w="0" w:type="dxa"/>
            <w:vAlign w:val="bottom"/>
          </w:tcPr>
          <w:p>
            <w:pPr>
              <w:spacing w:after="0"/>
              <w:rPr>
                <w:sz w:val="1"/>
                <w:szCs w:val="1"/>
                <w:color w:val="auto"/>
              </w:rPr>
            </w:pPr>
          </w:p>
        </w:tc>
      </w:tr>
      <w:tr>
        <w:trPr>
          <w:trHeight w:val="287"/>
        </w:trPr>
        <w:tc>
          <w:tcPr>
            <w:tcW w:w="7780" w:type="dxa"/>
            <w:vAlign w:val="bottom"/>
          </w:tcPr>
          <w:p>
            <w:pPr>
              <w:spacing w:after="0"/>
              <w:rPr>
                <w:sz w:val="24"/>
                <w:szCs w:val="24"/>
                <w:color w:val="auto"/>
              </w:rPr>
            </w:pPr>
          </w:p>
        </w:tc>
        <w:tc>
          <w:tcPr>
            <w:tcW w:w="34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4"/>
              </w:rPr>
              <w:t>Combined Summarized Income Statement Information</w:t>
            </w:r>
          </w:p>
        </w:tc>
        <w:tc>
          <w:tcPr>
            <w:tcW w:w="0" w:type="dxa"/>
            <w:vAlign w:val="bottom"/>
          </w:tcPr>
          <w:p>
            <w:pPr>
              <w:spacing w:after="0"/>
              <w:rPr>
                <w:sz w:val="1"/>
                <w:szCs w:val="1"/>
                <w:color w:val="auto"/>
              </w:rPr>
            </w:pPr>
          </w:p>
        </w:tc>
      </w:tr>
      <w:tr>
        <w:trPr>
          <w:trHeight w:val="162"/>
        </w:trPr>
        <w:tc>
          <w:tcPr>
            <w:tcW w:w="7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5"/>
              </w:rPr>
              <w:t>of Viatris Inc., Mylan Inc., Utah Acquisition Sub Inc.</w:t>
            </w:r>
          </w:p>
        </w:tc>
        <w:tc>
          <w:tcPr>
            <w:tcW w:w="0" w:type="dxa"/>
            <w:vAlign w:val="bottom"/>
          </w:tcPr>
          <w:p>
            <w:pPr>
              <w:spacing w:after="0"/>
              <w:rPr>
                <w:sz w:val="1"/>
                <w:szCs w:val="1"/>
                <w:color w:val="auto"/>
              </w:rPr>
            </w:pPr>
          </w:p>
        </w:tc>
      </w:tr>
      <w:tr>
        <w:trPr>
          <w:trHeight w:val="186"/>
        </w:trPr>
        <w:tc>
          <w:tcPr>
            <w:tcW w:w="7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gridSpan w:val="4"/>
          </w:tcPr>
          <w:p>
            <w:pPr>
              <w:jc w:val="center"/>
              <w:ind w:right="115"/>
              <w:spacing w:after="0"/>
              <w:rPr>
                <w:sz w:val="20"/>
                <w:szCs w:val="20"/>
                <w:color w:val="auto"/>
              </w:rPr>
            </w:pPr>
            <w:r>
              <w:rPr>
                <w:rFonts w:ascii="Arial" w:cs="Arial" w:eastAsia="Arial" w:hAnsi="Arial"/>
                <w:sz w:val="14"/>
                <w:szCs w:val="14"/>
                <w:b w:val="1"/>
                <w:bCs w:val="1"/>
                <w:color w:val="auto"/>
                <w:w w:val="98"/>
              </w:rPr>
              <w:t>and Mylan II B.V.</w:t>
            </w:r>
          </w:p>
        </w:tc>
        <w:tc>
          <w:tcPr>
            <w:tcW w:w="0" w:type="dxa"/>
            <w:vAlign w:val="bottom"/>
          </w:tcPr>
          <w:p>
            <w:pPr>
              <w:spacing w:after="0"/>
              <w:rPr>
                <w:sz w:val="1"/>
                <w:szCs w:val="1"/>
                <w:color w:val="auto"/>
              </w:rPr>
            </w:pPr>
          </w:p>
        </w:tc>
      </w:tr>
      <w:tr>
        <w:trPr>
          <w:trHeight w:val="25"/>
        </w:trPr>
        <w:tc>
          <w:tcPr>
            <w:tcW w:w="77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77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1"/>
                <w:szCs w:val="11"/>
                <w:color w:val="auto"/>
              </w:rPr>
            </w:pPr>
          </w:p>
        </w:tc>
        <w:tc>
          <w:tcPr>
            <w:tcW w:w="1520" w:type="dxa"/>
            <w:vAlign w:val="bottom"/>
          </w:tcPr>
          <w:p>
            <w:pPr>
              <w:jc w:val="center"/>
              <w:ind w:right="15"/>
              <w:spacing w:after="0" w:line="129" w:lineRule="exact"/>
              <w:rPr>
                <w:sz w:val="20"/>
                <w:szCs w:val="20"/>
                <w:color w:val="auto"/>
              </w:rPr>
            </w:pPr>
            <w:r>
              <w:rPr>
                <w:rFonts w:ascii="Arial" w:cs="Arial" w:eastAsia="Arial" w:hAnsi="Arial"/>
                <w:sz w:val="14"/>
                <w:szCs w:val="14"/>
                <w:b w:val="1"/>
                <w:bCs w:val="1"/>
                <w:color w:val="auto"/>
                <w:w w:val="92"/>
              </w:rPr>
              <w:t>Year Ended December</w:t>
            </w:r>
          </w:p>
        </w:tc>
        <w:tc>
          <w:tcPr>
            <w:tcW w:w="0" w:type="dxa"/>
            <w:vAlign w:val="bottom"/>
          </w:tcPr>
          <w:p>
            <w:pPr>
              <w:spacing w:after="0"/>
              <w:rPr>
                <w:sz w:val="1"/>
                <w:szCs w:val="1"/>
                <w:color w:val="auto"/>
              </w:rPr>
            </w:pPr>
          </w:p>
        </w:tc>
      </w:tr>
      <w:tr>
        <w:trPr>
          <w:trHeight w:val="186"/>
        </w:trPr>
        <w:tc>
          <w:tcPr>
            <w:tcW w:w="7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March 31, 2022</w:t>
            </w:r>
          </w:p>
        </w:tc>
        <w:tc>
          <w:tcPr>
            <w:tcW w:w="120" w:type="dxa"/>
            <w:vAlign w:val="bottom"/>
          </w:tcPr>
          <w:p>
            <w:pPr>
              <w:spacing w:after="0"/>
              <w:rPr>
                <w:sz w:val="16"/>
                <w:szCs w:val="16"/>
                <w:color w:val="auto"/>
              </w:rPr>
            </w:pPr>
          </w:p>
        </w:tc>
        <w:tc>
          <w:tcPr>
            <w:tcW w:w="1520" w:type="dxa"/>
            <w:vAlign w:val="bottom"/>
          </w:tcPr>
          <w:p>
            <w:pPr>
              <w:jc w:val="center"/>
              <w:ind w:right="15"/>
              <w:spacing w:after="0"/>
              <w:rPr>
                <w:sz w:val="20"/>
                <w:szCs w:val="20"/>
                <w:color w:val="auto"/>
              </w:rPr>
            </w:pPr>
            <w:r>
              <w:rPr>
                <w:rFonts w:ascii="Arial" w:cs="Arial" w:eastAsia="Arial" w:hAnsi="Arial"/>
                <w:sz w:val="14"/>
                <w:szCs w:val="14"/>
                <w:b w:val="1"/>
                <w:bCs w:val="1"/>
                <w:color w:val="auto"/>
                <w:w w:val="91"/>
              </w:rPr>
              <w:t>31, 2021</w:t>
            </w:r>
          </w:p>
        </w:tc>
        <w:tc>
          <w:tcPr>
            <w:tcW w:w="0" w:type="dxa"/>
            <w:vAlign w:val="bottom"/>
          </w:tcPr>
          <w:p>
            <w:pPr>
              <w:spacing w:after="0"/>
              <w:rPr>
                <w:sz w:val="1"/>
                <w:szCs w:val="1"/>
                <w:color w:val="auto"/>
              </w:rPr>
            </w:pPr>
          </w:p>
        </w:tc>
      </w:tr>
      <w:tr>
        <w:trPr>
          <w:trHeight w:val="226"/>
        </w:trPr>
        <w:tc>
          <w:tcPr>
            <w:tcW w:w="7780" w:type="dxa"/>
            <w:vAlign w:val="bottom"/>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(1,023.9)</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Commitments</w:t>
      </w:r>
    </w:p>
    <w:p>
      <w:pPr>
        <w:spacing w:after="0" w:line="225" w:lineRule="exact"/>
        <w:rPr>
          <w:sz w:val="20"/>
          <w:szCs w:val="20"/>
          <w:color w:val="auto"/>
        </w:rPr>
      </w:pPr>
    </w:p>
    <w:p>
      <w:pPr>
        <w:ind w:right="440" w:firstLine="648"/>
        <w:spacing w:after="0" w:line="259" w:lineRule="auto"/>
        <w:rPr>
          <w:sz w:val="20"/>
          <w:szCs w:val="20"/>
          <w:color w:val="auto"/>
        </w:rPr>
      </w:pPr>
      <w:r>
        <w:rPr>
          <w:rFonts w:ascii="Arial" w:cs="Arial" w:eastAsia="Arial" w:hAnsi="Arial"/>
          <w:sz w:val="18"/>
          <w:szCs w:val="18"/>
          <w:color w:val="auto"/>
        </w:rPr>
        <w:t>The Company is involved in various disputes, governmental and/or regulatory inquiries, investigations and proceedings, tax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 We have approximately $590.9 million accrued for legal contingencies at March 31, 2022.</w:t>
      </w:r>
    </w:p>
    <w:p>
      <w:pPr>
        <w:spacing w:after="0" w:line="187"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While the Company believes that it has meritorious defenses with respect to the claims asserted against it and the assumed legal matters referenced above,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and/or stock price.</w:t>
      </w:r>
    </w:p>
    <w:p>
      <w:pPr>
        <w:spacing w:after="0" w:line="157"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In conjunction with the Combination, Viatris entered into a TSA with Pfizer pursuant to which each party will provide certain limited transition services to the other party generally for an initial period of 24 months from the closing date of the Combination. In addition to the monthly service fees under the TSA, Viatris agreed to reimburse Pfizer for fifty percent of the costs, up to the first $380 million incurred, to establish and wind down the TSA services. Viatris will be required to fully reimburse Pfizer for total costs in excess of $380 million. The Company incurred approximately $16.6 million related to this provision of the TSA during the three months ended March 31, 2022 and approximately $100.1 million during the period beginning on the closing date of the Combination and ended March 31, 2022.</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Application of Critical Accounting Policies</w:t>
      </w:r>
    </w:p>
    <w:p>
      <w:pPr>
        <w:spacing w:after="0" w:line="225"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There have been no changes to the Critical Accounting Policies disclosed in Viatris’ 2021 Form 10-K. The following discussion supplements our Critical Accounting Policy for Acquisitions, Intangible Assets, Goodwill and Contingent Consideration as it relates to the annual goodwill impairment test performed as of March 31, 2022.</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performed its interim goodwill impairment test on a quantitative basis for its five reporting units, North America, Europe, Emerging Markets, JANZ, and Greater China. In estimating each reporting unit’s fair value, the Company performed an extensive valuation analysis, utilizing both income and market-based approaches. The determination of the fair value of the reporting units requires the Company to make significant estimates and assumptions that affect the reporting unit’s expected future cash flows. These estimates and assumptions, utilizing Level 3 inputs, primarily include, but are not limited to, market multiples, control premiums, the discount rate, terminal growth rates, operating income before depreciation and amortization, and capital expenditures forecasts.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March 31, 2022, the allocation of the Company’s total goodwill (prior to the reclassification of goodwill to assets held for sale) was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 North America $3.61 billion, Europe $4.95 billion, Emerging Markets $1.64 billion, JANZ $0.78 billion and Greater China $0.97 billion.</w:t>
      </w:r>
    </w:p>
    <w:p>
      <w:pPr>
        <w:spacing w:after="0" w:line="21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As of March 31, 2022, the Company determined that the fair value of the North America and Greater China reporting units was substantially in excess of the respective unit’s carrying value.</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For the Europe reporting unit, the estimated fair value exceeded its carrying value by approximately $797 million or 5.3% for the interim goodwill impairment test. As it relates to the income approach for the Europe reporting unit at March 31, 2022, the Company forecasted cash flows for the next 10 years. During the forecast period, the revenue compound annual growth rate was approximately 0.5%. A terminal year value was calculated with a negative 1.0% revenue growth rate applied. The discount rate utilized was 9.5% and the estimated tax rate was 15.3%. Under the market-based approach, we utilized an estimated range of market multiples of 7.5 to 8.0 times EBITDA plus a control premium of 15.0%. If all other assumptions are held constant, a reduction in the terminal value growth rate by 3.0% or an increase in discount rate by 1.5% would result in an impairment charge for the Europe reporting unit.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For the JANZ reporting unit, the estimated fair value exceeded its carrying value by approximately $231 million or 7.4% for the interim goodwill impairment test. As it relates to the income approach for the JANZ reporting unit at March 31, 2022, the Company forecasted cash flows for the next 10 years. During the forecast period, the revenue compound annual growth rate was approximately negative 4.8%. A terminal year value was calculated assuming no revenue growth. The discount rate utilized was 6.0% and the estimated tax rate was 30.4%. Under the market-based approach, we utilized an estimated market multiple of 6.0 times EBITDA plus a control premium of 15.0%. If all other assumptions are held constant, a reduction in the terminal value growth rate by 3.5% or an increase in discount rate by 2.0% would result in an impairment charge for the JANZ reporting unit.</w:t>
      </w:r>
    </w:p>
    <w:p>
      <w:pPr>
        <w:spacing w:after="0" w:line="16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For the Emerging Markets reporting unit, the estimated fair value exceeded its carrying value by approximately $816 million or 10.3% for the interim goodwill impairment test. As it relates to the income approach for the Emerging Markets reporting unit at March 31, 2022, the Company forecasted cash flows for the next 10 years. During the forecast period, the revenue compound annual growth rate was approximately 1.6%. A terminal year value was calculated with a 0.8% revenue growth rate applied. The discount rate utilized was 10.5% and the estimated tax rate was 18.4%. Under the market-based approach, we utilized an estimated market multiple of 7.5 times EBITDA plus a control premium of 15.0%. If all other assumptions are held constant, a reduction in the terminal value growth rate by approximately 8.5% or an increase in discount rate by 3.0% would result in an impairment charge for the Emerging Markets reporting unit.</w:t>
      </w:r>
    </w:p>
    <w:p>
      <w:pPr>
        <w:spacing w:after="0" w:line="19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Due to the inherent uncertainty involved in making these estimates, actual results could differ from those estimates. In addition, changes in underlying assumptions, especially as they relate to the key assumptions detailed, could have a significant impact on the fair value of the reporting units.</w:t>
      </w:r>
    </w:p>
    <w:p>
      <w:pPr>
        <w:spacing w:after="0" w:line="200" w:lineRule="exact"/>
        <w:rPr>
          <w:sz w:val="20"/>
          <w:szCs w:val="20"/>
          <w:color w:val="auto"/>
        </w:rPr>
      </w:pPr>
    </w:p>
    <w:p>
      <w:pPr>
        <w:spacing w:after="0" w:line="37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For a discussion of the Company’s market risk, see “Item 7A. Quantitative and Qualitative Disclosures about Market Risk” in Viatris’ 2021 Form 10-K.</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An evaluation was performed under the supervision and with the participation of the Company’s management, including the Principal Executive Officer and the Principal Financial Officer, of the effectiveness of the design and operation of the Company’s disclosure controls and procedures as of March 31, 2022. Based upon that evaluation, the Principal Executive Officer and the Principal Financial Officer concluded that the Company’s disclosure controls and procedures were effective.</w:t>
      </w:r>
    </w:p>
    <w:p>
      <w:pPr>
        <w:spacing w:after="0" w:line="187"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Management identified the following change in the Company’s internal control over financial reporting (“ICFR”) that occurred during the quarter that has materially affected, or is reasonably likely to materially affect, the Company’s ICFR. During the quarter ended March 31, 2022, the Company continued to transition certain support services from Pfizer, as well as certain subsidiaries, to a new ERP system. The Company has modified and will continue to modify its internal controls relating to its business and financial processes throughout the transition period, which is expected through the end of calendar year 2022. While the Company believes that this new system and the related changes to internal controls will ultimately strengthen its ICFR, there are inherent risks in implementing any new ERP system and the Company will continue to evaluate and test control changes in order to provide certification as of its fiscal year ending December 31, 2022 on the effectiveness of its ICFR.</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9" w:name="page60"/>
    <w:bookmarkEnd w:id="5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For information regarding legal proceedings, refer to Note 17 </w:t>
      </w:r>
      <w:r>
        <w:rPr>
          <w:rFonts w:ascii="Arial" w:cs="Arial" w:eastAsia="Arial" w:hAnsi="Arial"/>
          <w:sz w:val="16"/>
          <w:szCs w:val="16"/>
          <w:i w:val="1"/>
          <w:iCs w:val="1"/>
          <w:color w:val="auto"/>
        </w:rPr>
        <w:t>Litigation</w:t>
      </w:r>
      <w:r>
        <w:rPr>
          <w:rFonts w:ascii="Arial" w:cs="Arial" w:eastAsia="Arial" w:hAnsi="Arial"/>
          <w:sz w:val="16"/>
          <w:szCs w:val="16"/>
          <w:color w:val="auto"/>
        </w:rPr>
        <w:t>, in the accompanying Notes to interim financial statements in this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10-Q.</w:t>
      </w:r>
    </w:p>
    <w:p>
      <w:pPr>
        <w:spacing w:after="0" w:line="200" w:lineRule="exact"/>
        <w:rPr>
          <w:sz w:val="20"/>
          <w:szCs w:val="20"/>
          <w:color w:val="auto"/>
        </w:rPr>
      </w:pPr>
    </w:p>
    <w:p>
      <w:pPr>
        <w:spacing w:after="0" w:line="25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material changes in the Company’s risk factors from those disclosed in Viatris’ 2021 Form 10-K.</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60" w:type="dxa"/>
            <w:vAlign w:val="bottom"/>
            <w:gridSpan w:val="2"/>
          </w:tcPr>
          <w:p>
            <w:pPr>
              <w:jc w:val="right"/>
              <w:ind w:right="420"/>
              <w:spacing w:after="0"/>
              <w:rPr>
                <w:rFonts w:ascii="Arial" w:cs="Arial" w:eastAsia="Arial" w:hAnsi="Arial"/>
                <w:sz w:val="18"/>
                <w:szCs w:val="18"/>
                <w:color w:val="0000FF"/>
                <w:w w:val="87"/>
              </w:rPr>
            </w:pPr>
            <w:hyperlink r:id="rId89">
              <w:r>
                <w:rPr>
                  <w:rFonts w:ascii="Arial" w:cs="Arial" w:eastAsia="Arial" w:hAnsi="Arial"/>
                  <w:sz w:val="18"/>
                  <w:szCs w:val="18"/>
                  <w:color w:val="0000FF"/>
                  <w:w w:val="87"/>
                </w:rPr>
                <w:t>2.</w:t>
              </w:r>
              <w:r>
                <w:rPr>
                  <w:rFonts w:ascii="Arial" w:cs="Arial" w:eastAsia="Arial" w:hAnsi="Arial"/>
                  <w:sz w:val="18"/>
                  <w:szCs w:val="18"/>
                  <w:u w:val="single" w:color="auto"/>
                  <w:color w:val="0000FF"/>
                  <w:w w:val="87"/>
                </w:rPr>
                <w:t>1</w:t>
              </w:r>
            </w:hyperlink>
          </w:p>
        </w:tc>
        <w:tc>
          <w:tcPr>
            <w:tcW w:w="10440" w:type="dxa"/>
            <w:vAlign w:val="bottom"/>
          </w:tcPr>
          <w:p>
            <w:pPr>
              <w:ind w:left="440"/>
              <w:spacing w:after="0"/>
              <w:rPr>
                <w:sz w:val="20"/>
                <w:szCs w:val="20"/>
                <w:color w:val="auto"/>
              </w:rPr>
            </w:pPr>
            <w:r>
              <w:rPr>
                <w:rFonts w:ascii="Arial" w:cs="Arial" w:eastAsia="Arial" w:hAnsi="Arial"/>
                <w:sz w:val="18"/>
                <w:szCs w:val="18"/>
                <w:color w:val="auto"/>
                <w:w w:val="91"/>
              </w:rPr>
              <w:t>Transaction Agreement, dated as of February 27, 2022, by and among Biocon Biologics Limited and Viatris Inc., filed as Exhibit 2.1 to the</w:t>
            </w:r>
          </w:p>
        </w:tc>
      </w:tr>
      <w:tr>
        <w:trPr>
          <w:trHeight w:val="210"/>
        </w:trPr>
        <w:tc>
          <w:tcPr>
            <w:tcW w:w="240" w:type="dxa"/>
            <w:vAlign w:val="bottom"/>
            <w:tcBorders>
              <w:top w:val="single" w:sz="8" w:color="0000FF"/>
            </w:tcBorders>
          </w:tcPr>
          <w:p>
            <w:pPr>
              <w:spacing w:after="0"/>
              <w:rPr>
                <w:sz w:val="18"/>
                <w:szCs w:val="18"/>
                <w:color w:val="auto"/>
              </w:rPr>
            </w:pPr>
          </w:p>
        </w:tc>
        <w:tc>
          <w:tcPr>
            <w:tcW w:w="420" w:type="dxa"/>
            <w:vAlign w:val="bottom"/>
          </w:tcPr>
          <w:p>
            <w:pPr>
              <w:spacing w:after="0"/>
              <w:rPr>
                <w:sz w:val="18"/>
                <w:szCs w:val="18"/>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rPr>
              <w:t>Report on Form 8-K filed by Viatris Inc. with the SEC on February 28, 2022, and incorporated herein by reference.*</w:t>
            </w:r>
          </w:p>
        </w:tc>
      </w:tr>
    </w:tbl>
    <w:p>
      <w:pPr>
        <w:spacing w:after="0" w:line="228" w:lineRule="exact"/>
        <w:rPr>
          <w:sz w:val="20"/>
          <w:szCs w:val="20"/>
          <w:color w:val="auto"/>
        </w:rPr>
      </w:pPr>
    </w:p>
    <w:p>
      <w:pPr>
        <w:ind w:left="1120" w:right="160" w:hanging="1094"/>
        <w:spacing w:after="0" w:line="235" w:lineRule="auto"/>
        <w:tabs>
          <w:tab w:leader="none" w:pos="1120" w:val="left"/>
        </w:tabs>
        <w:numPr>
          <w:ilvl w:val="0"/>
          <w:numId w:val="41"/>
        </w:numPr>
        <w:rPr>
          <w:rFonts w:ascii="Arial" w:cs="Arial" w:eastAsia="Arial" w:hAnsi="Arial"/>
          <w:sz w:val="18"/>
          <w:szCs w:val="18"/>
          <w:u w:val="single" w:color="auto"/>
          <w:color w:val="0000FF"/>
        </w:rPr>
      </w:pPr>
      <w:r>
        <w:rPr>
          <w:rFonts w:ascii="Arial" w:cs="Arial" w:eastAsia="Arial" w:hAnsi="Arial"/>
          <w:sz w:val="18"/>
          <w:szCs w:val="18"/>
          <w:color w:val="auto"/>
        </w:rPr>
        <w:t>List of subsidiary guarantors and issuers of guaranteed securities, filed as Exhibit 22 to the Form 10-K for the fiscal year ended December 31, 2021, and incorporated herein by reference.</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20" w:type="dxa"/>
            <w:vAlign w:val="bottom"/>
            <w:tcBorders>
              <w:bottom w:val="single" w:sz="8" w:color="0000FF"/>
            </w:tcBorders>
          </w:tcPr>
          <w:p>
            <w:pPr>
              <w:jc w:val="right"/>
              <w:spacing w:after="0"/>
              <w:rPr>
                <w:rFonts w:ascii="Arial" w:cs="Arial" w:eastAsia="Arial" w:hAnsi="Arial"/>
                <w:sz w:val="18"/>
                <w:szCs w:val="18"/>
                <w:color w:val="0000FF"/>
                <w:w w:val="85"/>
              </w:rPr>
            </w:pPr>
            <w:hyperlink w:anchor="page62">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8260" w:type="dxa"/>
            <w:vAlign w:val="bottom"/>
          </w:tcPr>
          <w:p>
            <w:pPr>
              <w:ind w:left="780"/>
              <w:spacing w:after="0"/>
              <w:rPr>
                <w:sz w:val="20"/>
                <w:szCs w:val="20"/>
                <w:color w:val="auto"/>
              </w:rPr>
            </w:pPr>
            <w:r>
              <w:rPr>
                <w:rFonts w:ascii="Arial" w:cs="Arial" w:eastAsia="Arial" w:hAnsi="Arial"/>
                <w:sz w:val="18"/>
                <w:szCs w:val="18"/>
                <w:color w:val="auto"/>
                <w:w w:val="92"/>
              </w:rPr>
              <w:t>Certification of Principal Executive Officer pursuant to Section 302 of the Sarbanes-Oxley Act of 2002.</w:t>
            </w:r>
          </w:p>
        </w:tc>
      </w:tr>
      <w:tr>
        <w:trPr>
          <w:trHeight w:val="426"/>
        </w:trPr>
        <w:tc>
          <w:tcPr>
            <w:tcW w:w="320" w:type="dxa"/>
            <w:vAlign w:val="bottom"/>
            <w:tcBorders>
              <w:bottom w:val="single" w:sz="8" w:color="0000FF"/>
            </w:tcBorders>
          </w:tcPr>
          <w:p>
            <w:pPr>
              <w:jc w:val="right"/>
              <w:spacing w:after="0"/>
              <w:rPr>
                <w:rFonts w:ascii="Arial" w:cs="Arial" w:eastAsia="Arial" w:hAnsi="Arial"/>
                <w:sz w:val="18"/>
                <w:szCs w:val="18"/>
                <w:color w:val="0000FF"/>
                <w:w w:val="85"/>
              </w:rPr>
            </w:pPr>
            <w:hyperlink w:anchor="page63">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8260" w:type="dxa"/>
            <w:vAlign w:val="bottom"/>
          </w:tcPr>
          <w:p>
            <w:pPr>
              <w:ind w:left="780"/>
              <w:spacing w:after="0"/>
              <w:rPr>
                <w:sz w:val="20"/>
                <w:szCs w:val="20"/>
                <w:color w:val="auto"/>
              </w:rPr>
            </w:pPr>
            <w:r>
              <w:rPr>
                <w:rFonts w:ascii="Arial" w:cs="Arial" w:eastAsia="Arial" w:hAnsi="Arial"/>
                <w:sz w:val="18"/>
                <w:szCs w:val="18"/>
                <w:color w:val="auto"/>
                <w:w w:val="92"/>
              </w:rPr>
              <w:t>Certification of Principal Financial Officer pursuant to Section 302 of the Sarbanes-Oxley Act of 2002.</w:t>
            </w:r>
          </w:p>
        </w:tc>
      </w:tr>
    </w:tbl>
    <w:p>
      <w:pPr>
        <w:spacing w:after="0" w:line="242" w:lineRule="exact"/>
        <w:rPr>
          <w:sz w:val="20"/>
          <w:szCs w:val="20"/>
          <w:color w:val="auto"/>
        </w:rPr>
      </w:pPr>
    </w:p>
    <w:p>
      <w:pPr>
        <w:ind w:left="1120" w:hanging="1094"/>
        <w:spacing w:after="0"/>
        <w:tabs>
          <w:tab w:leader="none" w:pos="1120" w:val="left"/>
        </w:tabs>
        <w:numPr>
          <w:ilvl w:val="0"/>
          <w:numId w:val="42"/>
        </w:numPr>
        <w:rPr>
          <w:rFonts w:ascii="Arial" w:cs="Arial" w:eastAsia="Arial" w:hAnsi="Arial"/>
          <w:sz w:val="17"/>
          <w:szCs w:val="17"/>
          <w:u w:val="single" w:color="auto"/>
          <w:color w:val="0000FF"/>
        </w:rPr>
      </w:pPr>
      <w:r>
        <w:rPr>
          <w:rFonts w:ascii="Arial" w:cs="Arial" w:eastAsia="Arial" w:hAnsi="Arial"/>
          <w:sz w:val="17"/>
          <w:szCs w:val="17"/>
          <w:color w:val="auto"/>
        </w:rPr>
        <w:t>Certification of Principal Executive Officer and Principal Financial Officer pursuant to Section 906 of the Sarbanes-Oxley Act of 2002.</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4360" w:type="dxa"/>
            <w:vAlign w:val="bottom"/>
          </w:tcPr>
          <w:p>
            <w:pPr>
              <w:ind w:left="200"/>
              <w:spacing w:after="0"/>
              <w:rPr>
                <w:sz w:val="20"/>
                <w:szCs w:val="20"/>
                <w:color w:val="auto"/>
              </w:rPr>
            </w:pPr>
            <w:r>
              <w:rPr>
                <w:rFonts w:ascii="Arial" w:cs="Arial" w:eastAsia="Arial" w:hAnsi="Arial"/>
                <w:sz w:val="18"/>
                <w:szCs w:val="18"/>
                <w:color w:val="auto"/>
              </w:rPr>
              <w:t>Inline XBRL Instance Document</w:t>
            </w:r>
          </w:p>
        </w:tc>
      </w:tr>
      <w:tr>
        <w:trPr>
          <w:trHeight w:val="445"/>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4360" w:type="dxa"/>
            <w:vAlign w:val="bottom"/>
          </w:tcPr>
          <w:p>
            <w:pPr>
              <w:ind w:left="200"/>
              <w:spacing w:after="0"/>
              <w:rPr>
                <w:sz w:val="20"/>
                <w:szCs w:val="20"/>
                <w:color w:val="auto"/>
              </w:rPr>
            </w:pPr>
            <w:r>
              <w:rPr>
                <w:rFonts w:ascii="Arial" w:cs="Arial" w:eastAsia="Arial" w:hAnsi="Arial"/>
                <w:sz w:val="18"/>
                <w:szCs w:val="18"/>
                <w:color w:val="auto"/>
              </w:rPr>
              <w:t>Inline XBRL Taxonomy Extension Schema</w:t>
            </w:r>
          </w:p>
        </w:tc>
      </w:tr>
      <w:tr>
        <w:trPr>
          <w:trHeight w:val="445"/>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4360" w:type="dxa"/>
            <w:vAlign w:val="bottom"/>
          </w:tcPr>
          <w:p>
            <w:pPr>
              <w:ind w:left="200"/>
              <w:spacing w:after="0"/>
              <w:rPr>
                <w:sz w:val="20"/>
                <w:szCs w:val="20"/>
                <w:color w:val="auto"/>
              </w:rPr>
            </w:pPr>
            <w:r>
              <w:rPr>
                <w:rFonts w:ascii="Arial" w:cs="Arial" w:eastAsia="Arial" w:hAnsi="Arial"/>
                <w:sz w:val="18"/>
                <w:szCs w:val="18"/>
                <w:color w:val="auto"/>
                <w:w w:val="94"/>
              </w:rPr>
              <w:t>Inline XBRL Taxonomy Extension Calculation Linkbase</w:t>
            </w:r>
          </w:p>
        </w:tc>
      </w:tr>
      <w:tr>
        <w:trPr>
          <w:trHeight w:val="445"/>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4360" w:type="dxa"/>
            <w:vAlign w:val="bottom"/>
          </w:tcPr>
          <w:p>
            <w:pPr>
              <w:ind w:left="200"/>
              <w:spacing w:after="0"/>
              <w:rPr>
                <w:sz w:val="20"/>
                <w:szCs w:val="20"/>
                <w:color w:val="auto"/>
              </w:rPr>
            </w:pPr>
            <w:r>
              <w:rPr>
                <w:rFonts w:ascii="Arial" w:cs="Arial" w:eastAsia="Arial" w:hAnsi="Arial"/>
                <w:sz w:val="18"/>
                <w:szCs w:val="18"/>
                <w:color w:val="auto"/>
              </w:rPr>
              <w:t>Inline XBRL Taxonomy Definition Linkbase</w:t>
            </w:r>
          </w:p>
        </w:tc>
      </w:tr>
      <w:tr>
        <w:trPr>
          <w:trHeight w:val="445"/>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4360" w:type="dxa"/>
            <w:vAlign w:val="bottom"/>
          </w:tcPr>
          <w:p>
            <w:pPr>
              <w:ind w:left="200"/>
              <w:spacing w:after="0"/>
              <w:rPr>
                <w:sz w:val="20"/>
                <w:szCs w:val="20"/>
                <w:color w:val="auto"/>
              </w:rPr>
            </w:pPr>
            <w:r>
              <w:rPr>
                <w:rFonts w:ascii="Arial" w:cs="Arial" w:eastAsia="Arial" w:hAnsi="Arial"/>
                <w:sz w:val="18"/>
                <w:szCs w:val="18"/>
                <w:color w:val="auto"/>
              </w:rPr>
              <w:t>Inline XBRL Taxonomy Extension Label Linkbase</w:t>
            </w:r>
          </w:p>
        </w:tc>
      </w:tr>
      <w:tr>
        <w:trPr>
          <w:trHeight w:val="446"/>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4360" w:type="dxa"/>
            <w:vAlign w:val="bottom"/>
          </w:tcPr>
          <w:p>
            <w:pPr>
              <w:ind w:left="200"/>
              <w:spacing w:after="0"/>
              <w:rPr>
                <w:sz w:val="20"/>
                <w:szCs w:val="20"/>
                <w:color w:val="auto"/>
              </w:rPr>
            </w:pPr>
            <w:r>
              <w:rPr>
                <w:rFonts w:ascii="Arial" w:cs="Arial" w:eastAsia="Arial" w:hAnsi="Arial"/>
                <w:sz w:val="18"/>
                <w:szCs w:val="18"/>
                <w:color w:val="auto"/>
                <w:w w:val="91"/>
              </w:rPr>
              <w:t>Inline XBRL Taxonomy Extension Presentation Linkbase</w:t>
            </w:r>
          </w:p>
        </w:tc>
      </w:tr>
    </w:tbl>
    <w:p>
      <w:pPr>
        <w:spacing w:after="0" w:line="269" w:lineRule="exact"/>
        <w:rPr>
          <w:sz w:val="20"/>
          <w:szCs w:val="20"/>
          <w:color w:val="auto"/>
        </w:rPr>
      </w:pPr>
    </w:p>
    <w:p>
      <w:pPr>
        <w:ind w:left="1120" w:hanging="1094"/>
        <w:spacing w:after="0" w:line="235" w:lineRule="auto"/>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 (included in Exhibit 101).</w:t>
      </w:r>
    </w:p>
    <w:p>
      <w:pPr>
        <w:spacing w:after="0" w:line="270" w:lineRule="exact"/>
        <w:rPr>
          <w:sz w:val="20"/>
          <w:szCs w:val="20"/>
          <w:color w:val="auto"/>
        </w:rPr>
      </w:pPr>
    </w:p>
    <w:p>
      <w:pPr>
        <w:ind w:left="1120" w:right="1060" w:hanging="1094"/>
        <w:spacing w:after="0" w:line="274" w:lineRule="auto"/>
        <w:tabs>
          <w:tab w:leader="none" w:pos="11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Annexes, schedules and/or exhibits have been omitted pursuant to Item 601(b)(2) of Regulation S-K. Viatris agrees to furnish supplementally a copy of any omitted attachment to the SEC on a confidential basis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0" w:name="page61"/>
    <w:bookmarkEnd w:id="6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Viatris Inc.</w:t>
      </w:r>
    </w:p>
    <w:p>
      <w:pPr>
        <w:spacing w:after="0" w:line="29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/s/ MICHAEL GOETTLER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32658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Michael Goettler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9, 2022</w:t>
      </w:r>
    </w:p>
    <w:p>
      <w:pPr>
        <w:spacing w:after="0" w:line="26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32658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Sanjeev Narula</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Financial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May 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720"/>
          </w:cols>
          <w:pgMar w:left="320" w:top="118" w:right="85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Michael Goettler, certify that:</w:t>
      </w:r>
    </w:p>
    <w:p>
      <w:pPr>
        <w:spacing w:after="0" w:line="131" w:lineRule="exact"/>
        <w:rPr>
          <w:sz w:val="20"/>
          <w:szCs w:val="20"/>
          <w:color w:val="auto"/>
        </w:rPr>
      </w:pPr>
    </w:p>
    <w:p>
      <w:pPr>
        <w:ind w:left="640" w:hanging="187"/>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Viatris Inc.;</w:t>
      </w:r>
    </w:p>
    <w:p>
      <w:pPr>
        <w:spacing w:after="0" w:line="117" w:lineRule="exact"/>
        <w:rPr>
          <w:rFonts w:ascii="Arial" w:cs="Arial" w:eastAsia="Arial" w:hAnsi="Arial"/>
          <w:sz w:val="18"/>
          <w:szCs w:val="18"/>
          <w:color w:val="auto"/>
        </w:rPr>
      </w:pPr>
    </w:p>
    <w:p>
      <w:pPr>
        <w:ind w:right="140" w:firstLine="453"/>
        <w:spacing w:after="0" w:line="377" w:lineRule="auto"/>
        <w:tabs>
          <w:tab w:leader="none" w:pos="625"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6"/>
          <w:szCs w:val="16"/>
          <w:color w:val="auto"/>
        </w:rPr>
      </w:pPr>
    </w:p>
    <w:p>
      <w:pPr>
        <w:ind w:right="100" w:firstLine="453"/>
        <w:spacing w:after="0" w:line="308" w:lineRule="auto"/>
        <w:tabs>
          <w:tab w:leader="none" w:pos="625"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8"/>
          <w:szCs w:val="18"/>
          <w:color w:val="auto"/>
        </w:rPr>
      </w:pPr>
    </w:p>
    <w:p>
      <w:pPr>
        <w:jc w:val="both"/>
        <w:ind w:right="80" w:firstLine="453"/>
        <w:spacing w:after="0" w:line="295" w:lineRule="auto"/>
        <w:tabs>
          <w:tab w:leader="none" w:pos="62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500" w:right="440" w:firstLine="480"/>
        <w:spacing w:after="0" w:line="295" w:lineRule="auto"/>
        <w:tabs>
          <w:tab w:leader="none" w:pos="1231"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jc w:val="both"/>
        <w:ind w:left="500" w:right="200" w:firstLine="480"/>
        <w:spacing w:after="0" w:line="295" w:lineRule="auto"/>
        <w:tabs>
          <w:tab w:leader="none" w:pos="1241"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8"/>
          <w:szCs w:val="18"/>
          <w:color w:val="auto"/>
        </w:rPr>
      </w:pPr>
    </w:p>
    <w:p>
      <w:pPr>
        <w:ind w:left="500" w:right="320" w:firstLine="480"/>
        <w:spacing w:after="0" w:line="369" w:lineRule="auto"/>
        <w:tabs>
          <w:tab w:leader="none" w:pos="1231"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500" w:right="280" w:firstLine="480"/>
        <w:spacing w:after="0" w:line="295" w:lineRule="auto"/>
        <w:tabs>
          <w:tab w:leader="none" w:pos="1241"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ind w:right="100" w:firstLine="453"/>
        <w:spacing w:after="0" w:line="341" w:lineRule="auto"/>
        <w:tabs>
          <w:tab w:leader="none" w:pos="622"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Arial" w:cs="Arial" w:eastAsia="Arial" w:hAnsi="Arial"/>
          <w:sz w:val="17"/>
          <w:szCs w:val="17"/>
          <w:color w:val="auto"/>
        </w:rPr>
      </w:pPr>
    </w:p>
    <w:p>
      <w:pPr>
        <w:ind w:left="500" w:right="540" w:firstLine="480"/>
        <w:spacing w:after="0" w:line="341" w:lineRule="auto"/>
        <w:tabs>
          <w:tab w:leader="none" w:pos="1221"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500" w:right="220" w:firstLine="480"/>
        <w:spacing w:after="0" w:line="308" w:lineRule="auto"/>
        <w:tabs>
          <w:tab w:leader="none" w:pos="1231"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 MICHAEL GOETTLER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31750</wp:posOffset>
            </wp:positionV>
            <wp:extent cx="25031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57"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Michael Goettler</w:t>
      </w:r>
    </w:p>
    <w:p>
      <w:pPr>
        <w:spacing w:after="0" w:line="6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280"/>
        <w:spacing w:after="0"/>
        <w:rPr>
          <w:sz w:val="20"/>
          <w:szCs w:val="20"/>
          <w:color w:val="auto"/>
        </w:rPr>
      </w:pPr>
      <w:r>
        <w:rPr>
          <w:rFonts w:ascii="Arial" w:cs="Arial" w:eastAsia="Arial" w:hAnsi="Arial"/>
          <w:sz w:val="18"/>
          <w:szCs w:val="18"/>
          <w:i w:val="1"/>
          <w:iCs w:val="1"/>
          <w:color w:val="auto"/>
        </w:rPr>
        <w:t>(Principal Executive Officer)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May 9, 2022</w:t>
      </w:r>
    </w:p>
    <w:p>
      <w:pPr>
        <w:sectPr>
          <w:pgSz w:w="11900" w:h="16838" w:orient="portrait"/>
          <w:cols w:equalWidth="0" w:num="1">
            <w:col w:w="11240"/>
          </w:cols>
          <w:pgMar w:left="320" w:top="904"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Sanjeev Narula, certify that:</w:t>
      </w:r>
    </w:p>
    <w:p>
      <w:pPr>
        <w:spacing w:after="0" w:line="131" w:lineRule="exact"/>
        <w:rPr>
          <w:sz w:val="20"/>
          <w:szCs w:val="20"/>
          <w:color w:val="auto"/>
        </w:rPr>
      </w:pPr>
    </w:p>
    <w:p>
      <w:pPr>
        <w:ind w:left="640" w:hanging="187"/>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Viatris Inc.;</w:t>
      </w:r>
    </w:p>
    <w:p>
      <w:pPr>
        <w:spacing w:after="0" w:line="117" w:lineRule="exact"/>
        <w:rPr>
          <w:rFonts w:ascii="Arial" w:cs="Arial" w:eastAsia="Arial" w:hAnsi="Arial"/>
          <w:sz w:val="18"/>
          <w:szCs w:val="18"/>
          <w:color w:val="auto"/>
        </w:rPr>
      </w:pPr>
    </w:p>
    <w:p>
      <w:pPr>
        <w:ind w:right="140" w:firstLine="453"/>
        <w:spacing w:after="0" w:line="377" w:lineRule="auto"/>
        <w:tabs>
          <w:tab w:leader="none" w:pos="625"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6"/>
          <w:szCs w:val="16"/>
          <w:color w:val="auto"/>
        </w:rPr>
      </w:pPr>
    </w:p>
    <w:p>
      <w:pPr>
        <w:ind w:right="100" w:firstLine="453"/>
        <w:spacing w:after="0" w:line="308" w:lineRule="auto"/>
        <w:tabs>
          <w:tab w:leader="none" w:pos="625"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8"/>
          <w:szCs w:val="18"/>
          <w:color w:val="auto"/>
        </w:rPr>
      </w:pPr>
    </w:p>
    <w:p>
      <w:pPr>
        <w:jc w:val="both"/>
        <w:ind w:right="80" w:firstLine="453"/>
        <w:spacing w:after="0" w:line="295" w:lineRule="auto"/>
        <w:tabs>
          <w:tab w:leader="none" w:pos="62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500" w:right="440" w:firstLine="480"/>
        <w:spacing w:after="0" w:line="295" w:lineRule="auto"/>
        <w:tabs>
          <w:tab w:leader="none" w:pos="1231"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jc w:val="both"/>
        <w:ind w:left="500" w:right="200" w:firstLine="480"/>
        <w:spacing w:after="0" w:line="295" w:lineRule="auto"/>
        <w:tabs>
          <w:tab w:leader="none" w:pos="1241"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8"/>
          <w:szCs w:val="18"/>
          <w:color w:val="auto"/>
        </w:rPr>
      </w:pPr>
    </w:p>
    <w:p>
      <w:pPr>
        <w:ind w:left="500" w:right="320" w:firstLine="480"/>
        <w:spacing w:after="0" w:line="369" w:lineRule="auto"/>
        <w:tabs>
          <w:tab w:leader="none" w:pos="1231"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500" w:right="280" w:firstLine="480"/>
        <w:spacing w:after="0" w:line="295" w:lineRule="auto"/>
        <w:tabs>
          <w:tab w:leader="none" w:pos="1241"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ind w:right="100" w:firstLine="453"/>
        <w:spacing w:after="0" w:line="341" w:lineRule="auto"/>
        <w:tabs>
          <w:tab w:leader="none" w:pos="622"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Arial" w:cs="Arial" w:eastAsia="Arial" w:hAnsi="Arial"/>
          <w:sz w:val="17"/>
          <w:szCs w:val="17"/>
          <w:color w:val="auto"/>
        </w:rPr>
      </w:pPr>
    </w:p>
    <w:p>
      <w:pPr>
        <w:ind w:left="500" w:right="540" w:firstLine="480"/>
        <w:spacing w:after="0" w:line="341" w:lineRule="auto"/>
        <w:tabs>
          <w:tab w:leader="none" w:pos="1221"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500" w:right="220" w:firstLine="480"/>
        <w:spacing w:after="0" w:line="308" w:lineRule="auto"/>
        <w:tabs>
          <w:tab w:leader="none" w:pos="1231"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31750</wp:posOffset>
            </wp:positionV>
            <wp:extent cx="25114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57"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Sanjeev Narula</w:t>
      </w:r>
    </w:p>
    <w:p>
      <w:pPr>
        <w:spacing w:after="0" w:line="6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300"/>
        <w:spacing w:after="0"/>
        <w:rPr>
          <w:sz w:val="20"/>
          <w:szCs w:val="20"/>
          <w:color w:val="auto"/>
        </w:rPr>
      </w:pPr>
      <w:r>
        <w:rPr>
          <w:rFonts w:ascii="Arial" w:cs="Arial" w:eastAsia="Arial" w:hAnsi="Arial"/>
          <w:sz w:val="18"/>
          <w:szCs w:val="18"/>
          <w:i w:val="1"/>
          <w:iCs w:val="1"/>
          <w:color w:val="auto"/>
        </w:rPr>
        <w:t>(Principal Financial Officer)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May 9, 2022</w:t>
      </w:r>
    </w:p>
    <w:p>
      <w:pPr>
        <w:sectPr>
          <w:pgSz w:w="11900" w:h="16838" w:orient="portrait"/>
          <w:cols w:equalWidth="0" w:num="1">
            <w:col w:w="11240"/>
          </w:cols>
          <w:pgMar w:left="320" w:top="904"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2" w:lineRule="exact"/>
        <w:rPr>
          <w:sz w:val="20"/>
          <w:szCs w:val="20"/>
          <w:color w:val="auto"/>
        </w:rPr>
      </w:pPr>
    </w:p>
    <w:p>
      <w:pPr>
        <w:ind w:right="140" w:firstLine="445"/>
        <w:spacing w:after="0" w:line="319" w:lineRule="auto"/>
        <w:rPr>
          <w:sz w:val="20"/>
          <w:szCs w:val="20"/>
          <w:color w:val="auto"/>
        </w:rPr>
      </w:pPr>
      <w:r>
        <w:rPr>
          <w:rFonts w:ascii="Arial" w:cs="Arial" w:eastAsia="Arial" w:hAnsi="Arial"/>
          <w:sz w:val="17"/>
          <w:szCs w:val="17"/>
          <w:color w:val="auto"/>
        </w:rPr>
        <w:t>In connection with the Quarterly Report on Form 10-Q of Viatris Inc. (the “Company”) for the period ended March 31, 2022 as filed with the Securities and Exchange Commission on the date hereof (the “Report”), each of the undersigned, in the capacities and on the date indicated below, hereby certifies pursuant to 18 U.S.C. Section 1350, as adopted pursuant to Section 906 of the Sarbanes-Oxley Act of 2002, that to his knowledge:</w:t>
      </w:r>
    </w:p>
    <w:p>
      <w:pPr>
        <w:spacing w:after="0" w:line="44" w:lineRule="exact"/>
        <w:rPr>
          <w:sz w:val="20"/>
          <w:szCs w:val="20"/>
          <w:color w:val="auto"/>
        </w:rPr>
      </w:pPr>
    </w:p>
    <w:p>
      <w:pPr>
        <w:ind w:left="1080" w:hanging="181"/>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80" w:hanging="181"/>
        <w:spacing w:after="0"/>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9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 MICHAEL GOETTLER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31750</wp:posOffset>
            </wp:positionV>
            <wp:extent cx="25114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57"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Michael Goettler</w:t>
      </w:r>
    </w:p>
    <w:p>
      <w:pPr>
        <w:spacing w:after="0" w:line="6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300"/>
        <w:spacing w:after="0"/>
        <w:rPr>
          <w:sz w:val="20"/>
          <w:szCs w:val="20"/>
          <w:color w:val="auto"/>
        </w:rPr>
      </w:pPr>
      <w:r>
        <w:rPr>
          <w:rFonts w:ascii="Arial" w:cs="Arial" w:eastAsia="Arial" w:hAnsi="Arial"/>
          <w:sz w:val="18"/>
          <w:szCs w:val="18"/>
          <w:i w:val="1"/>
          <w:iCs w:val="1"/>
          <w:color w:val="auto"/>
        </w:rPr>
        <w:t>(Principal Executive Officer)</w:t>
      </w:r>
    </w:p>
    <w:p>
      <w:pPr>
        <w:spacing w:after="0" w:line="33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31750</wp:posOffset>
            </wp:positionV>
            <wp:extent cx="25114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57"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Sanjeev Narula</w:t>
      </w:r>
    </w:p>
    <w:p>
      <w:pPr>
        <w:spacing w:after="0" w:line="6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300"/>
        <w:spacing w:after="0"/>
        <w:rPr>
          <w:sz w:val="20"/>
          <w:szCs w:val="20"/>
          <w:color w:val="auto"/>
        </w:rPr>
      </w:pPr>
      <w:r>
        <w:rPr>
          <w:rFonts w:ascii="Arial" w:cs="Arial" w:eastAsia="Arial" w:hAnsi="Arial"/>
          <w:sz w:val="18"/>
          <w:szCs w:val="18"/>
          <w:i w:val="1"/>
          <w:iCs w:val="1"/>
          <w:color w:val="auto"/>
        </w:rPr>
        <w:t>(Principal Financial Officer)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May 9, 2022</w:t>
      </w:r>
    </w:p>
    <w:p>
      <w:pPr>
        <w:spacing w:after="0" w:line="198" w:lineRule="exact"/>
        <w:rPr>
          <w:sz w:val="20"/>
          <w:szCs w:val="20"/>
          <w:color w:val="auto"/>
        </w:rPr>
      </w:pPr>
    </w:p>
    <w:p>
      <w:pPr>
        <w:ind w:right="420" w:firstLine="445"/>
        <w:spacing w:after="0" w:line="30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7" w:lineRule="exact"/>
        <w:rPr>
          <w:sz w:val="20"/>
          <w:szCs w:val="20"/>
          <w:color w:val="auto"/>
        </w:rPr>
      </w:pPr>
    </w:p>
    <w:p>
      <w:pPr>
        <w:ind w:right="520" w:firstLine="445"/>
        <w:spacing w:after="0" w:line="308" w:lineRule="auto"/>
        <w:rPr>
          <w:sz w:val="20"/>
          <w:szCs w:val="20"/>
          <w:color w:val="auto"/>
        </w:rPr>
      </w:pPr>
      <w:r>
        <w:rPr>
          <w:rFonts w:ascii="Arial" w:cs="Arial" w:eastAsia="Arial" w:hAnsi="Arial"/>
          <w:sz w:val="18"/>
          <w:szCs w:val="18"/>
          <w:color w:val="auto"/>
        </w:rPr>
        <w:t>The foregoing certification is being furnished in accordance with Securities and Exchange Commission Release No. 34-47551 and shall not be considered filed as part of the Form 10-Q.</w:t>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decimal"/>
      <w:start w:val="2"/>
    </w:lvl>
  </w:abstractNum>
  <w:abstractNum w:abstractNumId="4">
    <w:nsid w:val="B03E0C6"/>
    <w:multiLevelType w:val="hybridMultilevel"/>
    <w:lvl w:ilvl="0">
      <w:lvlJc w:val="left"/>
      <w:lvlText w:val="(%1)"/>
      <w:numFmt w:val="lowerLetter"/>
      <w:start w:val="1"/>
    </w:lvl>
  </w:abstractNum>
  <w:abstractNum w:abstractNumId="5">
    <w:nsid w:val="189A769B"/>
    <w:multiLevelType w:val="hybridMultilevel"/>
    <w:lvl w:ilvl="0">
      <w:lvlJc w:val="left"/>
      <w:lvlText w:val="%1."/>
      <w:numFmt w:val="decimal"/>
      <w:start w:val="3"/>
    </w:lvl>
  </w:abstractNum>
  <w:abstractNum w:abstractNumId="6">
    <w:nsid w:val="54E49EB4"/>
    <w:multiLevelType w:val="hybridMultilevel"/>
    <w:lvl w:ilvl="0">
      <w:lvlJc w:val="left"/>
      <w:lvlText w:val="%1."/>
      <w:numFmt w:val="decimal"/>
      <w:start w:val="4"/>
    </w:lvl>
  </w:abstractNum>
  <w:abstractNum w:abstractNumId="7">
    <w:nsid w:val="71F32454"/>
    <w:multiLevelType w:val="hybridMultilevel"/>
    <w:lvl w:ilvl="0">
      <w:lvlJc w:val="left"/>
      <w:lvlText w:val="%1."/>
      <w:numFmt w:val="decimal"/>
      <w:start w:val="5"/>
    </w:lvl>
  </w:abstractNum>
  <w:abstractNum w:abstractNumId="8">
    <w:nsid w:val="2CA88611"/>
    <w:multiLevelType w:val="hybridMultilevel"/>
    <w:lvl w:ilvl="0">
      <w:lvlJc w:val="left"/>
      <w:lvlText w:val="%1."/>
      <w:numFmt w:val="decimal"/>
      <w:start w:val="7"/>
    </w:lvl>
  </w:abstractNum>
  <w:abstractNum w:abstractNumId="9">
    <w:nsid w:val="836C40E"/>
    <w:multiLevelType w:val="hybridMultilevel"/>
    <w:lvl w:ilvl="0">
      <w:lvlJc w:val="left"/>
      <w:lvlText w:val="%1."/>
      <w:numFmt w:val="decimal"/>
      <w:start w:val="8"/>
    </w:lvl>
  </w:abstractNum>
  <w:abstractNum w:abstractNumId="10">
    <w:nsid w:val="2901D82"/>
    <w:multiLevelType w:val="hybridMultilevel"/>
    <w:lvl w:ilvl="0">
      <w:lvlJc w:val="left"/>
      <w:lvlText w:val="%1."/>
      <w:numFmt w:val="decimal"/>
      <w:start w:val="9"/>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1)"/>
      <w:numFmt w:val="lowerLetter"/>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1."/>
      <w:numFmt w:val="decimal"/>
      <w:start w:val="14"/>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1)"/>
      <w:numFmt w:val="lowerLetter"/>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1)"/>
      <w:numFmt w:val="lowerLetter"/>
      <w:start w:val="1"/>
    </w:lvl>
  </w:abstractNum>
  <w:abstractNum w:abstractNumId="34">
    <w:nsid w:val="153EA438"/>
    <w:multiLevelType w:val="hybridMultilevel"/>
    <w:lvl w:ilvl="0">
      <w:lvlJc w:val="left"/>
      <w:lvlText w:val="(%1)"/>
      <w:numFmt w:val="lowerLetter"/>
      <w:start w:val="3"/>
    </w:lvl>
  </w:abstractNum>
  <w:abstractNum w:abstractNumId="35">
    <w:nsid w:val="3855585C"/>
    <w:multiLevelType w:val="hybridMultilevel"/>
    <w:lvl w:ilvl="0">
      <w:lvlJc w:val="left"/>
      <w:lvlText w:val="(%1)"/>
      <w:numFmt w:val="lowerLetter"/>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1"/>
      <w:numFmt w:val="decimal"/>
      <w:start w:val="22"/>
    </w:lvl>
  </w:abstractNum>
  <w:abstractNum w:abstractNumId="41">
    <w:nsid w:val="2CD89A32"/>
    <w:multiLevelType w:val="hybridMultilevel"/>
    <w:lvl w:ilvl="0">
      <w:lvlJc w:val="left"/>
      <w:lvlText w:val="%1"/>
      <w:numFmt w:val="decimal"/>
      <w:start w:val="32"/>
    </w:lvl>
  </w:abstractNum>
  <w:abstractNum w:abstractNumId="42">
    <w:nsid w:val="57E4CCAF"/>
    <w:multiLevelType w:val="hybridMultilevel"/>
    <w:lvl w:ilvl="0">
      <w:lvlJc w:val="left"/>
      <w:lvlText w:val="%1"/>
      <w:numFmt w:val="decimal"/>
      <w:start w:val="104"/>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89" Type="http://schemas.openxmlformats.org/officeDocument/2006/relationships/hyperlink" Target="http://www.sec.gov/Archives/edgar/data/1792044/000119312522058054/d265304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2022-05-09T15:21:37Z</dcterms:created>
  <dcterms:modified xsi:type="dcterms:W3CDTF">2022-05-09T15:21:37Z</dcterms:modified>
</cp:coreProperties>
</file>