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June 17, 2026</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VIATRIS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tbl>
      <w:tblPr>
        <w:tblW w:w="9090" w:type="dxa"/>
        <w:jc w:val="left"/>
        <w:tblInd w:w="0" w:type="dxa"/>
        <w:tblLayout w:type="fixed"/>
        <w:tblCellMar>
          <w:top w:w="0" w:type="dxa"/>
          <w:left w:w="0" w:type="dxa"/>
          <w:bottom w:w="0" w:type="dxa"/>
          <w:right w:w="0" w:type="dxa"/>
        </w:tblCellMar>
      </w:tblPr>
      <w:tblGrid>
        <w:gridCol w:w="3620"/>
        <w:gridCol w:w="2210"/>
        <w:gridCol w:w="3260"/>
      </w:tblGrid>
      <w:tr>
        <w:trPr/>
        <w:tc>
          <w:tcPr>
            <w:tcW w:w="36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001-39695</w:t>
            </w:r>
          </w:p>
        </w:tc>
        <w:tc>
          <w:tcPr>
            <w:tcW w:w="32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83-4364296</w:t>
            </w:r>
          </w:p>
        </w:tc>
      </w:tr>
      <w:tr>
        <w:trPr/>
        <w:tc>
          <w:tcPr>
            <w:tcW w:w="36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326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Number)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1000 Mylan Blvd., Canonsburg, PA 15317</w:t>
      </w:r>
    </w:p>
    <w:p>
      <w:pPr>
        <w:pStyle w:val="TextBody"/>
        <w:bidi w:val="0"/>
        <w:spacing w:before="0" w:after="0"/>
        <w:ind w:left="25" w:right="0" w:hanging="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(724) 514-1800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283"/>
              <w:jc w:val="left"/>
              <w:rPr>
                <w:color w:val="000000"/>
              </w:rPr>
            </w:pPr>
            <w:r>
              <w:rPr>
                <w:color w:val="000000"/>
              </w:rPr>
              <w:t>☐</w:t>
            </w:r>
          </w:p>
        </w:tc>
        <w:tc>
          <w:tcPr>
            <w:tcW w:w="9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8700" w:type="dxa"/>
        <w:jc w:val="left"/>
        <w:tblInd w:w="0" w:type="dxa"/>
        <w:tblLayout w:type="fixed"/>
        <w:tblCellMar>
          <w:top w:w="0" w:type="dxa"/>
          <w:left w:w="0" w:type="dxa"/>
          <w:bottom w:w="0" w:type="dxa"/>
          <w:right w:w="0" w:type="dxa"/>
        </w:tblCellMar>
      </w:tblPr>
      <w:tblGrid>
        <w:gridCol w:w="3395"/>
        <w:gridCol w:w="1610"/>
        <w:gridCol w:w="3695"/>
      </w:tblGrid>
      <w:tr>
        <w:trPr/>
        <w:tc>
          <w:tcPr>
            <w:tcW w:w="3395"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610"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Trading Symbol(s)</w:t>
            </w:r>
          </w:p>
        </w:tc>
        <w:tc>
          <w:tcPr>
            <w:tcW w:w="3695"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339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$0.01 per share</w:t>
            </w:r>
          </w:p>
        </w:tc>
        <w:tc>
          <w:tcPr>
            <w:tcW w:w="16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VTRS</w:t>
            </w:r>
          </w:p>
        </w:tc>
        <w:tc>
          <w:tcPr>
            <w:tcW w:w="369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jc w:val="left"/>
        <w:rPr>
          <w:rFonts w:ascii="Times New Roman" w:hAnsi="Times New Roman"/>
          <w:sz w:val="20"/>
        </w:rPr>
      </w:pPr>
      <w:r>
        <w:rPr>
          <w:rFonts w:ascii="Times New Roman" w:hAnsi="Times New Roman"/>
          <w:sz w:val="20"/>
        </w:rPr>
      </w:r>
    </w:p>
    <w:p>
      <w:pPr>
        <w:pStyle w:val="HorizontalLine"/>
        <w:bidi w:val="0"/>
        <w:spacing w:before="0" w:after="200"/>
        <w:jc w:val="left"/>
        <w:rPr/>
      </w:pPr>
      <w:r>
        <w:rPr/>
      </w:r>
    </w:p>
    <w:p>
      <w:pPr>
        <w:pStyle w:val="HorizontalLine"/>
        <w:bidi w:val="0"/>
        <w:spacing w:before="180" w:after="180"/>
        <w:jc w:val="left"/>
        <w:rPr/>
      </w:pPr>
      <w:r>
        <w:rPr/>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Entry into a Material Definitive Agreement.</w:t>
            </w:r>
          </w:p>
        </w:tc>
      </w:tr>
    </w:tbl>
    <w:p>
      <w:pPr>
        <w:pStyle w:val="TextBody"/>
        <w:bidi w:val="0"/>
        <w:spacing w:before="0" w:after="200"/>
        <w:jc w:val="both"/>
        <w:rPr>
          <w:rFonts w:ascii="Times New Roman" w:hAnsi="Times New Roman"/>
          <w:color w:val="000000"/>
          <w:sz w:val="20"/>
          <w:shd w:fill="FFFFFF" w:val="clear"/>
        </w:rPr>
      </w:pPr>
      <w:r>
        <w:rPr>
          <w:rFonts w:ascii="Times New Roman" w:hAnsi="Times New Roman"/>
          <w:color w:val="000000"/>
          <w:sz w:val="20"/>
          <w:shd w:fill="FFFFFF" w:val="clear"/>
        </w:rPr>
        <w:t>On June 17, 2026, Viatris Inc. (“Viatris” or the “Company”) completed a public offering of €650,000,000 aggregate principal amount of its 4.250% Senior Notes due 2033 (the “Notes”). The Notes are senior unsecured obligations of Viatris.  The Notes are guaranteed on a senior unsecured basis by Mylan Inc., Mylan II B.V. and Utah Acquisition Sub Inc. (the “Guarantors”).</w:t>
      </w:r>
    </w:p>
    <w:p>
      <w:pPr>
        <w:pStyle w:val="TextBody"/>
        <w:bidi w:val="0"/>
        <w:spacing w:before="0" w:after="200"/>
        <w:jc w:val="both"/>
        <w:rPr>
          <w:rFonts w:ascii="Times New Roman" w:hAnsi="Times New Roman"/>
          <w:color w:val="000000"/>
          <w:sz w:val="20"/>
          <w:shd w:fill="FFFFFF" w:val="clear"/>
        </w:rPr>
      </w:pPr>
      <w:r>
        <w:rPr>
          <w:rFonts w:ascii="Times New Roman" w:hAnsi="Times New Roman"/>
          <w:color w:val="000000"/>
          <w:sz w:val="20"/>
          <w:shd w:fill="FFFFFF" w:val="clear"/>
        </w:rPr>
        <w:t>The Company intends to use the net proceeds from the offering (i) to fund the repayment of any amounts borrowed under its senior unsecured revolving credit facility in June 2026 in connection with the repayment at maturity of the entire $1.675 billion of outstanding principal amount of the 3.950% Senior Notes due 2026 issued by Utah Acquisition Sub Inc. (the “2026 Senior Notes”) and (ii) the remainder, if any, to replenish cash that will be utilized in connection with the repayment of the 2026 Senior Notes, with such cash to be used for general corporate purposes.</w:t>
      </w:r>
    </w:p>
    <w:p>
      <w:pPr>
        <w:pStyle w:val="TextBody"/>
        <w:bidi w:val="0"/>
        <w:spacing w:before="0" w:after="200"/>
        <w:jc w:val="both"/>
        <w:rPr>
          <w:rFonts w:ascii="Times New Roman" w:hAnsi="Times New Roman"/>
          <w:color w:val="000000"/>
          <w:sz w:val="20"/>
          <w:shd w:fill="FFFFFF" w:val="clear"/>
        </w:rPr>
      </w:pPr>
      <w:r>
        <w:rPr>
          <w:rFonts w:ascii="Times New Roman" w:hAnsi="Times New Roman"/>
          <w:color w:val="000000"/>
          <w:sz w:val="20"/>
          <w:shd w:fill="FFFFFF" w:val="clear"/>
        </w:rPr>
        <w:t>The Notes were issued pursuant to an Indenture (the “Base Indenture”), dated June 17, 2026, among the Company, the Guarantors and The Bank of New York Mellon, as trustee (the “Trustee”), as supplemented by the First Supplemental Indenture (the “Supplemental Indenture” and, together with the Base Indenture, the “Indenture”), dated June 17, 2026, among the Company, the Guarantors and the Trustee (which includes the form of Notes as an exhibit). The offering of the Notes was registered on a Registration Statement on Form S-3 (File No. 333-287087).  The Notes will accrue interest at a rate of 4.250% per annum, accruing from June 17, 2026, payable annually beginning June 17, 2027, and will mature on June 17, 2033, subject to earlier repurchase or redemption in accordance with the terms of the Indenture.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any time prior to April 17, 2033 (the date that is two months prior to the maturity date of the Notes) (the ‘‘Par Call Date’’), the Company may redeem the Notes, in whole or in part, upon not less than 10 nor more than 60 days’ prior written notice, at a price equal to the greater of (1) 100% of the principal amount of the Notes to be redeemed, and (2) the sum of the present values, as calculated by the Company, of the remaining scheduled payments of principal and interest thereon (not including any portion of such payments of interest accrued as of the date of redemption), discounted to the redemption date on an annual basis (ACTUAL/ACTUAL (ICMA) as defined in the rulebook of the International Capital Market Association), at the applicable Comparable Government Bond Rate (as defined in the Indenture) plus 25 basis points, plus, in either case, accrued and unpaid interest thereon to the redemption date. On or after the Par Call Date, the Company may redeem the Notes, in whole or in part, at a price equal to 100% of the principal amount of the Notes to be redeemed, plus accrued and unpaid interest thereon to the redemption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certain change of control events occur, the Company must offer to purchase the Notes from holders at a purchase price equal to 101% of the principal amount, plus accrued and unpaid interest thereon, if any, to, but excluding, the repurchase date, unless the Company has exercised its right to redeem the Notes.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180" w:after="18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Indenture contains covenants that, among other things, restrict the Company’s ability and the ability of certain of the Company’s subsidiaries to (1) enter into certain sale and leaseback transactions; (2) create certain liens; (3) with respect to such subsidiaries only, guarantee certain of the Company’s outstanding obligations without also guaranteeing the Company’s obligations under the Notes; and (4) with respect to the Company only, consolidate, merge or sell all or substantially all of the Company’s consolidated assets. The Indenture provides for customary events of default (subject in certain cases to customary grace and cure periods), which include nonpayment, breach of covenants, payment defaults or acceleration of other indebtedness, failure to pay certain judgments and certain events of bankruptcy and insolvency. These covenants and events of default are subject to a number of important qualifications, limitations and exceptions that are described in the Indenture. Upon occurrence of an Event of Default (as defined in the Indenture) with respect to the Notes, the principal amount of the Notes may be declared, and/or become, due and payable immediately.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200"/>
        <w:jc w:val="both"/>
        <w:rPr>
          <w:rFonts w:ascii="Times New Roman" w:hAnsi="Times New Roman"/>
          <w:color w:val="000000"/>
          <w:sz w:val="20"/>
          <w:shd w:fill="FFFFFF" w:val="clear"/>
        </w:rPr>
      </w:pPr>
      <w:r>
        <w:rPr>
          <w:rFonts w:ascii="Times New Roman" w:hAnsi="Times New Roman"/>
          <w:color w:val="000000"/>
          <w:sz w:val="20"/>
          <w:shd w:fill="FFFFFF" w:val="clear"/>
        </w:rPr>
        <w:t>The above description of the Indenture and the Notes is qualified in its entirety by reference to the Indenture and the form of the Notes filed as exhibits hereto, which exhibits are incorporated by reference herein.</w:t>
      </w:r>
    </w:p>
    <w:tbl>
      <w:tblPr>
        <w:tblW w:w="10205" w:type="dxa"/>
        <w:jc w:val="left"/>
        <w:tblInd w:w="0" w:type="dxa"/>
        <w:tblLayout w:type="fixed"/>
        <w:tblCellMar>
          <w:top w:w="0" w:type="dxa"/>
          <w:left w:w="0" w:type="dxa"/>
          <w:bottom w:w="0" w:type="dxa"/>
          <w:right w:w="0" w:type="dxa"/>
        </w:tblCellMar>
      </w:tblPr>
      <w:tblGrid>
        <w:gridCol w:w="848"/>
        <w:gridCol w:w="9357"/>
      </w:tblGrid>
      <w:tr>
        <w:trPr/>
        <w:tc>
          <w:tcPr>
            <w:tcW w:w="848"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2.03.</w:t>
            </w:r>
          </w:p>
        </w:tc>
        <w:tc>
          <w:tcPr>
            <w:tcW w:w="935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Creation of a Direct Financial Obligation or an Obligation under an Off-Balance Sheet Arrangement of a Registrant.</w:t>
            </w:r>
          </w:p>
        </w:tc>
      </w:tr>
    </w:tbl>
    <w:p>
      <w:pPr>
        <w:pStyle w:val="TextBody"/>
        <w:bidi w:val="0"/>
        <w:spacing w:before="0" w:after="200"/>
        <w:jc w:val="left"/>
        <w:rPr>
          <w:rFonts w:ascii="Times New Roman" w:hAnsi="Times New Roman"/>
          <w:color w:val="000000"/>
          <w:sz w:val="20"/>
          <w:shd w:fill="FFFFFF" w:val="clear"/>
        </w:rPr>
      </w:pPr>
      <w:r>
        <w:rPr>
          <w:rFonts w:ascii="Times New Roman" w:hAnsi="Times New Roman"/>
          <w:color w:val="000000"/>
          <w:sz w:val="20"/>
          <w:shd w:fill="FFFFFF" w:val="clear"/>
        </w:rPr>
        <w:t>The information set forth in Item 1.01 is incorporated herein by reference.</w:t>
      </w:r>
    </w:p>
    <w:tbl>
      <w:tblPr>
        <w:tblW w:w="1660" w:type="dxa"/>
        <w:jc w:val="left"/>
        <w:tblInd w:w="0" w:type="dxa"/>
        <w:tblLayout w:type="fixed"/>
        <w:tblCellMar>
          <w:top w:w="0" w:type="dxa"/>
          <w:left w:w="0" w:type="dxa"/>
          <w:bottom w:w="0" w:type="dxa"/>
          <w:right w:w="0" w:type="dxa"/>
        </w:tblCellMar>
      </w:tblPr>
      <w:tblGrid>
        <w:gridCol w:w="875"/>
        <w:gridCol w:w="785"/>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677"/>
        <w:gridCol w:w="9528"/>
      </w:tblGrid>
      <w:tr>
        <w:trPr/>
        <w:tc>
          <w:tcPr>
            <w:tcW w:w="677"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 xml:space="preserve">Exhibit </w:t>
            </w:r>
          </w:p>
          <w:p>
            <w:pPr>
              <w:pStyle w:val="TableContents"/>
              <w:bidi w:val="0"/>
              <w:spacing w:before="0" w:after="0"/>
              <w:jc w:val="center"/>
              <w:rPr>
                <w:rFonts w:ascii="Times New Roman" w:hAnsi="Times New Roman"/>
                <w:sz w:val="20"/>
              </w:rPr>
            </w:pPr>
            <w:r>
              <w:rPr>
                <w:rFonts w:ascii="Times New Roman" w:hAnsi="Times New Roman"/>
                <w:sz w:val="20"/>
              </w:rPr>
              <w:t>Number</w:t>
            </w:r>
          </w:p>
        </w:tc>
        <w:tc>
          <w:tcPr>
            <w:tcW w:w="9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Description of Exhibit</w:t>
            </w:r>
          </w:p>
        </w:tc>
      </w:tr>
      <w:tr>
        <w:trPr/>
        <w:tc>
          <w:tcPr>
            <w:tcW w:w="677" w:type="dxa"/>
            <w:tcBorders/>
            <w:vAlign w:val="center"/>
          </w:tcPr>
          <w:p>
            <w:pPr>
              <w:pStyle w:val="TableContents"/>
              <w:bidi w:val="0"/>
              <w:spacing w:before="0" w:after="0"/>
              <w:jc w:val="center"/>
              <w:rPr/>
            </w:pPr>
            <w:hyperlink w:anchor="ef20076340_ex4-1.htm">
              <w:r>
                <w:rPr>
                  <w:rStyle w:val="InternetLink"/>
                  <w:rFonts w:ascii="Times New Roman" w:hAnsi="Times New Roman"/>
                  <w:sz w:val="20"/>
                </w:rPr>
                <w:t>4.1</w:t>
              </w:r>
            </w:hyperlink>
          </w:p>
        </w:tc>
        <w:tc>
          <w:tcPr>
            <w:tcW w:w="9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Indenture, dated June 17, 2026, among the Company, the Guarantors and The Bank of New York Mellon, as trustee.</w:t>
            </w:r>
          </w:p>
        </w:tc>
      </w:tr>
      <w:tr>
        <w:trPr/>
        <w:tc>
          <w:tcPr>
            <w:tcW w:w="677" w:type="dxa"/>
            <w:tcBorders/>
            <w:vAlign w:val="center"/>
          </w:tcPr>
          <w:p>
            <w:pPr>
              <w:pStyle w:val="TableContents"/>
              <w:bidi w:val="0"/>
              <w:spacing w:before="0" w:after="0"/>
              <w:jc w:val="center"/>
              <w:rPr/>
            </w:pPr>
            <w:hyperlink w:anchor="ef20076340_ex4-2.htm">
              <w:r>
                <w:rPr>
                  <w:rStyle w:val="InternetLink"/>
                  <w:rFonts w:ascii="Times New Roman" w:hAnsi="Times New Roman"/>
                  <w:sz w:val="20"/>
                </w:rPr>
                <w:t>4.2</w:t>
              </w:r>
            </w:hyperlink>
          </w:p>
        </w:tc>
        <w:tc>
          <w:tcPr>
            <w:tcW w:w="9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Supplemental Indenture, dated June 17, 2026, among the Company, the Guarantors and The Bank of New York Mellon, as trustee.</w:t>
            </w:r>
          </w:p>
        </w:tc>
      </w:tr>
      <w:tr>
        <w:trPr/>
        <w:tc>
          <w:tcPr>
            <w:tcW w:w="677" w:type="dxa"/>
            <w:tcBorders/>
            <w:vAlign w:val="center"/>
          </w:tcPr>
          <w:p>
            <w:pPr>
              <w:pStyle w:val="TableContents"/>
              <w:bidi w:val="0"/>
              <w:spacing w:before="0" w:after="0"/>
              <w:jc w:val="center"/>
              <w:rPr/>
            </w:pPr>
            <w:hyperlink w:anchor="EXHIBITA">
              <w:r>
                <w:rPr>
                  <w:rStyle w:val="InternetLink"/>
                  <w:rFonts w:ascii="Times New Roman" w:hAnsi="Times New Roman"/>
                  <w:sz w:val="20"/>
                </w:rPr>
                <w:t>4.3</w:t>
              </w:r>
            </w:hyperlink>
          </w:p>
        </w:tc>
        <w:tc>
          <w:tcPr>
            <w:tcW w:w="9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4.250% Senior Note due 2033 (included in Exhibit 4.2).</w:t>
            </w:r>
          </w:p>
        </w:tc>
      </w:tr>
      <w:tr>
        <w:trPr/>
        <w:tc>
          <w:tcPr>
            <w:tcW w:w="677" w:type="dxa"/>
            <w:tcBorders/>
            <w:vAlign w:val="center"/>
          </w:tcPr>
          <w:p>
            <w:pPr>
              <w:pStyle w:val="TableContents"/>
              <w:bidi w:val="0"/>
              <w:spacing w:before="0" w:after="0"/>
              <w:jc w:val="center"/>
              <w:rPr/>
            </w:pPr>
            <w:hyperlink w:anchor="ef20076340_ex5-1.htm">
              <w:r>
                <w:rPr>
                  <w:rStyle w:val="InternetLink"/>
                  <w:rFonts w:ascii="Times New Roman" w:hAnsi="Times New Roman"/>
                  <w:sz w:val="20"/>
                </w:rPr>
                <w:t>5.1</w:t>
              </w:r>
            </w:hyperlink>
          </w:p>
        </w:tc>
        <w:tc>
          <w:tcPr>
            <w:tcW w:w="9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Opinion of Cravath, Swaine &amp; Moore LLP.</w:t>
            </w:r>
          </w:p>
        </w:tc>
      </w:tr>
      <w:tr>
        <w:trPr/>
        <w:tc>
          <w:tcPr>
            <w:tcW w:w="677" w:type="dxa"/>
            <w:tcBorders/>
            <w:vAlign w:val="center"/>
          </w:tcPr>
          <w:p>
            <w:pPr>
              <w:pStyle w:val="TableContents"/>
              <w:bidi w:val="0"/>
              <w:spacing w:before="0" w:after="0"/>
              <w:jc w:val="center"/>
              <w:rPr/>
            </w:pPr>
            <w:hyperlink w:anchor="ef20076340_ex5-2.htm">
              <w:r>
                <w:rPr>
                  <w:rStyle w:val="InternetLink"/>
                  <w:rFonts w:ascii="Times New Roman" w:hAnsi="Times New Roman"/>
                  <w:sz w:val="20"/>
                </w:rPr>
                <w:t>5.2</w:t>
              </w:r>
            </w:hyperlink>
          </w:p>
        </w:tc>
        <w:tc>
          <w:tcPr>
            <w:tcW w:w="9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Opinion of NautaDutilh N.V.</w:t>
            </w:r>
          </w:p>
        </w:tc>
      </w:tr>
      <w:tr>
        <w:trPr/>
        <w:tc>
          <w:tcPr>
            <w:tcW w:w="677" w:type="dxa"/>
            <w:tcBorders/>
            <w:vAlign w:val="center"/>
          </w:tcPr>
          <w:p>
            <w:pPr>
              <w:pStyle w:val="TableContents"/>
              <w:bidi w:val="0"/>
              <w:spacing w:before="0" w:after="0"/>
              <w:jc w:val="center"/>
              <w:rPr/>
            </w:pPr>
            <w:hyperlink w:anchor="ef20076340_ex5-3.htm">
              <w:r>
                <w:rPr>
                  <w:rStyle w:val="InternetLink"/>
                  <w:rFonts w:ascii="Times New Roman" w:hAnsi="Times New Roman"/>
                  <w:sz w:val="20"/>
                </w:rPr>
                <w:t>5.3</w:t>
              </w:r>
            </w:hyperlink>
          </w:p>
        </w:tc>
        <w:tc>
          <w:tcPr>
            <w:tcW w:w="9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Opinion of Parker Poe Adams &amp; Bernstein LLP.</w:t>
            </w:r>
          </w:p>
        </w:tc>
      </w:tr>
      <w:tr>
        <w:trPr/>
        <w:tc>
          <w:tcPr>
            <w:tcW w:w="677" w:type="dxa"/>
            <w:tcBorders/>
            <w:vAlign w:val="center"/>
          </w:tcPr>
          <w:p>
            <w:pPr>
              <w:pStyle w:val="TableContents"/>
              <w:bidi w:val="0"/>
              <w:spacing w:before="0" w:after="0"/>
              <w:jc w:val="center"/>
              <w:rPr/>
            </w:pPr>
            <w:hyperlink w:anchor="ef20076340_ex5-1.htm">
              <w:r>
                <w:rPr>
                  <w:rStyle w:val="InternetLink"/>
                  <w:rFonts w:ascii="Times New Roman" w:hAnsi="Times New Roman"/>
                  <w:sz w:val="20"/>
                </w:rPr>
                <w:t>23.1</w:t>
              </w:r>
            </w:hyperlink>
          </w:p>
        </w:tc>
        <w:tc>
          <w:tcPr>
            <w:tcW w:w="9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Consent of Cravath, Swaine &amp; Moore LLP (included in Exhibit 5.1).</w:t>
            </w:r>
          </w:p>
        </w:tc>
      </w:tr>
      <w:tr>
        <w:trPr/>
        <w:tc>
          <w:tcPr>
            <w:tcW w:w="677" w:type="dxa"/>
            <w:tcBorders/>
            <w:vAlign w:val="center"/>
          </w:tcPr>
          <w:p>
            <w:pPr>
              <w:pStyle w:val="TableContents"/>
              <w:bidi w:val="0"/>
              <w:spacing w:before="0" w:after="0"/>
              <w:jc w:val="center"/>
              <w:rPr/>
            </w:pPr>
            <w:hyperlink w:anchor="ef20076340_ex5-2.htm">
              <w:r>
                <w:rPr>
                  <w:rStyle w:val="InternetLink"/>
                  <w:rFonts w:ascii="Times New Roman" w:hAnsi="Times New Roman"/>
                  <w:sz w:val="20"/>
                </w:rPr>
                <w:t>23.2</w:t>
              </w:r>
            </w:hyperlink>
          </w:p>
        </w:tc>
        <w:tc>
          <w:tcPr>
            <w:tcW w:w="9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Consent of NautaDutilh N.V. (included in Exhibit 5.2).</w:t>
            </w:r>
          </w:p>
        </w:tc>
      </w:tr>
      <w:tr>
        <w:trPr/>
        <w:tc>
          <w:tcPr>
            <w:tcW w:w="677" w:type="dxa"/>
            <w:tcBorders/>
            <w:vAlign w:val="center"/>
          </w:tcPr>
          <w:p>
            <w:pPr>
              <w:pStyle w:val="TableContents"/>
              <w:bidi w:val="0"/>
              <w:spacing w:before="0" w:after="0"/>
              <w:jc w:val="center"/>
              <w:rPr/>
            </w:pPr>
            <w:hyperlink w:anchor="ef20076340_ex5-3.htm">
              <w:r>
                <w:rPr>
                  <w:rStyle w:val="InternetLink"/>
                  <w:rFonts w:ascii="Times New Roman" w:hAnsi="Times New Roman"/>
                  <w:sz w:val="20"/>
                </w:rPr>
                <w:t>23.3</w:t>
              </w:r>
            </w:hyperlink>
          </w:p>
        </w:tc>
        <w:tc>
          <w:tcPr>
            <w:tcW w:w="9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Consent of Parker Poe Adams &amp; Bernstein LLP (included in Exhibit 5.3).</w:t>
            </w:r>
          </w:p>
        </w:tc>
      </w:tr>
      <w:tr>
        <w:trPr/>
        <w:tc>
          <w:tcPr>
            <w:tcW w:w="677"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95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180" w:after="180"/>
        <w:jc w:val="left"/>
        <w:rPr/>
      </w:pPr>
      <w:r>
        <w:rPr/>
      </w:r>
    </w:p>
    <w:p>
      <w:pPr>
        <w:pStyle w:val="TextBody"/>
        <w:bidi w:val="0"/>
        <w:spacing w:before="0" w:after="20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tbl>
      <w:tblPr>
        <w:tblW w:w="3615" w:type="dxa"/>
        <w:jc w:val="left"/>
        <w:tblInd w:w="0" w:type="dxa"/>
        <w:tblLayout w:type="fixed"/>
        <w:tblCellMar>
          <w:top w:w="0" w:type="dxa"/>
          <w:left w:w="0" w:type="dxa"/>
          <w:bottom w:w="0" w:type="dxa"/>
          <w:right w:w="0" w:type="dxa"/>
        </w:tblCellMar>
      </w:tblPr>
      <w:tblGrid>
        <w:gridCol w:w="1640"/>
        <w:gridCol w:w="320"/>
        <w:gridCol w:w="1655"/>
      </w:tblGrid>
      <w:tr>
        <w:trPr/>
        <w:tc>
          <w:tcPr>
            <w:tcW w:w="1640"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Date: June 18, 2026</w:t>
            </w:r>
          </w:p>
        </w:tc>
        <w:tc>
          <w:tcPr>
            <w:tcW w:w="1975" w:type="dxa"/>
            <w:gridSpan w:val="2"/>
            <w:tcBorders/>
            <w:vAlign w:val="center"/>
          </w:tcPr>
          <w:p>
            <w:pPr>
              <w:pStyle w:val="TableContents"/>
              <w:bidi w:val="0"/>
              <w:spacing w:before="0" w:after="283"/>
              <w:jc w:val="left"/>
              <w:rPr/>
            </w:pPr>
            <w:r>
              <w:rPr/>
            </w:r>
          </w:p>
        </w:tc>
      </w:tr>
      <w:tr>
        <w:trPr/>
        <w:tc>
          <w:tcPr>
            <w:tcW w:w="1640" w:type="dxa"/>
            <w:tcBorders/>
            <w:vAlign w:val="center"/>
          </w:tcPr>
          <w:p>
            <w:pPr>
              <w:pStyle w:val="TableContents"/>
              <w:bidi w:val="0"/>
              <w:spacing w:before="0" w:after="283"/>
              <w:jc w:val="left"/>
              <w:rPr/>
            </w:pPr>
            <w:r>
              <w:rPr/>
              <w:t> </w:t>
            </w:r>
          </w:p>
        </w:tc>
        <w:tc>
          <w:tcPr>
            <w:tcW w:w="1975" w:type="dxa"/>
            <w:gridSpan w:val="2"/>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VIATRIS INC.</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By:</w:t>
            </w:r>
          </w:p>
        </w:tc>
        <w:tc>
          <w:tcPr>
            <w:tcW w:w="1655" w:type="dxa"/>
            <w:tcBorders>
              <w:bottom w:val="single" w:sz="1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Matthew Maletta</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Matthew Maletta</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Chief Legal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ef20076340_ex4-1.htm"/>
      <w:bookmarkStart w:id="1" w:name="ksef20076340_ex41"/>
      <w:bookmarkStart w:id="2" w:name="ef20076340_ex4-1.htm"/>
      <w:bookmarkStart w:id="3" w:name="ksef20076340_ex4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4.1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VIATRIS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SENIOR INDENTURE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Dated as of June 17, 2026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BANK OF NEW YORK MELLON</w:t>
      </w:r>
    </w:p>
    <w:p>
      <w:pPr>
        <w:pStyle w:val="TextBody"/>
        <w:bidi w:val="0"/>
        <w:spacing w:before="0" w:after="0"/>
        <w:jc w:val="left"/>
        <w:rPr>
          <w:color w:val="000000"/>
        </w:rPr>
      </w:pPr>
      <w:r>
        <w:rPr>
          <w:color w:val="000000"/>
        </w:rPr>
        <w:t> </w:t>
      </w:r>
    </w:p>
    <w:p>
      <w:pPr>
        <w:pStyle w:val="TextBody"/>
        <w:bidi w:val="0"/>
        <w:jc w:val="center"/>
        <w:rPr>
          <w:rFonts w:ascii="Times New Roman" w:hAnsi="Times New Roman"/>
          <w:b/>
          <w:color w:val="000000"/>
          <w:sz w:val="20"/>
        </w:rPr>
      </w:pPr>
      <w:r>
        <w:rPr>
          <w:rFonts w:ascii="Times New Roman" w:hAnsi="Times New Roman"/>
          <w:b/>
          <w:color w:val="000000"/>
          <w:sz w:val="20"/>
        </w:rPr>
        <w:t>as Trustee</w:t>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p>
    <w:p>
      <w:pPr>
        <w:pStyle w:val="TextBody"/>
        <w:bidi w:val="0"/>
        <w:spacing w:before="0" w:after="0"/>
        <w:ind w:left="3064" w:right="2736" w:hanging="0"/>
        <w:jc w:val="center"/>
        <w:rPr>
          <w:rFonts w:ascii="Times New Roman" w:hAnsi="Times New Roman"/>
          <w:color w:val="000000"/>
          <w:sz w:val="20"/>
        </w:rPr>
      </w:pPr>
      <w:r>
        <w:rPr>
          <w:rFonts w:ascii="Times New Roman" w:hAnsi="Times New Roman"/>
          <w:color w:val="000000"/>
          <w:sz w:val="20"/>
        </w:rPr>
        <w:t xml:space="preserve">Table Showing Reflection in Indenture of Certain </w:t>
      </w:r>
    </w:p>
    <w:p>
      <w:pPr>
        <w:pStyle w:val="TextBody"/>
        <w:bidi w:val="0"/>
        <w:spacing w:before="0" w:after="0"/>
        <w:ind w:left="3064" w:right="2736" w:hanging="0"/>
        <w:jc w:val="center"/>
        <w:rPr>
          <w:rFonts w:ascii="Times New Roman" w:hAnsi="Times New Roman"/>
          <w:color w:val="000000"/>
          <w:sz w:val="20"/>
        </w:rPr>
      </w:pPr>
      <w:r>
        <w:rPr>
          <w:rFonts w:ascii="Times New Roman" w:hAnsi="Times New Roman"/>
          <w:color w:val="000000"/>
          <w:sz w:val="20"/>
        </w:rPr>
        <w:t xml:space="preserve">Provisions of Trust Indenture Act of 1939, as </w:t>
      </w:r>
    </w:p>
    <w:p>
      <w:pPr>
        <w:pStyle w:val="TextBody"/>
        <w:bidi w:val="0"/>
        <w:spacing w:before="0" w:after="0"/>
        <w:ind w:left="3064" w:right="2736" w:hanging="0"/>
        <w:jc w:val="center"/>
        <w:rPr>
          <w:rFonts w:ascii="Times New Roman" w:hAnsi="Times New Roman"/>
          <w:color w:val="000000"/>
          <w:sz w:val="20"/>
        </w:rPr>
      </w:pPr>
      <w:r>
        <w:rPr>
          <w:rFonts w:ascii="Times New Roman" w:hAnsi="Times New Roman"/>
          <w:color w:val="000000"/>
          <w:sz w:val="20"/>
        </w:rPr>
        <w:t>amended*</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p>
    <w:p>
      <w:pPr>
        <w:pStyle w:val="TextBody"/>
        <w:bidi w:val="0"/>
        <w:spacing w:before="0" w:after="0"/>
        <w:ind w:left="3053" w:right="3069" w:hanging="0"/>
        <w:jc w:val="center"/>
        <w:rPr>
          <w:rFonts w:ascii="Times New Roman" w:hAnsi="Times New Roman"/>
          <w:color w:val="000000"/>
          <w:sz w:val="20"/>
        </w:rPr>
      </w:pPr>
      <w:r>
        <w:rPr>
          <w:rFonts w:ascii="Times New Roman" w:hAnsi="Times New Roman"/>
          <w:color w:val="000000"/>
          <w:sz w:val="20"/>
        </w:rPr>
        <w:t>Reflected in Indenture</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drawing>
          <wp:inline distT="0" distB="0" distL="0" distR="0">
            <wp:extent cx="5934075" cy="38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34075" cy="38100"/>
                    </a:xfrm>
                    <a:prstGeom prst="rect">
                      <a:avLst/>
                    </a:prstGeom>
                  </pic:spPr>
                </pic:pic>
              </a:graphicData>
            </a:graphic>
          </wp:inline>
        </w:drawing>
      </w:r>
    </w:p>
    <w:p>
      <w:pPr>
        <w:pStyle w:val="Normal"/>
        <w:bidi w:val="0"/>
        <w:spacing w:before="0" w:after="0"/>
        <w:jc w:val="left"/>
        <w:rPr>
          <w:sz w:val="4"/>
          <w:szCs w:val="4"/>
        </w:rPr>
      </w:pPr>
      <w:r>
        <w:rPr>
          <w:sz w:val="4"/>
          <w:szCs w:val="4"/>
        </w:rPr>
      </w:r>
      <w:bookmarkStart w:id="4" w:name="za216162a99ce4e1fac77aff24c0bdbfd"/>
      <w:bookmarkStart w:id="5" w:name="za216162a99ce4e1fac77aff24c0bdbfd"/>
      <w:bookmarkEnd w:id="5"/>
    </w:p>
    <w:tbl>
      <w:tblPr>
        <w:tblW w:w="4780" w:type="dxa"/>
        <w:jc w:val="left"/>
        <w:tblInd w:w="0" w:type="dxa"/>
        <w:tblLayout w:type="fixed"/>
        <w:tblCellMar>
          <w:top w:w="28" w:type="dxa"/>
          <w:left w:w="0" w:type="dxa"/>
          <w:bottom w:w="28" w:type="dxa"/>
          <w:right w:w="0" w:type="dxa"/>
        </w:tblCellMar>
      </w:tblPr>
      <w:tblGrid>
        <w:gridCol w:w="2885"/>
        <w:gridCol w:w="60"/>
        <w:gridCol w:w="1835"/>
      </w:tblGrid>
      <w:tr>
        <w:trPr/>
        <w:tc>
          <w:tcPr>
            <w:tcW w:w="2885" w:type="dxa"/>
            <w:tcBorders>
              <w:top w:val="single" w:sz="12" w:space="0" w:color="000000"/>
              <w:bottom w:val="single" w:sz="12" w:space="0" w:color="000000"/>
            </w:tcBorders>
            <w:vAlign w:val="center"/>
          </w:tcPr>
          <w:p>
            <w:pPr>
              <w:pStyle w:val="TableContents"/>
              <w:bidi w:val="0"/>
              <w:spacing w:before="0" w:after="0"/>
              <w:jc w:val="left"/>
              <w:rPr>
                <w:b/>
              </w:rPr>
            </w:pPr>
            <w:bookmarkStart w:id="6" w:name="z_Hlk97644570"/>
            <w:bookmarkEnd w:id="6"/>
            <w:r>
              <w:rPr>
                <w:b/>
              </w:rPr>
              <w:t>Trust Indenture Act Section</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op w:val="single" w:sz="12" w:space="0" w:color="000000"/>
              <w:bottom w:val="single" w:sz="12" w:space="0" w:color="000000"/>
            </w:tcBorders>
            <w:vAlign w:val="center"/>
          </w:tcPr>
          <w:p>
            <w:pPr>
              <w:pStyle w:val="TableContents"/>
              <w:bidi w:val="0"/>
              <w:spacing w:before="0" w:after="0"/>
              <w:jc w:val="center"/>
              <w:rPr>
                <w:b/>
              </w:rPr>
            </w:pPr>
            <w:r>
              <w:rPr>
                <w:b/>
              </w:rPr>
              <w:t>Indenture Section</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310 (a) (1)</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7.09</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(a) (2)</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7.09</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(a) (3)</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N.A.</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(a) (4)</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N.A.</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(a) (5)</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7.09</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(b)          </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7.03; 7.09</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311 (a)</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7.11</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(b)          </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7.11</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312 (a)</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2.07</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(b)          </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12.05</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(c)          </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12.05</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313 (a)</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7.10</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(b) (1)</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N.A.</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(b) (2)</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7.10</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(c)          </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7.10</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(d)</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7.10</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314 (a)</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4.03; 12.02; 12.04</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(b)          </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N.A.</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(c) (1)</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12.03</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(c) (2)</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12.03</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(c) (3)</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N.A.</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(d)</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N.A.</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(e)</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12.04</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(f)</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N.A.</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315 (a)</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7.01</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(b)</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7.05</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(c)</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7.01</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(d)</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7.01</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(e)</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6.11</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(a) (1) (A)</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6.05</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(a) (1) (B)</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6.04</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(a) (2)</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N.A.</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316 (a) (last sentence)</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2.11</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(b)</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6.07</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(c)</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8.03</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317 (a) (1)</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6.08</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(a) (2)</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6.09</w:t>
            </w:r>
          </w:p>
        </w:tc>
      </w:tr>
      <w:tr>
        <w:trPr/>
        <w:tc>
          <w:tcPr>
            <w:tcW w:w="2885" w:type="dxa"/>
            <w:tcBorders/>
            <w:tcMar>
              <w:top w:w="0" w:type="dxa"/>
              <w:bottom w:w="0" w:type="dxa"/>
            </w:tcMar>
            <w:vAlign w:val="center"/>
          </w:tcPr>
          <w:p>
            <w:pPr>
              <w:pStyle w:val="TableContents"/>
              <w:bidi w:val="0"/>
              <w:spacing w:before="0" w:after="0"/>
              <w:ind w:left="360" w:right="0" w:hanging="0"/>
              <w:jc w:val="left"/>
              <w:rPr/>
            </w:pPr>
            <w:r>
              <w:rPr/>
              <w:t>(b)</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tcMar>
              <w:top w:w="0" w:type="dxa"/>
              <w:bottom w:w="0" w:type="dxa"/>
            </w:tcMar>
            <w:vAlign w:val="center"/>
          </w:tcPr>
          <w:p>
            <w:pPr>
              <w:pStyle w:val="TableContents"/>
              <w:bidi w:val="0"/>
              <w:spacing w:before="0" w:after="0"/>
              <w:jc w:val="right"/>
              <w:rPr/>
            </w:pPr>
            <w:r>
              <w:rPr/>
              <w:t>2.06</w:t>
            </w:r>
          </w:p>
        </w:tc>
      </w:tr>
      <w:tr>
        <w:trPr/>
        <w:tc>
          <w:tcPr>
            <w:tcW w:w="2885" w:type="dxa"/>
            <w:tcBorders>
              <w:bottom w:val="single" w:sz="12" w:space="0" w:color="000000"/>
            </w:tcBorders>
            <w:tcMar>
              <w:top w:w="0" w:type="dxa"/>
            </w:tcMar>
            <w:vAlign w:val="center"/>
          </w:tcPr>
          <w:p>
            <w:pPr>
              <w:pStyle w:val="TableContents"/>
              <w:bidi w:val="0"/>
              <w:spacing w:before="0" w:after="0"/>
              <w:ind w:left="360" w:right="0" w:hanging="0"/>
              <w:jc w:val="left"/>
              <w:rPr/>
            </w:pPr>
            <w:r>
              <w:rPr/>
              <w:t>318 (a)</w:t>
            </w:r>
          </w:p>
        </w:tc>
        <w:tc>
          <w:tcPr>
            <w:tcW w:w="60" w:type="dxa"/>
            <w:tcBorders/>
            <w:tcMar>
              <w:top w:w="0" w:type="dxa"/>
              <w:bottom w:w="0" w:type="dxa"/>
            </w:tcMar>
            <w:vAlign w:val="center"/>
          </w:tcPr>
          <w:p>
            <w:pPr>
              <w:pStyle w:val="TableContents"/>
              <w:bidi w:val="0"/>
              <w:spacing w:before="0" w:after="283"/>
              <w:jc w:val="left"/>
              <w:rPr/>
            </w:pPr>
            <w:r>
              <w:rPr/>
              <w:t> </w:t>
            </w:r>
          </w:p>
        </w:tc>
        <w:tc>
          <w:tcPr>
            <w:tcW w:w="1835" w:type="dxa"/>
            <w:tcBorders>
              <w:bottom w:val="single" w:sz="12" w:space="0" w:color="000000"/>
            </w:tcBorders>
            <w:tcMar>
              <w:top w:w="0" w:type="dxa"/>
            </w:tcMar>
            <w:vAlign w:val="center"/>
          </w:tcPr>
          <w:p>
            <w:pPr>
              <w:pStyle w:val="TableContents"/>
              <w:bidi w:val="0"/>
              <w:spacing w:before="0" w:after="0"/>
              <w:jc w:val="right"/>
              <w:rPr/>
            </w:pPr>
            <w:r>
              <w:rPr/>
              <w:t>12.01</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N.A. means not applicable.</w:t>
      </w:r>
    </w:p>
    <w:p>
      <w:pPr>
        <w:pStyle w:val="Normal"/>
        <w:bidi w:val="0"/>
        <w:spacing w:before="0" w:after="0"/>
        <w:jc w:val="left"/>
        <w:rPr>
          <w:sz w:val="4"/>
          <w:szCs w:val="4"/>
        </w:rPr>
      </w:pPr>
      <w:r>
        <w:rPr>
          <w:sz w:val="4"/>
          <w:szCs w:val="4"/>
        </w:rPr>
      </w:r>
      <w:bookmarkStart w:id="7" w:name="z548219d4badb4fe2be61fd53f40cb6b1"/>
      <w:bookmarkStart w:id="8" w:name="z548219d4badb4fe2be61fd53f40cb6b1"/>
      <w:bookmarkEnd w:id="8"/>
    </w:p>
    <w:tbl>
      <w:tblPr>
        <w:tblW w:w="5440" w:type="dxa"/>
        <w:jc w:val="left"/>
        <w:tblInd w:w="0" w:type="dxa"/>
        <w:tblLayout w:type="fixed"/>
        <w:tblCellMar>
          <w:top w:w="0" w:type="dxa"/>
          <w:left w:w="0" w:type="dxa"/>
          <w:bottom w:w="0" w:type="dxa"/>
          <w:right w:w="0" w:type="dxa"/>
        </w:tblCellMar>
      </w:tblPr>
      <w:tblGrid>
        <w:gridCol w:w="155"/>
        <w:gridCol w:w="5285"/>
      </w:tblGrid>
      <w:tr>
        <w:trPr/>
        <w:tc>
          <w:tcPr>
            <w:tcW w:w="155" w:type="dxa"/>
            <w:tcBorders/>
            <w:vAlign w:val="center"/>
          </w:tcPr>
          <w:p>
            <w:pPr>
              <w:pStyle w:val="TableContents"/>
              <w:bidi w:val="0"/>
              <w:spacing w:before="0" w:after="0"/>
              <w:jc w:val="left"/>
              <w:rPr/>
            </w:pPr>
            <w:r>
              <w:rPr/>
              <w:t>*</w:t>
            </w:r>
          </w:p>
        </w:tc>
        <w:tc>
          <w:tcPr>
            <w:tcW w:w="5285" w:type="dxa"/>
            <w:tcBorders/>
            <w:vAlign w:val="center"/>
          </w:tcPr>
          <w:p>
            <w:pPr>
              <w:pStyle w:val="TableContents"/>
              <w:bidi w:val="0"/>
              <w:spacing w:before="0" w:after="0"/>
              <w:jc w:val="left"/>
              <w:rPr/>
            </w:pPr>
            <w:r>
              <w:rPr/>
              <w:t>This Cross Reference Table is not part of the Indenture.</w:t>
            </w:r>
          </w:p>
        </w:tc>
      </w:tr>
    </w:tbl>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left"/>
        <w:rPr>
          <w:color w:val="000000"/>
        </w:rPr>
      </w:pPr>
      <w:r>
        <w:rPr>
          <w:color w:val="000000"/>
        </w:rPr>
        <w:t> </w:t>
      </w:r>
    </w:p>
    <w:p>
      <w:pPr>
        <w:pStyle w:val="TextBody"/>
        <w:bidi w:val="0"/>
        <w:spacing w:before="0" w:after="0"/>
        <w:ind w:left="0" w:right="24" w:hanging="0"/>
        <w:jc w:val="right"/>
        <w:rPr>
          <w:rFonts w:ascii="Times New Roman" w:hAnsi="Times New Roman"/>
          <w:b/>
          <w:color w:val="000000"/>
          <w:sz w:val="20"/>
        </w:rPr>
      </w:pPr>
      <w:r>
        <w:rPr>
          <w:rFonts w:ascii="Times New Roman" w:hAnsi="Times New Roman"/>
          <w:b/>
          <w:color w:val="000000"/>
          <w:sz w:val="20"/>
        </w:rPr>
        <w:t>Page</w:t>
      </w:r>
    </w:p>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I</w:t>
        <w:br/>
        <w:t>DEFINITIONS AND INCORPORATION BY REFERENCE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 w:name="zaa63412d2fa04f448a4a6b3e3d73e3a4"/>
      <w:bookmarkStart w:id="10" w:name="zaa63412d2fa04f448a4a6b3e3d73e3a4"/>
      <w:bookmarkEnd w:id="10"/>
    </w:p>
    <w:tbl>
      <w:tblPr>
        <w:tblW w:w="6415" w:type="dxa"/>
        <w:jc w:val="left"/>
        <w:tblInd w:w="0" w:type="dxa"/>
        <w:tblLayout w:type="fixed"/>
        <w:tblCellMar>
          <w:top w:w="0" w:type="dxa"/>
          <w:left w:w="0" w:type="dxa"/>
          <w:bottom w:w="0" w:type="dxa"/>
          <w:right w:w="0" w:type="dxa"/>
        </w:tblCellMar>
      </w:tblPr>
      <w:tblGrid>
        <w:gridCol w:w="6155"/>
        <w:gridCol w:w="260"/>
      </w:tblGrid>
      <w:tr>
        <w:trPr/>
        <w:tc>
          <w:tcPr>
            <w:tcW w:w="6155" w:type="dxa"/>
            <w:tcBorders/>
            <w:shd w:fill="CCEEFF" w:val="clear"/>
            <w:vAlign w:val="center"/>
          </w:tcPr>
          <w:p>
            <w:pPr>
              <w:pStyle w:val="TableContents"/>
              <w:bidi w:val="0"/>
              <w:spacing w:before="0" w:after="0"/>
              <w:jc w:val="left"/>
              <w:rPr/>
            </w:pPr>
            <w:r>
              <w:rPr>
                <w:color w:val="000000"/>
              </w:rPr>
              <w:t>Section 1.01.</w:t>
            </w:r>
            <w:r>
              <w:rPr/>
              <w:t xml:space="preserve"> Definitions.</w:t>
            </w:r>
          </w:p>
        </w:tc>
        <w:tc>
          <w:tcPr>
            <w:tcW w:w="260" w:type="dxa"/>
            <w:tcBorders/>
            <w:shd w:fill="CCEEFF" w:val="clear"/>
            <w:vAlign w:val="center"/>
          </w:tcPr>
          <w:p>
            <w:pPr>
              <w:pStyle w:val="TableContents"/>
              <w:bidi w:val="0"/>
              <w:spacing w:before="0" w:after="0"/>
              <w:jc w:val="right"/>
              <w:rPr/>
            </w:pPr>
            <w:r>
              <w:rPr/>
              <w:t>1</w:t>
            </w:r>
          </w:p>
        </w:tc>
      </w:tr>
      <w:tr>
        <w:trPr/>
        <w:tc>
          <w:tcPr>
            <w:tcW w:w="6155" w:type="dxa"/>
            <w:tcBorders/>
            <w:vAlign w:val="center"/>
          </w:tcPr>
          <w:p>
            <w:pPr>
              <w:pStyle w:val="TableContents"/>
              <w:bidi w:val="0"/>
              <w:spacing w:before="0" w:after="0"/>
              <w:jc w:val="left"/>
              <w:rPr/>
            </w:pPr>
            <w:r>
              <w:rPr>
                <w:color w:val="000000"/>
              </w:rPr>
              <w:t>Section 1.02.</w:t>
            </w:r>
            <w:r>
              <w:rPr/>
              <w:t xml:space="preserve"> Other Definitions.</w:t>
            </w:r>
          </w:p>
        </w:tc>
        <w:tc>
          <w:tcPr>
            <w:tcW w:w="260" w:type="dxa"/>
            <w:tcBorders/>
            <w:vAlign w:val="center"/>
          </w:tcPr>
          <w:p>
            <w:pPr>
              <w:pStyle w:val="TableContents"/>
              <w:bidi w:val="0"/>
              <w:spacing w:before="0" w:after="0"/>
              <w:jc w:val="right"/>
              <w:rPr/>
            </w:pPr>
            <w:r>
              <w:rPr/>
              <w:t>9</w:t>
            </w:r>
          </w:p>
        </w:tc>
      </w:tr>
      <w:tr>
        <w:trPr/>
        <w:tc>
          <w:tcPr>
            <w:tcW w:w="6155" w:type="dxa"/>
            <w:tcBorders/>
            <w:shd w:fill="CCEEFF" w:val="clear"/>
            <w:vAlign w:val="center"/>
          </w:tcPr>
          <w:p>
            <w:pPr>
              <w:pStyle w:val="TableContents"/>
              <w:bidi w:val="0"/>
              <w:spacing w:before="0" w:after="0"/>
              <w:jc w:val="left"/>
              <w:rPr/>
            </w:pPr>
            <w:r>
              <w:rPr>
                <w:color w:val="000000"/>
              </w:rPr>
              <w:t>Section 1.03.</w:t>
            </w:r>
            <w:r>
              <w:rPr/>
              <w:t xml:space="preserve"> Rules of Construction.</w:t>
            </w:r>
          </w:p>
        </w:tc>
        <w:tc>
          <w:tcPr>
            <w:tcW w:w="260" w:type="dxa"/>
            <w:tcBorders/>
            <w:shd w:fill="CCEEFF" w:val="clear"/>
            <w:vAlign w:val="center"/>
          </w:tcPr>
          <w:p>
            <w:pPr>
              <w:pStyle w:val="TableContents"/>
              <w:bidi w:val="0"/>
              <w:spacing w:before="0" w:after="0"/>
              <w:jc w:val="right"/>
              <w:rPr/>
            </w:pPr>
            <w:r>
              <w:rPr/>
              <w:t>9</w:t>
            </w:r>
          </w:p>
        </w:tc>
      </w:tr>
      <w:tr>
        <w:trPr/>
        <w:tc>
          <w:tcPr>
            <w:tcW w:w="6155" w:type="dxa"/>
            <w:tcBorders/>
            <w:vAlign w:val="center"/>
          </w:tcPr>
          <w:p>
            <w:pPr>
              <w:pStyle w:val="TableContents"/>
              <w:bidi w:val="0"/>
              <w:spacing w:before="0" w:after="0"/>
              <w:jc w:val="left"/>
              <w:rPr/>
            </w:pPr>
            <w:r>
              <w:rPr>
                <w:color w:val="000000"/>
              </w:rPr>
              <w:t>Section 1.04.</w:t>
            </w:r>
            <w:r>
              <w:rPr/>
              <w:t xml:space="preserve"> Incorporation by Reference of Trust Indenture Act.</w:t>
            </w:r>
          </w:p>
        </w:tc>
        <w:tc>
          <w:tcPr>
            <w:tcW w:w="260" w:type="dxa"/>
            <w:tcBorders/>
            <w:vAlign w:val="center"/>
          </w:tcPr>
          <w:p>
            <w:pPr>
              <w:pStyle w:val="TableContents"/>
              <w:bidi w:val="0"/>
              <w:spacing w:before="0" w:after="0"/>
              <w:jc w:val="right"/>
              <w:rPr/>
            </w:pPr>
            <w:r>
              <w:rPr/>
              <w:t>10</w:t>
            </w:r>
          </w:p>
        </w:tc>
      </w:tr>
    </w:tbl>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II</w:t>
        <w:br/>
        <w:t>THE SECURITIES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 w:name="za465fa4d3d9342b0a5346b952947a2b8"/>
      <w:bookmarkStart w:id="12" w:name="za465fa4d3d9342b0a5346b952947a2b8"/>
      <w:bookmarkEnd w:id="12"/>
    </w:p>
    <w:tbl>
      <w:tblPr>
        <w:tblW w:w="6070" w:type="dxa"/>
        <w:jc w:val="left"/>
        <w:tblInd w:w="0" w:type="dxa"/>
        <w:tblLayout w:type="fixed"/>
        <w:tblCellMar>
          <w:top w:w="0" w:type="dxa"/>
          <w:left w:w="0" w:type="dxa"/>
          <w:bottom w:w="0" w:type="dxa"/>
          <w:right w:w="0" w:type="dxa"/>
        </w:tblCellMar>
      </w:tblPr>
      <w:tblGrid>
        <w:gridCol w:w="5795"/>
        <w:gridCol w:w="275"/>
      </w:tblGrid>
      <w:tr>
        <w:trPr/>
        <w:tc>
          <w:tcPr>
            <w:tcW w:w="5795" w:type="dxa"/>
            <w:tcBorders/>
            <w:shd w:fill="CCEEFF" w:val="clear"/>
            <w:vAlign w:val="center"/>
          </w:tcPr>
          <w:p>
            <w:pPr>
              <w:pStyle w:val="TableContents"/>
              <w:bidi w:val="0"/>
              <w:spacing w:before="0" w:after="0"/>
              <w:jc w:val="left"/>
              <w:rPr/>
            </w:pPr>
            <w:r>
              <w:rPr>
                <w:color w:val="000000"/>
              </w:rPr>
              <w:t>Section 2.01.</w:t>
            </w:r>
            <w:r>
              <w:rPr/>
              <w:t xml:space="preserve"> Terms of the Securities.</w:t>
            </w:r>
          </w:p>
        </w:tc>
        <w:tc>
          <w:tcPr>
            <w:tcW w:w="275" w:type="dxa"/>
            <w:tcBorders/>
            <w:shd w:fill="CCEEFF" w:val="clear"/>
            <w:vAlign w:val="center"/>
          </w:tcPr>
          <w:p>
            <w:pPr>
              <w:pStyle w:val="TableContents"/>
              <w:bidi w:val="0"/>
              <w:spacing w:before="0" w:after="0"/>
              <w:jc w:val="right"/>
              <w:rPr/>
            </w:pPr>
            <w:r>
              <w:rPr/>
              <w:t>10</w:t>
            </w:r>
          </w:p>
        </w:tc>
      </w:tr>
      <w:tr>
        <w:trPr/>
        <w:tc>
          <w:tcPr>
            <w:tcW w:w="5795" w:type="dxa"/>
            <w:tcBorders/>
            <w:vAlign w:val="center"/>
          </w:tcPr>
          <w:p>
            <w:pPr>
              <w:pStyle w:val="TableContents"/>
              <w:bidi w:val="0"/>
              <w:spacing w:before="0" w:after="0"/>
              <w:jc w:val="left"/>
              <w:rPr/>
            </w:pPr>
            <w:r>
              <w:rPr>
                <w:color w:val="000000"/>
              </w:rPr>
              <w:t>Section 2.02.</w:t>
            </w:r>
            <w:r>
              <w:rPr/>
              <w:t xml:space="preserve"> Amount Unlimited; Issuable in Series.</w:t>
            </w:r>
          </w:p>
        </w:tc>
        <w:tc>
          <w:tcPr>
            <w:tcW w:w="275" w:type="dxa"/>
            <w:tcBorders/>
            <w:vAlign w:val="center"/>
          </w:tcPr>
          <w:p>
            <w:pPr>
              <w:pStyle w:val="TableContents"/>
              <w:bidi w:val="0"/>
              <w:spacing w:before="0" w:after="0"/>
              <w:jc w:val="right"/>
              <w:rPr/>
            </w:pPr>
            <w:r>
              <w:rPr/>
              <w:t>11</w:t>
            </w:r>
          </w:p>
        </w:tc>
      </w:tr>
      <w:tr>
        <w:trPr/>
        <w:tc>
          <w:tcPr>
            <w:tcW w:w="5795" w:type="dxa"/>
            <w:tcBorders/>
            <w:shd w:fill="CCEEFF" w:val="clear"/>
            <w:vAlign w:val="center"/>
          </w:tcPr>
          <w:p>
            <w:pPr>
              <w:pStyle w:val="TableContents"/>
              <w:bidi w:val="0"/>
              <w:spacing w:before="0" w:after="0"/>
              <w:jc w:val="left"/>
              <w:rPr/>
            </w:pPr>
            <w:r>
              <w:rPr>
                <w:color w:val="000000"/>
              </w:rPr>
              <w:t>Section 2.03.</w:t>
            </w:r>
            <w:r>
              <w:rPr/>
              <w:t xml:space="preserve"> Execution and Authentication.</w:t>
            </w:r>
          </w:p>
        </w:tc>
        <w:tc>
          <w:tcPr>
            <w:tcW w:w="275" w:type="dxa"/>
            <w:tcBorders/>
            <w:shd w:fill="CCEEFF" w:val="clear"/>
            <w:vAlign w:val="center"/>
          </w:tcPr>
          <w:p>
            <w:pPr>
              <w:pStyle w:val="TableContents"/>
              <w:bidi w:val="0"/>
              <w:spacing w:before="0" w:after="0"/>
              <w:jc w:val="right"/>
              <w:rPr/>
            </w:pPr>
            <w:r>
              <w:rPr/>
              <w:t>13</w:t>
            </w:r>
          </w:p>
        </w:tc>
      </w:tr>
      <w:tr>
        <w:trPr/>
        <w:tc>
          <w:tcPr>
            <w:tcW w:w="5795" w:type="dxa"/>
            <w:tcBorders/>
            <w:vAlign w:val="center"/>
          </w:tcPr>
          <w:p>
            <w:pPr>
              <w:pStyle w:val="TableContents"/>
              <w:bidi w:val="0"/>
              <w:spacing w:before="0" w:after="0"/>
              <w:jc w:val="left"/>
              <w:rPr/>
            </w:pPr>
            <w:r>
              <w:rPr>
                <w:color w:val="000000"/>
              </w:rPr>
              <w:t>Section 2.04.</w:t>
            </w:r>
            <w:r>
              <w:rPr/>
              <w:t xml:space="preserve"> Forms of Certificate of Authentication.</w:t>
            </w:r>
          </w:p>
        </w:tc>
        <w:tc>
          <w:tcPr>
            <w:tcW w:w="275" w:type="dxa"/>
            <w:tcBorders/>
            <w:vAlign w:val="center"/>
          </w:tcPr>
          <w:p>
            <w:pPr>
              <w:pStyle w:val="TableContents"/>
              <w:bidi w:val="0"/>
              <w:spacing w:before="0" w:after="0"/>
              <w:jc w:val="right"/>
              <w:rPr/>
            </w:pPr>
            <w:r>
              <w:rPr/>
              <w:t>14</w:t>
            </w:r>
          </w:p>
        </w:tc>
      </w:tr>
      <w:tr>
        <w:trPr/>
        <w:tc>
          <w:tcPr>
            <w:tcW w:w="5795" w:type="dxa"/>
            <w:tcBorders/>
            <w:shd w:fill="CCEEFF" w:val="clear"/>
            <w:vAlign w:val="center"/>
          </w:tcPr>
          <w:p>
            <w:pPr>
              <w:pStyle w:val="TableContents"/>
              <w:bidi w:val="0"/>
              <w:spacing w:before="0" w:after="0"/>
              <w:jc w:val="left"/>
              <w:rPr/>
            </w:pPr>
            <w:r>
              <w:rPr>
                <w:color w:val="000000"/>
              </w:rPr>
              <w:t>Section 2.05.</w:t>
            </w:r>
            <w:r>
              <w:rPr/>
              <w:t xml:space="preserve"> Registrar and Paying Agent.</w:t>
            </w:r>
          </w:p>
        </w:tc>
        <w:tc>
          <w:tcPr>
            <w:tcW w:w="275" w:type="dxa"/>
            <w:tcBorders/>
            <w:shd w:fill="CCEEFF" w:val="clear"/>
            <w:vAlign w:val="center"/>
          </w:tcPr>
          <w:p>
            <w:pPr>
              <w:pStyle w:val="TableContents"/>
              <w:bidi w:val="0"/>
              <w:spacing w:before="0" w:after="0"/>
              <w:jc w:val="right"/>
              <w:rPr/>
            </w:pPr>
            <w:r>
              <w:rPr/>
              <w:t>15</w:t>
            </w:r>
          </w:p>
        </w:tc>
      </w:tr>
      <w:tr>
        <w:trPr/>
        <w:tc>
          <w:tcPr>
            <w:tcW w:w="5795" w:type="dxa"/>
            <w:tcBorders/>
            <w:vAlign w:val="center"/>
          </w:tcPr>
          <w:p>
            <w:pPr>
              <w:pStyle w:val="TableContents"/>
              <w:bidi w:val="0"/>
              <w:spacing w:before="0" w:after="0"/>
              <w:jc w:val="left"/>
              <w:rPr/>
            </w:pPr>
            <w:r>
              <w:rPr>
                <w:color w:val="000000"/>
              </w:rPr>
              <w:t>Section 2.06.</w:t>
            </w:r>
            <w:r>
              <w:rPr/>
              <w:t xml:space="preserve"> Paying Agent To Hold Money in Trust.</w:t>
            </w:r>
          </w:p>
        </w:tc>
        <w:tc>
          <w:tcPr>
            <w:tcW w:w="275" w:type="dxa"/>
            <w:tcBorders/>
            <w:vAlign w:val="center"/>
          </w:tcPr>
          <w:p>
            <w:pPr>
              <w:pStyle w:val="TableContents"/>
              <w:bidi w:val="0"/>
              <w:spacing w:before="0" w:after="0"/>
              <w:jc w:val="right"/>
              <w:rPr/>
            </w:pPr>
            <w:r>
              <w:rPr/>
              <w:t>15</w:t>
            </w:r>
          </w:p>
        </w:tc>
      </w:tr>
      <w:tr>
        <w:trPr/>
        <w:tc>
          <w:tcPr>
            <w:tcW w:w="5795" w:type="dxa"/>
            <w:tcBorders/>
            <w:shd w:fill="CCEEFF" w:val="clear"/>
            <w:vAlign w:val="center"/>
          </w:tcPr>
          <w:p>
            <w:pPr>
              <w:pStyle w:val="TableContents"/>
              <w:bidi w:val="0"/>
              <w:spacing w:before="0" w:after="0"/>
              <w:jc w:val="left"/>
              <w:rPr/>
            </w:pPr>
            <w:r>
              <w:rPr>
                <w:color w:val="000000"/>
              </w:rPr>
              <w:t>Section 2.07.</w:t>
            </w:r>
            <w:r>
              <w:rPr/>
              <w:t xml:space="preserve"> Holder Lists.</w:t>
            </w:r>
          </w:p>
        </w:tc>
        <w:tc>
          <w:tcPr>
            <w:tcW w:w="275" w:type="dxa"/>
            <w:tcBorders/>
            <w:shd w:fill="CCEEFF" w:val="clear"/>
            <w:vAlign w:val="center"/>
          </w:tcPr>
          <w:p>
            <w:pPr>
              <w:pStyle w:val="TableContents"/>
              <w:bidi w:val="0"/>
              <w:spacing w:before="0" w:after="0"/>
              <w:jc w:val="right"/>
              <w:rPr/>
            </w:pPr>
            <w:r>
              <w:rPr/>
              <w:t>15</w:t>
            </w:r>
          </w:p>
        </w:tc>
      </w:tr>
      <w:tr>
        <w:trPr/>
        <w:tc>
          <w:tcPr>
            <w:tcW w:w="5795" w:type="dxa"/>
            <w:tcBorders/>
            <w:vAlign w:val="center"/>
          </w:tcPr>
          <w:p>
            <w:pPr>
              <w:pStyle w:val="TableContents"/>
              <w:bidi w:val="0"/>
              <w:spacing w:before="0" w:after="0"/>
              <w:jc w:val="left"/>
              <w:rPr/>
            </w:pPr>
            <w:r>
              <w:rPr>
                <w:color w:val="000000"/>
              </w:rPr>
              <w:t>Section 2.08.</w:t>
            </w:r>
            <w:r>
              <w:rPr/>
              <w:t xml:space="preserve"> Transfer and Exchange.</w:t>
            </w:r>
          </w:p>
        </w:tc>
        <w:tc>
          <w:tcPr>
            <w:tcW w:w="275" w:type="dxa"/>
            <w:tcBorders/>
            <w:vAlign w:val="center"/>
          </w:tcPr>
          <w:p>
            <w:pPr>
              <w:pStyle w:val="TableContents"/>
              <w:bidi w:val="0"/>
              <w:spacing w:before="0" w:after="0"/>
              <w:jc w:val="right"/>
              <w:rPr/>
            </w:pPr>
            <w:r>
              <w:rPr/>
              <w:t>15</w:t>
            </w:r>
          </w:p>
        </w:tc>
      </w:tr>
      <w:tr>
        <w:trPr/>
        <w:tc>
          <w:tcPr>
            <w:tcW w:w="5795" w:type="dxa"/>
            <w:tcBorders/>
            <w:shd w:fill="CCEEFF" w:val="clear"/>
            <w:vAlign w:val="center"/>
          </w:tcPr>
          <w:p>
            <w:pPr>
              <w:pStyle w:val="TableContents"/>
              <w:bidi w:val="0"/>
              <w:spacing w:before="0" w:after="0"/>
              <w:jc w:val="left"/>
              <w:rPr/>
            </w:pPr>
            <w:r>
              <w:rPr>
                <w:color w:val="000000"/>
              </w:rPr>
              <w:t>Section 2.09.</w:t>
            </w:r>
            <w:r>
              <w:rPr/>
              <w:t xml:space="preserve"> Replacement Securities.</w:t>
            </w:r>
          </w:p>
        </w:tc>
        <w:tc>
          <w:tcPr>
            <w:tcW w:w="275" w:type="dxa"/>
            <w:tcBorders/>
            <w:shd w:fill="CCEEFF" w:val="clear"/>
            <w:vAlign w:val="center"/>
          </w:tcPr>
          <w:p>
            <w:pPr>
              <w:pStyle w:val="TableContents"/>
              <w:bidi w:val="0"/>
              <w:spacing w:before="0" w:after="0"/>
              <w:jc w:val="right"/>
              <w:rPr/>
            </w:pPr>
            <w:r>
              <w:rPr/>
              <w:t>16</w:t>
            </w:r>
          </w:p>
        </w:tc>
      </w:tr>
      <w:tr>
        <w:trPr/>
        <w:tc>
          <w:tcPr>
            <w:tcW w:w="5795" w:type="dxa"/>
            <w:tcBorders/>
            <w:vAlign w:val="center"/>
          </w:tcPr>
          <w:p>
            <w:pPr>
              <w:pStyle w:val="TableContents"/>
              <w:bidi w:val="0"/>
              <w:spacing w:before="0" w:after="0"/>
              <w:jc w:val="left"/>
              <w:rPr/>
            </w:pPr>
            <w:r>
              <w:rPr>
                <w:color w:val="000000"/>
              </w:rPr>
              <w:t>Section 2.10.</w:t>
            </w:r>
            <w:r>
              <w:rPr/>
              <w:t xml:space="preserve"> Outstanding Securities.</w:t>
            </w:r>
          </w:p>
        </w:tc>
        <w:tc>
          <w:tcPr>
            <w:tcW w:w="275" w:type="dxa"/>
            <w:tcBorders/>
            <w:vAlign w:val="center"/>
          </w:tcPr>
          <w:p>
            <w:pPr>
              <w:pStyle w:val="TableContents"/>
              <w:bidi w:val="0"/>
              <w:spacing w:before="0" w:after="0"/>
              <w:jc w:val="right"/>
              <w:rPr/>
            </w:pPr>
            <w:r>
              <w:rPr/>
              <w:t>16</w:t>
            </w:r>
          </w:p>
        </w:tc>
      </w:tr>
      <w:tr>
        <w:trPr/>
        <w:tc>
          <w:tcPr>
            <w:tcW w:w="5795" w:type="dxa"/>
            <w:tcBorders/>
            <w:shd w:fill="CCEEFF" w:val="clear"/>
            <w:vAlign w:val="center"/>
          </w:tcPr>
          <w:p>
            <w:pPr>
              <w:pStyle w:val="TableContents"/>
              <w:bidi w:val="0"/>
              <w:spacing w:before="0" w:after="0"/>
              <w:jc w:val="left"/>
              <w:rPr/>
            </w:pPr>
            <w:r>
              <w:rPr>
                <w:color w:val="000000"/>
              </w:rPr>
              <w:t>Section 2.11.</w:t>
            </w:r>
            <w:r>
              <w:rPr/>
              <w:t xml:space="preserve"> Treasury Securities.</w:t>
            </w:r>
          </w:p>
        </w:tc>
        <w:tc>
          <w:tcPr>
            <w:tcW w:w="275" w:type="dxa"/>
            <w:tcBorders/>
            <w:shd w:fill="CCEEFF" w:val="clear"/>
            <w:vAlign w:val="center"/>
          </w:tcPr>
          <w:p>
            <w:pPr>
              <w:pStyle w:val="TableContents"/>
              <w:bidi w:val="0"/>
              <w:spacing w:before="0" w:after="0"/>
              <w:jc w:val="right"/>
              <w:rPr/>
            </w:pPr>
            <w:r>
              <w:rPr/>
              <w:t>17</w:t>
            </w:r>
          </w:p>
        </w:tc>
      </w:tr>
      <w:tr>
        <w:trPr/>
        <w:tc>
          <w:tcPr>
            <w:tcW w:w="5795" w:type="dxa"/>
            <w:tcBorders/>
            <w:vAlign w:val="center"/>
          </w:tcPr>
          <w:p>
            <w:pPr>
              <w:pStyle w:val="TableContents"/>
              <w:bidi w:val="0"/>
              <w:spacing w:before="0" w:after="0"/>
              <w:jc w:val="left"/>
              <w:rPr/>
            </w:pPr>
            <w:r>
              <w:rPr>
                <w:color w:val="000000"/>
              </w:rPr>
              <w:t>Section 2.12.</w:t>
            </w:r>
            <w:r>
              <w:rPr/>
              <w:t xml:space="preserve"> Temporary Securities.</w:t>
            </w:r>
          </w:p>
        </w:tc>
        <w:tc>
          <w:tcPr>
            <w:tcW w:w="275" w:type="dxa"/>
            <w:tcBorders/>
            <w:vAlign w:val="center"/>
          </w:tcPr>
          <w:p>
            <w:pPr>
              <w:pStyle w:val="TableContents"/>
              <w:bidi w:val="0"/>
              <w:spacing w:before="0" w:after="0"/>
              <w:jc w:val="right"/>
              <w:rPr/>
            </w:pPr>
            <w:r>
              <w:rPr/>
              <w:t>17</w:t>
            </w:r>
          </w:p>
        </w:tc>
      </w:tr>
      <w:tr>
        <w:trPr/>
        <w:tc>
          <w:tcPr>
            <w:tcW w:w="5795" w:type="dxa"/>
            <w:tcBorders/>
            <w:shd w:fill="CCEEFF" w:val="clear"/>
            <w:vAlign w:val="center"/>
          </w:tcPr>
          <w:p>
            <w:pPr>
              <w:pStyle w:val="TableContents"/>
              <w:bidi w:val="0"/>
              <w:spacing w:before="0" w:after="0"/>
              <w:jc w:val="left"/>
              <w:rPr/>
            </w:pPr>
            <w:r>
              <w:rPr>
                <w:color w:val="000000"/>
              </w:rPr>
              <w:t>Section 2.13.</w:t>
            </w:r>
            <w:r>
              <w:rPr/>
              <w:t xml:space="preserve"> Cancellation.</w:t>
            </w:r>
          </w:p>
        </w:tc>
        <w:tc>
          <w:tcPr>
            <w:tcW w:w="275" w:type="dxa"/>
            <w:tcBorders/>
            <w:shd w:fill="CCEEFF" w:val="clear"/>
            <w:vAlign w:val="center"/>
          </w:tcPr>
          <w:p>
            <w:pPr>
              <w:pStyle w:val="TableContents"/>
              <w:bidi w:val="0"/>
              <w:spacing w:before="0" w:after="0"/>
              <w:jc w:val="right"/>
              <w:rPr/>
            </w:pPr>
            <w:r>
              <w:rPr/>
              <w:t>17</w:t>
            </w:r>
          </w:p>
        </w:tc>
      </w:tr>
      <w:tr>
        <w:trPr/>
        <w:tc>
          <w:tcPr>
            <w:tcW w:w="5795" w:type="dxa"/>
            <w:tcBorders/>
            <w:vAlign w:val="center"/>
          </w:tcPr>
          <w:p>
            <w:pPr>
              <w:pStyle w:val="TableContents"/>
              <w:bidi w:val="0"/>
              <w:spacing w:before="0" w:after="0"/>
              <w:jc w:val="left"/>
              <w:rPr/>
            </w:pPr>
            <w:r>
              <w:rPr>
                <w:color w:val="000000"/>
              </w:rPr>
              <w:t>Section 2.14.</w:t>
            </w:r>
            <w:r>
              <w:rPr/>
              <w:t xml:space="preserve"> Defaulted Interest.</w:t>
            </w:r>
          </w:p>
        </w:tc>
        <w:tc>
          <w:tcPr>
            <w:tcW w:w="275" w:type="dxa"/>
            <w:tcBorders/>
            <w:vAlign w:val="center"/>
          </w:tcPr>
          <w:p>
            <w:pPr>
              <w:pStyle w:val="TableContents"/>
              <w:bidi w:val="0"/>
              <w:spacing w:before="0" w:after="0"/>
              <w:jc w:val="right"/>
              <w:rPr/>
            </w:pPr>
            <w:r>
              <w:rPr/>
              <w:t>18</w:t>
            </w:r>
          </w:p>
        </w:tc>
      </w:tr>
      <w:tr>
        <w:trPr/>
        <w:tc>
          <w:tcPr>
            <w:tcW w:w="5795" w:type="dxa"/>
            <w:tcBorders/>
            <w:shd w:fill="CCEEFF" w:val="clear"/>
            <w:vAlign w:val="center"/>
          </w:tcPr>
          <w:p>
            <w:pPr>
              <w:pStyle w:val="TableContents"/>
              <w:bidi w:val="0"/>
              <w:spacing w:before="0" w:after="0"/>
              <w:jc w:val="left"/>
              <w:rPr/>
            </w:pPr>
            <w:r>
              <w:rPr>
                <w:color w:val="000000"/>
              </w:rPr>
              <w:t>Section 2.15.</w:t>
            </w:r>
            <w:r>
              <w:rPr/>
              <w:t xml:space="preserve"> Identifying Number.</w:t>
            </w:r>
          </w:p>
        </w:tc>
        <w:tc>
          <w:tcPr>
            <w:tcW w:w="275" w:type="dxa"/>
            <w:tcBorders/>
            <w:shd w:fill="CCEEFF" w:val="clear"/>
            <w:vAlign w:val="center"/>
          </w:tcPr>
          <w:p>
            <w:pPr>
              <w:pStyle w:val="TableContents"/>
              <w:bidi w:val="0"/>
              <w:spacing w:before="0" w:after="0"/>
              <w:jc w:val="right"/>
              <w:rPr/>
            </w:pPr>
            <w:r>
              <w:rPr/>
              <w:t>18</w:t>
            </w:r>
          </w:p>
        </w:tc>
      </w:tr>
      <w:tr>
        <w:trPr/>
        <w:tc>
          <w:tcPr>
            <w:tcW w:w="5795" w:type="dxa"/>
            <w:tcBorders/>
            <w:vAlign w:val="center"/>
          </w:tcPr>
          <w:p>
            <w:pPr>
              <w:pStyle w:val="TableContents"/>
              <w:bidi w:val="0"/>
              <w:spacing w:before="0" w:after="0"/>
              <w:jc w:val="left"/>
              <w:rPr/>
            </w:pPr>
            <w:r>
              <w:rPr>
                <w:color w:val="000000"/>
              </w:rPr>
              <w:t>Section 2.16.</w:t>
            </w:r>
            <w:r>
              <w:rPr/>
              <w:t xml:space="preserve"> Deposit of Moneys.</w:t>
            </w:r>
          </w:p>
        </w:tc>
        <w:tc>
          <w:tcPr>
            <w:tcW w:w="275" w:type="dxa"/>
            <w:tcBorders/>
            <w:vAlign w:val="center"/>
          </w:tcPr>
          <w:p>
            <w:pPr>
              <w:pStyle w:val="TableContents"/>
              <w:bidi w:val="0"/>
              <w:spacing w:before="0" w:after="0"/>
              <w:jc w:val="right"/>
              <w:rPr/>
            </w:pPr>
            <w:r>
              <w:rPr/>
              <w:t>18</w:t>
            </w:r>
          </w:p>
        </w:tc>
      </w:tr>
      <w:tr>
        <w:trPr/>
        <w:tc>
          <w:tcPr>
            <w:tcW w:w="5795" w:type="dxa"/>
            <w:tcBorders/>
            <w:shd w:fill="CCEEFF" w:val="clear"/>
            <w:vAlign w:val="center"/>
          </w:tcPr>
          <w:p>
            <w:pPr>
              <w:pStyle w:val="TableContents"/>
              <w:bidi w:val="0"/>
              <w:spacing w:before="0" w:after="0"/>
              <w:jc w:val="left"/>
              <w:rPr/>
            </w:pPr>
            <w:r>
              <w:rPr>
                <w:color w:val="000000"/>
              </w:rPr>
              <w:t>Section 2.17.</w:t>
            </w:r>
            <w:r>
              <w:rPr/>
              <w:t xml:space="preserve"> Global Securities.</w:t>
            </w:r>
          </w:p>
        </w:tc>
        <w:tc>
          <w:tcPr>
            <w:tcW w:w="275" w:type="dxa"/>
            <w:tcBorders/>
            <w:shd w:fill="CCEEFF" w:val="clear"/>
            <w:vAlign w:val="center"/>
          </w:tcPr>
          <w:p>
            <w:pPr>
              <w:pStyle w:val="TableContents"/>
              <w:bidi w:val="0"/>
              <w:spacing w:before="0" w:after="0"/>
              <w:jc w:val="right"/>
              <w:rPr/>
            </w:pPr>
            <w:r>
              <w:rPr/>
              <w:t>18</w:t>
            </w:r>
          </w:p>
        </w:tc>
      </w:tr>
      <w:tr>
        <w:trPr/>
        <w:tc>
          <w:tcPr>
            <w:tcW w:w="5795" w:type="dxa"/>
            <w:tcBorders/>
            <w:vAlign w:val="center"/>
          </w:tcPr>
          <w:p>
            <w:pPr>
              <w:pStyle w:val="TableContents"/>
              <w:bidi w:val="0"/>
              <w:spacing w:before="0" w:after="0"/>
              <w:jc w:val="left"/>
              <w:rPr/>
            </w:pPr>
            <w:r>
              <w:rPr>
                <w:color w:val="000000"/>
              </w:rPr>
              <w:t>Section 2.18.</w:t>
            </w:r>
            <w:r>
              <w:rPr/>
              <w:t xml:space="preserve"> Issuance of Additional Securities.</w:t>
            </w:r>
          </w:p>
        </w:tc>
        <w:tc>
          <w:tcPr>
            <w:tcW w:w="275" w:type="dxa"/>
            <w:tcBorders/>
            <w:vAlign w:val="center"/>
          </w:tcPr>
          <w:p>
            <w:pPr>
              <w:pStyle w:val="TableContents"/>
              <w:bidi w:val="0"/>
              <w:spacing w:before="0" w:after="0"/>
              <w:jc w:val="right"/>
              <w:rPr/>
            </w:pPr>
            <w:r>
              <w:rPr/>
              <w:t>21</w:t>
            </w:r>
          </w:p>
        </w:tc>
      </w:tr>
      <w:tr>
        <w:trPr/>
        <w:tc>
          <w:tcPr>
            <w:tcW w:w="5795" w:type="dxa"/>
            <w:tcBorders/>
            <w:shd w:fill="CCEEFF" w:val="clear"/>
            <w:vAlign w:val="center"/>
          </w:tcPr>
          <w:p>
            <w:pPr>
              <w:pStyle w:val="TableContents"/>
              <w:bidi w:val="0"/>
              <w:spacing w:before="0" w:after="0"/>
              <w:jc w:val="left"/>
              <w:rPr/>
            </w:pPr>
            <w:r>
              <w:rPr>
                <w:color w:val="000000"/>
              </w:rPr>
              <w:t>Section 2.19.</w:t>
            </w:r>
            <w:r>
              <w:rPr/>
              <w:t xml:space="preserve"> Computation of Interest.</w:t>
            </w:r>
          </w:p>
        </w:tc>
        <w:tc>
          <w:tcPr>
            <w:tcW w:w="275" w:type="dxa"/>
            <w:tcBorders/>
            <w:shd w:fill="CCEEFF" w:val="clear"/>
            <w:vAlign w:val="center"/>
          </w:tcPr>
          <w:p>
            <w:pPr>
              <w:pStyle w:val="TableContents"/>
              <w:bidi w:val="0"/>
              <w:spacing w:before="0" w:after="0"/>
              <w:jc w:val="right"/>
              <w:rPr/>
            </w:pPr>
            <w:r>
              <w:rPr/>
              <w:t>22</w:t>
            </w:r>
          </w:p>
        </w:tc>
      </w:tr>
      <w:tr>
        <w:trPr/>
        <w:tc>
          <w:tcPr>
            <w:tcW w:w="5795" w:type="dxa"/>
            <w:tcBorders/>
            <w:vAlign w:val="center"/>
          </w:tcPr>
          <w:p>
            <w:pPr>
              <w:pStyle w:val="TableContents"/>
              <w:bidi w:val="0"/>
              <w:spacing w:before="0" w:after="0"/>
              <w:jc w:val="left"/>
              <w:rPr/>
            </w:pPr>
            <w:r>
              <w:rPr>
                <w:color w:val="000000"/>
              </w:rPr>
              <w:t>Section 2.20.</w:t>
            </w:r>
            <w:r>
              <w:rPr/>
              <w:t xml:space="preserve"> Currency of Payments in Respect of Securities.</w:t>
            </w:r>
          </w:p>
        </w:tc>
        <w:tc>
          <w:tcPr>
            <w:tcW w:w="275" w:type="dxa"/>
            <w:tcBorders/>
            <w:vAlign w:val="center"/>
          </w:tcPr>
          <w:p>
            <w:pPr>
              <w:pStyle w:val="TableContents"/>
              <w:bidi w:val="0"/>
              <w:spacing w:before="0" w:after="0"/>
              <w:jc w:val="right"/>
              <w:rPr/>
            </w:pPr>
            <w:r>
              <w:rPr/>
              <w:t>22</w:t>
            </w:r>
          </w:p>
        </w:tc>
      </w:tr>
      <w:tr>
        <w:trPr/>
        <w:tc>
          <w:tcPr>
            <w:tcW w:w="5795" w:type="dxa"/>
            <w:tcBorders/>
            <w:shd w:fill="CCEEFF" w:val="clear"/>
            <w:vAlign w:val="center"/>
          </w:tcPr>
          <w:p>
            <w:pPr>
              <w:pStyle w:val="TableContents"/>
              <w:bidi w:val="0"/>
              <w:spacing w:before="0" w:after="0"/>
              <w:jc w:val="left"/>
              <w:rPr/>
            </w:pPr>
            <w:r>
              <w:rPr>
                <w:color w:val="000000"/>
              </w:rPr>
              <w:t>Section 2.21.</w:t>
            </w:r>
            <w:r>
              <w:rPr/>
              <w:t xml:space="preserve"> Judgments.</w:t>
            </w:r>
          </w:p>
        </w:tc>
        <w:tc>
          <w:tcPr>
            <w:tcW w:w="275" w:type="dxa"/>
            <w:tcBorders/>
            <w:shd w:fill="CCEEFF" w:val="clear"/>
            <w:vAlign w:val="center"/>
          </w:tcPr>
          <w:p>
            <w:pPr>
              <w:pStyle w:val="TableContents"/>
              <w:bidi w:val="0"/>
              <w:spacing w:before="0" w:after="0"/>
              <w:jc w:val="right"/>
              <w:rPr/>
            </w:pPr>
            <w:r>
              <w:rPr/>
              <w:t>22</w:t>
            </w:r>
          </w:p>
        </w:tc>
      </w:tr>
    </w:tbl>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III</w:t>
        <w:br/>
        <w:t>REDEMPTION AND PREPAYMENT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 w:name="z1c888bee437541e3a808d3a3393fad4b"/>
      <w:bookmarkStart w:id="14" w:name="z1c888bee437541e3a808d3a3393fad4b"/>
      <w:bookmarkEnd w:id="14"/>
    </w:p>
    <w:tbl>
      <w:tblPr>
        <w:tblW w:w="6565" w:type="dxa"/>
        <w:jc w:val="left"/>
        <w:tblInd w:w="0" w:type="dxa"/>
        <w:tblLayout w:type="fixed"/>
        <w:tblCellMar>
          <w:top w:w="0" w:type="dxa"/>
          <w:left w:w="0" w:type="dxa"/>
          <w:bottom w:w="0" w:type="dxa"/>
          <w:right w:w="0" w:type="dxa"/>
        </w:tblCellMar>
      </w:tblPr>
      <w:tblGrid>
        <w:gridCol w:w="6290"/>
        <w:gridCol w:w="275"/>
      </w:tblGrid>
      <w:tr>
        <w:trPr/>
        <w:tc>
          <w:tcPr>
            <w:tcW w:w="6290" w:type="dxa"/>
            <w:tcBorders/>
            <w:shd w:fill="CCEEFF" w:val="clear"/>
            <w:vAlign w:val="center"/>
          </w:tcPr>
          <w:p>
            <w:pPr>
              <w:pStyle w:val="TableContents"/>
              <w:bidi w:val="0"/>
              <w:spacing w:before="0" w:after="0"/>
              <w:jc w:val="left"/>
              <w:rPr/>
            </w:pPr>
            <w:r>
              <w:rPr>
                <w:color w:val="000000"/>
              </w:rPr>
              <w:t>Section 3.01.</w:t>
            </w:r>
            <w:r>
              <w:rPr/>
              <w:t xml:space="preserve"> Applicability of Right of Redemption.</w:t>
            </w:r>
          </w:p>
        </w:tc>
        <w:tc>
          <w:tcPr>
            <w:tcW w:w="275" w:type="dxa"/>
            <w:tcBorders/>
            <w:shd w:fill="CCEEFF" w:val="clear"/>
            <w:vAlign w:val="center"/>
          </w:tcPr>
          <w:p>
            <w:pPr>
              <w:pStyle w:val="TableContents"/>
              <w:bidi w:val="0"/>
              <w:spacing w:before="0" w:after="0"/>
              <w:jc w:val="right"/>
              <w:rPr/>
            </w:pPr>
            <w:r>
              <w:rPr/>
              <w:t>22</w:t>
            </w:r>
          </w:p>
        </w:tc>
      </w:tr>
      <w:tr>
        <w:trPr/>
        <w:tc>
          <w:tcPr>
            <w:tcW w:w="6290" w:type="dxa"/>
            <w:tcBorders/>
            <w:vAlign w:val="center"/>
          </w:tcPr>
          <w:p>
            <w:pPr>
              <w:pStyle w:val="TableContents"/>
              <w:bidi w:val="0"/>
              <w:spacing w:before="0" w:after="0"/>
              <w:jc w:val="left"/>
              <w:rPr/>
            </w:pPr>
            <w:r>
              <w:rPr>
                <w:color w:val="000000"/>
              </w:rPr>
              <w:t>Section 3.02.</w:t>
            </w:r>
            <w:r>
              <w:rPr/>
              <w:t xml:space="preserve"> Election To Redeem; Notices to Trustee.</w:t>
            </w:r>
          </w:p>
        </w:tc>
        <w:tc>
          <w:tcPr>
            <w:tcW w:w="275" w:type="dxa"/>
            <w:tcBorders/>
            <w:vAlign w:val="center"/>
          </w:tcPr>
          <w:p>
            <w:pPr>
              <w:pStyle w:val="TableContents"/>
              <w:bidi w:val="0"/>
              <w:spacing w:before="0" w:after="0"/>
              <w:jc w:val="right"/>
              <w:rPr/>
            </w:pPr>
            <w:r>
              <w:rPr/>
              <w:t>22</w:t>
            </w:r>
          </w:p>
        </w:tc>
      </w:tr>
      <w:tr>
        <w:trPr/>
        <w:tc>
          <w:tcPr>
            <w:tcW w:w="6290" w:type="dxa"/>
            <w:tcBorders/>
            <w:shd w:fill="CCEEFF" w:val="clear"/>
            <w:vAlign w:val="center"/>
          </w:tcPr>
          <w:p>
            <w:pPr>
              <w:pStyle w:val="TableContents"/>
              <w:bidi w:val="0"/>
              <w:spacing w:before="0" w:after="0"/>
              <w:jc w:val="left"/>
              <w:rPr/>
            </w:pPr>
            <w:r>
              <w:rPr>
                <w:color w:val="000000"/>
              </w:rPr>
              <w:t>Section 3.03.</w:t>
            </w:r>
            <w:r>
              <w:rPr/>
              <w:t xml:space="preserve"> Selection by Trustee of Securities To Be Redeemed.</w:t>
            </w:r>
          </w:p>
        </w:tc>
        <w:tc>
          <w:tcPr>
            <w:tcW w:w="275" w:type="dxa"/>
            <w:tcBorders/>
            <w:shd w:fill="CCEEFF" w:val="clear"/>
            <w:vAlign w:val="center"/>
          </w:tcPr>
          <w:p>
            <w:pPr>
              <w:pStyle w:val="TableContents"/>
              <w:bidi w:val="0"/>
              <w:spacing w:before="0" w:after="0"/>
              <w:jc w:val="right"/>
              <w:rPr/>
            </w:pPr>
            <w:r>
              <w:rPr/>
              <w:t>23</w:t>
            </w:r>
          </w:p>
        </w:tc>
      </w:tr>
      <w:tr>
        <w:trPr/>
        <w:tc>
          <w:tcPr>
            <w:tcW w:w="6290" w:type="dxa"/>
            <w:tcBorders/>
            <w:vAlign w:val="center"/>
          </w:tcPr>
          <w:p>
            <w:pPr>
              <w:pStyle w:val="TableContents"/>
              <w:bidi w:val="0"/>
              <w:spacing w:before="0" w:after="0"/>
              <w:jc w:val="left"/>
              <w:rPr/>
            </w:pPr>
            <w:r>
              <w:rPr>
                <w:color w:val="000000"/>
              </w:rPr>
              <w:t>Section 3.04.</w:t>
            </w:r>
            <w:r>
              <w:rPr/>
              <w:t xml:space="preserve"> Notice of Redemption.</w:t>
            </w:r>
          </w:p>
        </w:tc>
        <w:tc>
          <w:tcPr>
            <w:tcW w:w="275" w:type="dxa"/>
            <w:tcBorders/>
            <w:vAlign w:val="center"/>
          </w:tcPr>
          <w:p>
            <w:pPr>
              <w:pStyle w:val="TableContents"/>
              <w:bidi w:val="0"/>
              <w:spacing w:before="0" w:after="0"/>
              <w:jc w:val="right"/>
              <w:rPr/>
            </w:pPr>
            <w:r>
              <w:rPr/>
              <w:t>23</w:t>
            </w:r>
          </w:p>
        </w:tc>
      </w:tr>
      <w:tr>
        <w:trPr/>
        <w:tc>
          <w:tcPr>
            <w:tcW w:w="6290" w:type="dxa"/>
            <w:tcBorders/>
            <w:shd w:fill="CCEEFF" w:val="clear"/>
            <w:vAlign w:val="center"/>
          </w:tcPr>
          <w:p>
            <w:pPr>
              <w:pStyle w:val="TableContents"/>
              <w:bidi w:val="0"/>
              <w:spacing w:before="0" w:after="0"/>
              <w:jc w:val="left"/>
              <w:rPr/>
            </w:pPr>
            <w:r>
              <w:rPr>
                <w:color w:val="000000"/>
              </w:rPr>
              <w:t>Section 3.05.</w:t>
            </w:r>
            <w:r>
              <w:rPr/>
              <w:t xml:space="preserve"> Effect of Notice of Redemption.</w:t>
            </w:r>
          </w:p>
        </w:tc>
        <w:tc>
          <w:tcPr>
            <w:tcW w:w="275" w:type="dxa"/>
            <w:tcBorders/>
            <w:shd w:fill="CCEEFF" w:val="clear"/>
            <w:vAlign w:val="center"/>
          </w:tcPr>
          <w:p>
            <w:pPr>
              <w:pStyle w:val="TableContents"/>
              <w:bidi w:val="0"/>
              <w:spacing w:before="0" w:after="0"/>
              <w:jc w:val="right"/>
              <w:rPr/>
            </w:pPr>
            <w:r>
              <w:rPr/>
              <w:t>24</w:t>
            </w:r>
          </w:p>
        </w:tc>
      </w:tr>
      <w:tr>
        <w:trPr/>
        <w:tc>
          <w:tcPr>
            <w:tcW w:w="6290" w:type="dxa"/>
            <w:tcBorders/>
            <w:vAlign w:val="center"/>
          </w:tcPr>
          <w:p>
            <w:pPr>
              <w:pStyle w:val="TableContents"/>
              <w:bidi w:val="0"/>
              <w:spacing w:before="0" w:after="0"/>
              <w:jc w:val="left"/>
              <w:rPr/>
            </w:pPr>
            <w:r>
              <w:rPr>
                <w:color w:val="000000"/>
              </w:rPr>
              <w:t>Section 3.06.</w:t>
            </w:r>
            <w:r>
              <w:rPr/>
              <w:t xml:space="preserve"> Deposit of Redemption Price.</w:t>
            </w:r>
          </w:p>
        </w:tc>
        <w:tc>
          <w:tcPr>
            <w:tcW w:w="275" w:type="dxa"/>
            <w:tcBorders/>
            <w:vAlign w:val="center"/>
          </w:tcPr>
          <w:p>
            <w:pPr>
              <w:pStyle w:val="TableContents"/>
              <w:bidi w:val="0"/>
              <w:spacing w:before="0" w:after="0"/>
              <w:jc w:val="right"/>
              <w:rPr/>
            </w:pPr>
            <w:r>
              <w:rPr/>
              <w:t>24</w:t>
            </w:r>
          </w:p>
        </w:tc>
      </w:tr>
      <w:tr>
        <w:trPr/>
        <w:tc>
          <w:tcPr>
            <w:tcW w:w="6290" w:type="dxa"/>
            <w:tcBorders/>
            <w:shd w:fill="CCEEFF" w:val="clear"/>
            <w:vAlign w:val="center"/>
          </w:tcPr>
          <w:p>
            <w:pPr>
              <w:pStyle w:val="TableContents"/>
              <w:bidi w:val="0"/>
              <w:spacing w:before="0" w:after="0"/>
              <w:jc w:val="left"/>
              <w:rPr/>
            </w:pPr>
            <w:r>
              <w:rPr>
                <w:color w:val="000000"/>
              </w:rPr>
              <w:t>Section 3.07.</w:t>
            </w:r>
            <w:r>
              <w:rPr/>
              <w:t xml:space="preserve"> Securities Redeemed in Part.</w:t>
            </w:r>
          </w:p>
        </w:tc>
        <w:tc>
          <w:tcPr>
            <w:tcW w:w="275" w:type="dxa"/>
            <w:tcBorders/>
            <w:shd w:fill="CCEEFF" w:val="clear"/>
            <w:vAlign w:val="center"/>
          </w:tcPr>
          <w:p>
            <w:pPr>
              <w:pStyle w:val="TableContents"/>
              <w:bidi w:val="0"/>
              <w:spacing w:before="0" w:after="0"/>
              <w:jc w:val="right"/>
              <w:rPr/>
            </w:pPr>
            <w:r>
              <w:rPr/>
              <w:t>24</w:t>
            </w:r>
          </w:p>
        </w:tc>
      </w:tr>
    </w:tbl>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IV</w:t>
        <w:br/>
        <w:t>COVENANTS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 w:name="z18428c41bc7447659ea8961f2da1bc19"/>
      <w:bookmarkStart w:id="16" w:name="z18428c41bc7447659ea8961f2da1bc19"/>
      <w:bookmarkEnd w:id="16"/>
    </w:p>
    <w:tbl>
      <w:tblPr>
        <w:tblW w:w="5785" w:type="dxa"/>
        <w:jc w:val="left"/>
        <w:tblInd w:w="0" w:type="dxa"/>
        <w:tblLayout w:type="fixed"/>
        <w:tblCellMar>
          <w:top w:w="0" w:type="dxa"/>
          <w:left w:w="0" w:type="dxa"/>
          <w:bottom w:w="0" w:type="dxa"/>
          <w:right w:w="0" w:type="dxa"/>
        </w:tblCellMar>
      </w:tblPr>
      <w:tblGrid>
        <w:gridCol w:w="5510"/>
        <w:gridCol w:w="275"/>
      </w:tblGrid>
      <w:tr>
        <w:trPr/>
        <w:tc>
          <w:tcPr>
            <w:tcW w:w="5510" w:type="dxa"/>
            <w:tcBorders/>
            <w:shd w:fill="CCEEFF" w:val="clear"/>
            <w:vAlign w:val="center"/>
          </w:tcPr>
          <w:p>
            <w:pPr>
              <w:pStyle w:val="TableContents"/>
              <w:bidi w:val="0"/>
              <w:spacing w:before="0" w:after="0"/>
              <w:jc w:val="left"/>
              <w:rPr/>
            </w:pPr>
            <w:r>
              <w:rPr>
                <w:color w:val="000000"/>
              </w:rPr>
              <w:t>Section 4.01.</w:t>
            </w:r>
            <w:r>
              <w:rPr/>
              <w:t xml:space="preserve"> Payment of Principal, Premium and Interest.</w:t>
            </w:r>
          </w:p>
        </w:tc>
        <w:tc>
          <w:tcPr>
            <w:tcW w:w="275" w:type="dxa"/>
            <w:tcBorders/>
            <w:shd w:fill="CCEEFF" w:val="clear"/>
            <w:vAlign w:val="center"/>
          </w:tcPr>
          <w:p>
            <w:pPr>
              <w:pStyle w:val="TableContents"/>
              <w:bidi w:val="0"/>
              <w:spacing w:before="0" w:after="0"/>
              <w:jc w:val="right"/>
              <w:rPr/>
            </w:pPr>
            <w:r>
              <w:rPr/>
              <w:t>25</w:t>
            </w:r>
          </w:p>
        </w:tc>
      </w:tr>
      <w:tr>
        <w:trPr/>
        <w:tc>
          <w:tcPr>
            <w:tcW w:w="5510" w:type="dxa"/>
            <w:tcBorders/>
            <w:vAlign w:val="center"/>
          </w:tcPr>
          <w:p>
            <w:pPr>
              <w:pStyle w:val="TableContents"/>
              <w:bidi w:val="0"/>
              <w:spacing w:before="0" w:after="0"/>
              <w:jc w:val="left"/>
              <w:rPr/>
            </w:pPr>
            <w:r>
              <w:rPr>
                <w:color w:val="000000"/>
              </w:rPr>
              <w:t>Section 4.02.</w:t>
            </w:r>
            <w:r>
              <w:rPr/>
              <w:t xml:space="preserve"> Maintenance of Office or Agency.</w:t>
            </w:r>
          </w:p>
        </w:tc>
        <w:tc>
          <w:tcPr>
            <w:tcW w:w="275" w:type="dxa"/>
            <w:tcBorders/>
            <w:vAlign w:val="center"/>
          </w:tcPr>
          <w:p>
            <w:pPr>
              <w:pStyle w:val="TableContents"/>
              <w:bidi w:val="0"/>
              <w:spacing w:before="0" w:after="0"/>
              <w:jc w:val="right"/>
              <w:rPr/>
            </w:pPr>
            <w:r>
              <w:rPr/>
              <w:t>25</w:t>
            </w:r>
          </w:p>
        </w:tc>
      </w:tr>
      <w:tr>
        <w:trPr/>
        <w:tc>
          <w:tcPr>
            <w:tcW w:w="5510" w:type="dxa"/>
            <w:tcBorders/>
            <w:shd w:fill="CCEEFF" w:val="clear"/>
            <w:vAlign w:val="center"/>
          </w:tcPr>
          <w:p>
            <w:pPr>
              <w:pStyle w:val="TableContents"/>
              <w:bidi w:val="0"/>
              <w:spacing w:before="0" w:after="0"/>
              <w:jc w:val="left"/>
              <w:rPr/>
            </w:pPr>
            <w:r>
              <w:rPr>
                <w:color w:val="000000"/>
              </w:rPr>
              <w:t>Section 4.03.</w:t>
            </w:r>
            <w:r>
              <w:rPr/>
              <w:t xml:space="preserve"> Reports to Holders.</w:t>
            </w:r>
          </w:p>
        </w:tc>
        <w:tc>
          <w:tcPr>
            <w:tcW w:w="275" w:type="dxa"/>
            <w:tcBorders/>
            <w:shd w:fill="CCEEFF" w:val="clear"/>
            <w:vAlign w:val="center"/>
          </w:tcPr>
          <w:p>
            <w:pPr>
              <w:pStyle w:val="TableContents"/>
              <w:bidi w:val="0"/>
              <w:spacing w:before="0" w:after="0"/>
              <w:jc w:val="right"/>
              <w:rPr/>
            </w:pPr>
            <w:r>
              <w:rPr/>
              <w:t>25</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7" w:name="z1ff4a5a9b0f74e7eb3726e758716a761"/>
      <w:bookmarkStart w:id="18" w:name="z1ff4a5a9b0f74e7eb3726e758716a761"/>
      <w:bookmarkEnd w:id="18"/>
    </w:p>
    <w:tbl>
      <w:tblPr>
        <w:tblW w:w="3850" w:type="dxa"/>
        <w:jc w:val="left"/>
        <w:tblInd w:w="0" w:type="dxa"/>
        <w:tblLayout w:type="fixed"/>
        <w:tblCellMar>
          <w:top w:w="0" w:type="dxa"/>
          <w:left w:w="0" w:type="dxa"/>
          <w:bottom w:w="0" w:type="dxa"/>
          <w:right w:w="0" w:type="dxa"/>
        </w:tblCellMar>
      </w:tblPr>
      <w:tblGrid>
        <w:gridCol w:w="3575"/>
        <w:gridCol w:w="275"/>
      </w:tblGrid>
      <w:tr>
        <w:trPr/>
        <w:tc>
          <w:tcPr>
            <w:tcW w:w="3575" w:type="dxa"/>
            <w:tcBorders/>
            <w:shd w:fill="CCEEFF" w:val="clear"/>
            <w:vAlign w:val="center"/>
          </w:tcPr>
          <w:p>
            <w:pPr>
              <w:pStyle w:val="TableContents"/>
              <w:bidi w:val="0"/>
              <w:spacing w:before="0" w:after="0"/>
              <w:jc w:val="left"/>
              <w:rPr/>
            </w:pPr>
            <w:r>
              <w:rPr>
                <w:color w:val="000000"/>
              </w:rPr>
              <w:t>Section 4.04.</w:t>
            </w:r>
            <w:r>
              <w:rPr/>
              <w:t xml:space="preserve"> Additional Guarantees.</w:t>
            </w:r>
          </w:p>
        </w:tc>
        <w:tc>
          <w:tcPr>
            <w:tcW w:w="275" w:type="dxa"/>
            <w:tcBorders/>
            <w:shd w:fill="CCEEFF" w:val="clear"/>
            <w:vAlign w:val="center"/>
          </w:tcPr>
          <w:p>
            <w:pPr>
              <w:pStyle w:val="TableContents"/>
              <w:bidi w:val="0"/>
              <w:spacing w:before="0" w:after="0"/>
              <w:jc w:val="right"/>
              <w:rPr/>
            </w:pPr>
            <w:r>
              <w:rPr/>
              <w:t>26</w:t>
            </w:r>
          </w:p>
        </w:tc>
      </w:tr>
      <w:tr>
        <w:trPr/>
        <w:tc>
          <w:tcPr>
            <w:tcW w:w="3575" w:type="dxa"/>
            <w:tcBorders/>
            <w:vAlign w:val="center"/>
          </w:tcPr>
          <w:p>
            <w:pPr>
              <w:pStyle w:val="TableContents"/>
              <w:bidi w:val="0"/>
              <w:spacing w:before="0" w:after="0"/>
              <w:jc w:val="left"/>
              <w:rPr/>
            </w:pPr>
            <w:r>
              <w:rPr>
                <w:color w:val="000000"/>
              </w:rPr>
              <w:t>Section 4.05.</w:t>
            </w:r>
            <w:r>
              <w:rPr/>
              <w:t xml:space="preserve"> Compliance Certificate.</w:t>
            </w:r>
          </w:p>
        </w:tc>
        <w:tc>
          <w:tcPr>
            <w:tcW w:w="275" w:type="dxa"/>
            <w:tcBorders/>
            <w:vAlign w:val="center"/>
          </w:tcPr>
          <w:p>
            <w:pPr>
              <w:pStyle w:val="TableContents"/>
              <w:bidi w:val="0"/>
              <w:spacing w:before="0" w:after="0"/>
              <w:jc w:val="right"/>
              <w:rPr/>
            </w:pPr>
            <w:r>
              <w:rPr/>
              <w:t>26</w:t>
            </w:r>
          </w:p>
        </w:tc>
      </w:tr>
    </w:tbl>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V</w:t>
        <w:br/>
        <w:t>SUCCESSORS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 w:name="z315ac6212e3f4caa8a5941e6e5c990b5"/>
      <w:bookmarkStart w:id="20" w:name="z315ac6212e3f4caa8a5941e6e5c990b5"/>
      <w:bookmarkEnd w:id="20"/>
    </w:p>
    <w:tbl>
      <w:tblPr>
        <w:tblW w:w="5605" w:type="dxa"/>
        <w:jc w:val="left"/>
        <w:tblInd w:w="0" w:type="dxa"/>
        <w:tblLayout w:type="fixed"/>
        <w:tblCellMar>
          <w:top w:w="0" w:type="dxa"/>
          <w:left w:w="0" w:type="dxa"/>
          <w:bottom w:w="0" w:type="dxa"/>
          <w:right w:w="0" w:type="dxa"/>
        </w:tblCellMar>
      </w:tblPr>
      <w:tblGrid>
        <w:gridCol w:w="5330"/>
        <w:gridCol w:w="275"/>
      </w:tblGrid>
      <w:tr>
        <w:trPr/>
        <w:tc>
          <w:tcPr>
            <w:tcW w:w="5330" w:type="dxa"/>
            <w:tcBorders/>
            <w:shd w:fill="CCEEFF" w:val="clear"/>
            <w:vAlign w:val="center"/>
          </w:tcPr>
          <w:p>
            <w:pPr>
              <w:pStyle w:val="TableContents"/>
              <w:bidi w:val="0"/>
              <w:spacing w:before="0" w:after="0"/>
              <w:jc w:val="left"/>
              <w:rPr/>
            </w:pPr>
            <w:r>
              <w:rPr>
                <w:color w:val="000000"/>
              </w:rPr>
              <w:t>Section 5.01.</w:t>
            </w:r>
            <w:r>
              <w:rPr/>
              <w:t xml:space="preserve"> Consolidation, Merger and Sale of Assets.</w:t>
            </w:r>
          </w:p>
        </w:tc>
        <w:tc>
          <w:tcPr>
            <w:tcW w:w="275" w:type="dxa"/>
            <w:tcBorders/>
            <w:shd w:fill="CCEEFF" w:val="clear"/>
            <w:vAlign w:val="center"/>
          </w:tcPr>
          <w:p>
            <w:pPr>
              <w:pStyle w:val="TableContents"/>
              <w:bidi w:val="0"/>
              <w:spacing w:before="0" w:after="0"/>
              <w:jc w:val="right"/>
              <w:rPr/>
            </w:pPr>
            <w:r>
              <w:rPr/>
              <w:t>26</w:t>
            </w:r>
          </w:p>
        </w:tc>
      </w:tr>
    </w:tbl>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VI</w:t>
        <w:br/>
        <w:t>DEFAULTS AND REMEDIES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 w:name="zef0c66e448cf4100a3393f3a6d6ea212"/>
      <w:bookmarkStart w:id="22" w:name="zef0c66e448cf4100a3393f3a6d6ea212"/>
      <w:bookmarkEnd w:id="22"/>
    </w:p>
    <w:tbl>
      <w:tblPr>
        <w:tblW w:w="6055" w:type="dxa"/>
        <w:jc w:val="left"/>
        <w:tblInd w:w="0" w:type="dxa"/>
        <w:tblLayout w:type="fixed"/>
        <w:tblCellMar>
          <w:top w:w="0" w:type="dxa"/>
          <w:left w:w="0" w:type="dxa"/>
          <w:bottom w:w="0" w:type="dxa"/>
          <w:right w:w="0" w:type="dxa"/>
        </w:tblCellMar>
      </w:tblPr>
      <w:tblGrid>
        <w:gridCol w:w="5780"/>
        <w:gridCol w:w="275"/>
      </w:tblGrid>
      <w:tr>
        <w:trPr/>
        <w:tc>
          <w:tcPr>
            <w:tcW w:w="5780" w:type="dxa"/>
            <w:tcBorders/>
            <w:shd w:fill="CCEEFF" w:val="clear"/>
            <w:vAlign w:val="center"/>
          </w:tcPr>
          <w:p>
            <w:pPr>
              <w:pStyle w:val="TableContents"/>
              <w:bidi w:val="0"/>
              <w:spacing w:before="0" w:after="0"/>
              <w:jc w:val="left"/>
              <w:rPr/>
            </w:pPr>
            <w:r>
              <w:rPr>
                <w:color w:val="000000"/>
              </w:rPr>
              <w:t>Section 6.01.</w:t>
            </w:r>
            <w:r>
              <w:rPr/>
              <w:t xml:space="preserve"> Events of Default.</w:t>
            </w:r>
          </w:p>
        </w:tc>
        <w:tc>
          <w:tcPr>
            <w:tcW w:w="275" w:type="dxa"/>
            <w:tcBorders/>
            <w:shd w:fill="CCEEFF" w:val="clear"/>
            <w:vAlign w:val="center"/>
          </w:tcPr>
          <w:p>
            <w:pPr>
              <w:pStyle w:val="TableContents"/>
              <w:bidi w:val="0"/>
              <w:spacing w:before="0" w:after="0"/>
              <w:jc w:val="right"/>
              <w:rPr/>
            </w:pPr>
            <w:r>
              <w:rPr/>
              <w:t>27</w:t>
            </w:r>
          </w:p>
        </w:tc>
      </w:tr>
      <w:tr>
        <w:trPr/>
        <w:tc>
          <w:tcPr>
            <w:tcW w:w="5780" w:type="dxa"/>
            <w:tcBorders/>
            <w:vAlign w:val="center"/>
          </w:tcPr>
          <w:p>
            <w:pPr>
              <w:pStyle w:val="TableContents"/>
              <w:bidi w:val="0"/>
              <w:spacing w:before="0" w:after="0"/>
              <w:jc w:val="left"/>
              <w:rPr/>
            </w:pPr>
            <w:r>
              <w:rPr>
                <w:color w:val="000000"/>
              </w:rPr>
              <w:t>Section 6.02.</w:t>
            </w:r>
            <w:r>
              <w:rPr/>
              <w:t xml:space="preserve"> Acceleration of Maturity; Rescission.</w:t>
            </w:r>
          </w:p>
        </w:tc>
        <w:tc>
          <w:tcPr>
            <w:tcW w:w="275" w:type="dxa"/>
            <w:tcBorders/>
            <w:vAlign w:val="center"/>
          </w:tcPr>
          <w:p>
            <w:pPr>
              <w:pStyle w:val="TableContents"/>
              <w:bidi w:val="0"/>
              <w:spacing w:before="0" w:after="0"/>
              <w:jc w:val="right"/>
              <w:rPr/>
            </w:pPr>
            <w:r>
              <w:rPr/>
              <w:t>29</w:t>
            </w:r>
          </w:p>
        </w:tc>
      </w:tr>
      <w:tr>
        <w:trPr/>
        <w:tc>
          <w:tcPr>
            <w:tcW w:w="5780" w:type="dxa"/>
            <w:tcBorders/>
            <w:shd w:fill="CCEEFF" w:val="clear"/>
            <w:vAlign w:val="center"/>
          </w:tcPr>
          <w:p>
            <w:pPr>
              <w:pStyle w:val="TableContents"/>
              <w:bidi w:val="0"/>
              <w:spacing w:before="0" w:after="0"/>
              <w:jc w:val="left"/>
              <w:rPr/>
            </w:pPr>
            <w:r>
              <w:rPr>
                <w:color w:val="000000"/>
              </w:rPr>
              <w:t>Section 6.03.</w:t>
            </w:r>
            <w:r>
              <w:rPr/>
              <w:t xml:space="preserve"> Other Remedies.</w:t>
            </w:r>
          </w:p>
        </w:tc>
        <w:tc>
          <w:tcPr>
            <w:tcW w:w="275" w:type="dxa"/>
            <w:tcBorders/>
            <w:shd w:fill="CCEEFF" w:val="clear"/>
            <w:vAlign w:val="center"/>
          </w:tcPr>
          <w:p>
            <w:pPr>
              <w:pStyle w:val="TableContents"/>
              <w:bidi w:val="0"/>
              <w:spacing w:before="0" w:after="0"/>
              <w:jc w:val="right"/>
              <w:rPr/>
            </w:pPr>
            <w:r>
              <w:rPr/>
              <w:t>29</w:t>
            </w:r>
          </w:p>
        </w:tc>
      </w:tr>
      <w:tr>
        <w:trPr/>
        <w:tc>
          <w:tcPr>
            <w:tcW w:w="5780" w:type="dxa"/>
            <w:tcBorders/>
            <w:vAlign w:val="center"/>
          </w:tcPr>
          <w:p>
            <w:pPr>
              <w:pStyle w:val="TableContents"/>
              <w:bidi w:val="0"/>
              <w:spacing w:before="0" w:after="0"/>
              <w:jc w:val="left"/>
              <w:rPr/>
            </w:pPr>
            <w:r>
              <w:rPr>
                <w:color w:val="000000"/>
              </w:rPr>
              <w:t>Section 6.04.</w:t>
            </w:r>
            <w:r>
              <w:rPr/>
              <w:t xml:space="preserve"> Waiver of Past Defaults and Events of Default.</w:t>
            </w:r>
          </w:p>
        </w:tc>
        <w:tc>
          <w:tcPr>
            <w:tcW w:w="275" w:type="dxa"/>
            <w:tcBorders/>
            <w:vAlign w:val="center"/>
          </w:tcPr>
          <w:p>
            <w:pPr>
              <w:pStyle w:val="TableContents"/>
              <w:bidi w:val="0"/>
              <w:spacing w:before="0" w:after="0"/>
              <w:jc w:val="right"/>
              <w:rPr/>
            </w:pPr>
            <w:r>
              <w:rPr/>
              <w:t>30</w:t>
            </w:r>
          </w:p>
        </w:tc>
      </w:tr>
      <w:tr>
        <w:trPr/>
        <w:tc>
          <w:tcPr>
            <w:tcW w:w="5780" w:type="dxa"/>
            <w:tcBorders/>
            <w:shd w:fill="CCEEFF" w:val="clear"/>
            <w:vAlign w:val="center"/>
          </w:tcPr>
          <w:p>
            <w:pPr>
              <w:pStyle w:val="TableContents"/>
              <w:bidi w:val="0"/>
              <w:spacing w:before="0" w:after="0"/>
              <w:jc w:val="left"/>
              <w:rPr/>
            </w:pPr>
            <w:r>
              <w:rPr>
                <w:color w:val="000000"/>
              </w:rPr>
              <w:t>Section 6.05.</w:t>
            </w:r>
            <w:r>
              <w:rPr/>
              <w:t xml:space="preserve"> Control by Majority.</w:t>
            </w:r>
          </w:p>
        </w:tc>
        <w:tc>
          <w:tcPr>
            <w:tcW w:w="275" w:type="dxa"/>
            <w:tcBorders/>
            <w:shd w:fill="CCEEFF" w:val="clear"/>
            <w:vAlign w:val="center"/>
          </w:tcPr>
          <w:p>
            <w:pPr>
              <w:pStyle w:val="TableContents"/>
              <w:bidi w:val="0"/>
              <w:spacing w:before="0" w:after="0"/>
              <w:jc w:val="right"/>
              <w:rPr/>
            </w:pPr>
            <w:r>
              <w:rPr/>
              <w:t>30</w:t>
            </w:r>
          </w:p>
        </w:tc>
      </w:tr>
      <w:tr>
        <w:trPr/>
        <w:tc>
          <w:tcPr>
            <w:tcW w:w="5780" w:type="dxa"/>
            <w:tcBorders/>
            <w:vAlign w:val="center"/>
          </w:tcPr>
          <w:p>
            <w:pPr>
              <w:pStyle w:val="TableContents"/>
              <w:bidi w:val="0"/>
              <w:spacing w:before="0" w:after="0"/>
              <w:jc w:val="left"/>
              <w:rPr/>
            </w:pPr>
            <w:r>
              <w:rPr>
                <w:color w:val="000000"/>
              </w:rPr>
              <w:t>Section 6.06.</w:t>
            </w:r>
            <w:r>
              <w:rPr/>
              <w:t xml:space="preserve"> Limitation on Suits.</w:t>
            </w:r>
          </w:p>
        </w:tc>
        <w:tc>
          <w:tcPr>
            <w:tcW w:w="275" w:type="dxa"/>
            <w:tcBorders/>
            <w:vAlign w:val="center"/>
          </w:tcPr>
          <w:p>
            <w:pPr>
              <w:pStyle w:val="TableContents"/>
              <w:bidi w:val="0"/>
              <w:spacing w:before="0" w:after="0"/>
              <w:jc w:val="right"/>
              <w:rPr/>
            </w:pPr>
            <w:r>
              <w:rPr/>
              <w:t>30</w:t>
            </w:r>
          </w:p>
        </w:tc>
      </w:tr>
      <w:tr>
        <w:trPr/>
        <w:tc>
          <w:tcPr>
            <w:tcW w:w="5780" w:type="dxa"/>
            <w:tcBorders/>
            <w:shd w:fill="CCEEFF" w:val="clear"/>
            <w:vAlign w:val="center"/>
          </w:tcPr>
          <w:p>
            <w:pPr>
              <w:pStyle w:val="TableContents"/>
              <w:bidi w:val="0"/>
              <w:spacing w:before="0" w:after="0"/>
              <w:jc w:val="left"/>
              <w:rPr/>
            </w:pPr>
            <w:r>
              <w:rPr>
                <w:color w:val="000000"/>
              </w:rPr>
              <w:t>Section 6.07.</w:t>
            </w:r>
            <w:r>
              <w:rPr/>
              <w:t xml:space="preserve"> Rights of Holders To Receive Payment.</w:t>
            </w:r>
          </w:p>
        </w:tc>
        <w:tc>
          <w:tcPr>
            <w:tcW w:w="275" w:type="dxa"/>
            <w:tcBorders/>
            <w:shd w:fill="CCEEFF" w:val="clear"/>
            <w:vAlign w:val="center"/>
          </w:tcPr>
          <w:p>
            <w:pPr>
              <w:pStyle w:val="TableContents"/>
              <w:bidi w:val="0"/>
              <w:spacing w:before="0" w:after="0"/>
              <w:jc w:val="right"/>
              <w:rPr/>
            </w:pPr>
            <w:r>
              <w:rPr/>
              <w:t>30</w:t>
            </w:r>
          </w:p>
        </w:tc>
      </w:tr>
      <w:tr>
        <w:trPr/>
        <w:tc>
          <w:tcPr>
            <w:tcW w:w="5780" w:type="dxa"/>
            <w:tcBorders/>
            <w:vAlign w:val="center"/>
          </w:tcPr>
          <w:p>
            <w:pPr>
              <w:pStyle w:val="TableContents"/>
              <w:bidi w:val="0"/>
              <w:spacing w:before="0" w:after="0"/>
              <w:jc w:val="left"/>
              <w:rPr/>
            </w:pPr>
            <w:r>
              <w:rPr>
                <w:color w:val="000000"/>
              </w:rPr>
              <w:t>Section 6.08.</w:t>
            </w:r>
            <w:r>
              <w:rPr/>
              <w:t xml:space="preserve"> Collection Suit by Trustee.</w:t>
            </w:r>
          </w:p>
        </w:tc>
        <w:tc>
          <w:tcPr>
            <w:tcW w:w="275" w:type="dxa"/>
            <w:tcBorders/>
            <w:vAlign w:val="center"/>
          </w:tcPr>
          <w:p>
            <w:pPr>
              <w:pStyle w:val="TableContents"/>
              <w:bidi w:val="0"/>
              <w:spacing w:before="0" w:after="0"/>
              <w:jc w:val="right"/>
              <w:rPr/>
            </w:pPr>
            <w:r>
              <w:rPr/>
              <w:t>30</w:t>
            </w:r>
          </w:p>
        </w:tc>
      </w:tr>
      <w:tr>
        <w:trPr/>
        <w:tc>
          <w:tcPr>
            <w:tcW w:w="5780" w:type="dxa"/>
            <w:tcBorders/>
            <w:shd w:fill="CCEEFF" w:val="clear"/>
            <w:vAlign w:val="center"/>
          </w:tcPr>
          <w:p>
            <w:pPr>
              <w:pStyle w:val="TableContents"/>
              <w:bidi w:val="0"/>
              <w:spacing w:before="0" w:after="0"/>
              <w:jc w:val="left"/>
              <w:rPr/>
            </w:pPr>
            <w:r>
              <w:rPr>
                <w:color w:val="000000"/>
              </w:rPr>
              <w:t>Section 6.09.</w:t>
            </w:r>
            <w:r>
              <w:rPr/>
              <w:t xml:space="preserve"> Trustee May File Proofs of Claim.</w:t>
            </w:r>
          </w:p>
        </w:tc>
        <w:tc>
          <w:tcPr>
            <w:tcW w:w="275" w:type="dxa"/>
            <w:tcBorders/>
            <w:shd w:fill="CCEEFF" w:val="clear"/>
            <w:vAlign w:val="center"/>
          </w:tcPr>
          <w:p>
            <w:pPr>
              <w:pStyle w:val="TableContents"/>
              <w:bidi w:val="0"/>
              <w:spacing w:before="0" w:after="0"/>
              <w:jc w:val="right"/>
              <w:rPr/>
            </w:pPr>
            <w:r>
              <w:rPr/>
              <w:t>31</w:t>
            </w:r>
          </w:p>
        </w:tc>
      </w:tr>
      <w:tr>
        <w:trPr/>
        <w:tc>
          <w:tcPr>
            <w:tcW w:w="5780" w:type="dxa"/>
            <w:tcBorders/>
            <w:vAlign w:val="center"/>
          </w:tcPr>
          <w:p>
            <w:pPr>
              <w:pStyle w:val="TableContents"/>
              <w:bidi w:val="0"/>
              <w:spacing w:before="0" w:after="0"/>
              <w:jc w:val="left"/>
              <w:rPr/>
            </w:pPr>
            <w:r>
              <w:rPr>
                <w:color w:val="000000"/>
              </w:rPr>
              <w:t>Section 6.10.</w:t>
            </w:r>
            <w:r>
              <w:rPr/>
              <w:t xml:space="preserve"> Priorities.</w:t>
            </w:r>
          </w:p>
        </w:tc>
        <w:tc>
          <w:tcPr>
            <w:tcW w:w="275" w:type="dxa"/>
            <w:tcBorders/>
            <w:vAlign w:val="center"/>
          </w:tcPr>
          <w:p>
            <w:pPr>
              <w:pStyle w:val="TableContents"/>
              <w:bidi w:val="0"/>
              <w:spacing w:before="0" w:after="0"/>
              <w:jc w:val="right"/>
              <w:rPr/>
            </w:pPr>
            <w:r>
              <w:rPr/>
              <w:t>31</w:t>
            </w:r>
          </w:p>
        </w:tc>
      </w:tr>
      <w:tr>
        <w:trPr/>
        <w:tc>
          <w:tcPr>
            <w:tcW w:w="5780" w:type="dxa"/>
            <w:tcBorders/>
            <w:shd w:fill="CCEEFF" w:val="clear"/>
            <w:vAlign w:val="center"/>
          </w:tcPr>
          <w:p>
            <w:pPr>
              <w:pStyle w:val="TableContents"/>
              <w:bidi w:val="0"/>
              <w:spacing w:before="0" w:after="0"/>
              <w:jc w:val="left"/>
              <w:rPr/>
            </w:pPr>
            <w:r>
              <w:rPr>
                <w:color w:val="000000"/>
              </w:rPr>
              <w:t>Section 6.11.</w:t>
            </w:r>
            <w:r>
              <w:rPr/>
              <w:t xml:space="preserve"> Undertaking for Costs.</w:t>
            </w:r>
          </w:p>
        </w:tc>
        <w:tc>
          <w:tcPr>
            <w:tcW w:w="275" w:type="dxa"/>
            <w:tcBorders/>
            <w:shd w:fill="CCEEFF" w:val="clear"/>
            <w:vAlign w:val="center"/>
          </w:tcPr>
          <w:p>
            <w:pPr>
              <w:pStyle w:val="TableContents"/>
              <w:bidi w:val="0"/>
              <w:spacing w:before="0" w:after="0"/>
              <w:jc w:val="right"/>
              <w:rPr/>
            </w:pPr>
            <w:r>
              <w:rPr/>
              <w:t>31</w:t>
            </w:r>
          </w:p>
        </w:tc>
      </w:tr>
      <w:tr>
        <w:trPr/>
        <w:tc>
          <w:tcPr>
            <w:tcW w:w="5780" w:type="dxa"/>
            <w:tcBorders/>
            <w:vAlign w:val="center"/>
          </w:tcPr>
          <w:p>
            <w:pPr>
              <w:pStyle w:val="TableContents"/>
              <w:bidi w:val="0"/>
              <w:spacing w:before="0" w:after="0"/>
              <w:jc w:val="left"/>
              <w:rPr/>
            </w:pPr>
            <w:r>
              <w:rPr>
                <w:color w:val="000000"/>
              </w:rPr>
              <w:t>Section 6.12.</w:t>
            </w:r>
            <w:r>
              <w:rPr/>
              <w:t xml:space="preserve"> Delay or Omission Not Waiver.</w:t>
            </w:r>
          </w:p>
        </w:tc>
        <w:tc>
          <w:tcPr>
            <w:tcW w:w="275" w:type="dxa"/>
            <w:tcBorders/>
            <w:vAlign w:val="center"/>
          </w:tcPr>
          <w:p>
            <w:pPr>
              <w:pStyle w:val="TableContents"/>
              <w:bidi w:val="0"/>
              <w:spacing w:before="0" w:after="0"/>
              <w:jc w:val="right"/>
              <w:rPr/>
            </w:pPr>
            <w:r>
              <w:rPr/>
              <w:t>31</w:t>
            </w:r>
          </w:p>
        </w:tc>
      </w:tr>
    </w:tbl>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VII</w:t>
        <w:br/>
        <w:t>TRUSTEE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 w:name="z0d3d3667dc0041e492e4a2f36051f1ac"/>
      <w:bookmarkStart w:id="24" w:name="z0d3d3667dc0041e492e4a2f36051f1ac"/>
      <w:bookmarkEnd w:id="24"/>
    </w:p>
    <w:tbl>
      <w:tblPr>
        <w:tblW w:w="6550" w:type="dxa"/>
        <w:jc w:val="left"/>
        <w:tblInd w:w="0" w:type="dxa"/>
        <w:tblLayout w:type="fixed"/>
        <w:tblCellMar>
          <w:top w:w="0" w:type="dxa"/>
          <w:left w:w="0" w:type="dxa"/>
          <w:bottom w:w="0" w:type="dxa"/>
          <w:right w:w="0" w:type="dxa"/>
        </w:tblCellMar>
      </w:tblPr>
      <w:tblGrid>
        <w:gridCol w:w="6275"/>
        <w:gridCol w:w="275"/>
      </w:tblGrid>
      <w:tr>
        <w:trPr/>
        <w:tc>
          <w:tcPr>
            <w:tcW w:w="6275" w:type="dxa"/>
            <w:tcBorders/>
            <w:shd w:fill="CCEEFF" w:val="clear"/>
            <w:vAlign w:val="center"/>
          </w:tcPr>
          <w:p>
            <w:pPr>
              <w:pStyle w:val="TableContents"/>
              <w:bidi w:val="0"/>
              <w:spacing w:before="0" w:after="0"/>
              <w:jc w:val="left"/>
              <w:rPr/>
            </w:pPr>
            <w:r>
              <w:rPr>
                <w:color w:val="000000"/>
              </w:rPr>
              <w:t>Section 7.01.</w:t>
            </w:r>
            <w:r>
              <w:rPr/>
              <w:t xml:space="preserve"> Duties of Trustee.</w:t>
            </w:r>
          </w:p>
        </w:tc>
        <w:tc>
          <w:tcPr>
            <w:tcW w:w="275" w:type="dxa"/>
            <w:tcBorders/>
            <w:shd w:fill="CCEEFF" w:val="clear"/>
            <w:vAlign w:val="center"/>
          </w:tcPr>
          <w:p>
            <w:pPr>
              <w:pStyle w:val="TableContents"/>
              <w:bidi w:val="0"/>
              <w:spacing w:before="0" w:after="0"/>
              <w:jc w:val="right"/>
              <w:rPr/>
            </w:pPr>
            <w:r>
              <w:rPr/>
              <w:t>32</w:t>
            </w:r>
          </w:p>
        </w:tc>
      </w:tr>
      <w:tr>
        <w:trPr/>
        <w:tc>
          <w:tcPr>
            <w:tcW w:w="6275" w:type="dxa"/>
            <w:tcBorders/>
            <w:vAlign w:val="center"/>
          </w:tcPr>
          <w:p>
            <w:pPr>
              <w:pStyle w:val="TableContents"/>
              <w:bidi w:val="0"/>
              <w:spacing w:before="0" w:after="0"/>
              <w:jc w:val="left"/>
              <w:rPr/>
            </w:pPr>
            <w:r>
              <w:rPr>
                <w:color w:val="000000"/>
              </w:rPr>
              <w:t>Section 7.02.</w:t>
            </w:r>
            <w:r>
              <w:rPr/>
              <w:t xml:space="preserve"> Rights of Trustee.</w:t>
            </w:r>
          </w:p>
        </w:tc>
        <w:tc>
          <w:tcPr>
            <w:tcW w:w="275" w:type="dxa"/>
            <w:tcBorders/>
            <w:vAlign w:val="center"/>
          </w:tcPr>
          <w:p>
            <w:pPr>
              <w:pStyle w:val="TableContents"/>
              <w:bidi w:val="0"/>
              <w:spacing w:before="0" w:after="0"/>
              <w:jc w:val="right"/>
              <w:rPr/>
            </w:pPr>
            <w:r>
              <w:rPr/>
              <w:t>33</w:t>
            </w:r>
          </w:p>
        </w:tc>
      </w:tr>
      <w:tr>
        <w:trPr/>
        <w:tc>
          <w:tcPr>
            <w:tcW w:w="6275" w:type="dxa"/>
            <w:tcBorders/>
            <w:shd w:fill="CCEEFF" w:val="clear"/>
            <w:vAlign w:val="center"/>
          </w:tcPr>
          <w:p>
            <w:pPr>
              <w:pStyle w:val="TableContents"/>
              <w:bidi w:val="0"/>
              <w:spacing w:before="0" w:after="0"/>
              <w:jc w:val="left"/>
              <w:rPr/>
            </w:pPr>
            <w:r>
              <w:rPr>
                <w:color w:val="000000"/>
              </w:rPr>
              <w:t>Section 7.03.</w:t>
            </w:r>
            <w:r>
              <w:rPr/>
              <w:t xml:space="preserve"> Individual Rights of Trustee.</w:t>
            </w:r>
          </w:p>
        </w:tc>
        <w:tc>
          <w:tcPr>
            <w:tcW w:w="275" w:type="dxa"/>
            <w:tcBorders/>
            <w:shd w:fill="CCEEFF" w:val="clear"/>
            <w:vAlign w:val="center"/>
          </w:tcPr>
          <w:p>
            <w:pPr>
              <w:pStyle w:val="TableContents"/>
              <w:bidi w:val="0"/>
              <w:spacing w:before="0" w:after="0"/>
              <w:jc w:val="right"/>
              <w:rPr/>
            </w:pPr>
            <w:r>
              <w:rPr/>
              <w:t>34</w:t>
            </w:r>
          </w:p>
        </w:tc>
      </w:tr>
      <w:tr>
        <w:trPr/>
        <w:tc>
          <w:tcPr>
            <w:tcW w:w="6275" w:type="dxa"/>
            <w:tcBorders/>
            <w:vAlign w:val="center"/>
          </w:tcPr>
          <w:p>
            <w:pPr>
              <w:pStyle w:val="TableContents"/>
              <w:bidi w:val="0"/>
              <w:spacing w:before="0" w:after="0"/>
              <w:jc w:val="left"/>
              <w:rPr/>
            </w:pPr>
            <w:r>
              <w:rPr>
                <w:color w:val="000000"/>
              </w:rPr>
              <w:t>Section 7.04.</w:t>
            </w:r>
            <w:r>
              <w:rPr/>
              <w:t xml:space="preserve"> Trustee’s Disclaimer.</w:t>
            </w:r>
          </w:p>
        </w:tc>
        <w:tc>
          <w:tcPr>
            <w:tcW w:w="275" w:type="dxa"/>
            <w:tcBorders/>
            <w:vAlign w:val="center"/>
          </w:tcPr>
          <w:p>
            <w:pPr>
              <w:pStyle w:val="TableContents"/>
              <w:bidi w:val="0"/>
              <w:spacing w:before="0" w:after="0"/>
              <w:jc w:val="right"/>
              <w:rPr/>
            </w:pPr>
            <w:r>
              <w:rPr/>
              <w:t>34</w:t>
            </w:r>
          </w:p>
        </w:tc>
      </w:tr>
      <w:tr>
        <w:trPr/>
        <w:tc>
          <w:tcPr>
            <w:tcW w:w="6275" w:type="dxa"/>
            <w:tcBorders/>
            <w:shd w:fill="CCEEFF" w:val="clear"/>
            <w:vAlign w:val="center"/>
          </w:tcPr>
          <w:p>
            <w:pPr>
              <w:pStyle w:val="TableContents"/>
              <w:bidi w:val="0"/>
              <w:spacing w:before="0" w:after="0"/>
              <w:jc w:val="left"/>
              <w:rPr/>
            </w:pPr>
            <w:r>
              <w:rPr>
                <w:color w:val="000000"/>
              </w:rPr>
              <w:t>Section 7.05.</w:t>
            </w:r>
            <w:r>
              <w:rPr/>
              <w:t xml:space="preserve"> Notice of Defaults.</w:t>
            </w:r>
          </w:p>
        </w:tc>
        <w:tc>
          <w:tcPr>
            <w:tcW w:w="275" w:type="dxa"/>
            <w:tcBorders/>
            <w:shd w:fill="CCEEFF" w:val="clear"/>
            <w:vAlign w:val="center"/>
          </w:tcPr>
          <w:p>
            <w:pPr>
              <w:pStyle w:val="TableContents"/>
              <w:bidi w:val="0"/>
              <w:spacing w:before="0" w:after="0"/>
              <w:jc w:val="right"/>
              <w:rPr/>
            </w:pPr>
            <w:r>
              <w:rPr/>
              <w:t>34</w:t>
            </w:r>
          </w:p>
        </w:tc>
      </w:tr>
      <w:tr>
        <w:trPr/>
        <w:tc>
          <w:tcPr>
            <w:tcW w:w="6275" w:type="dxa"/>
            <w:tcBorders/>
            <w:vAlign w:val="center"/>
          </w:tcPr>
          <w:p>
            <w:pPr>
              <w:pStyle w:val="TableContents"/>
              <w:bidi w:val="0"/>
              <w:spacing w:before="0" w:after="0"/>
              <w:jc w:val="left"/>
              <w:rPr/>
            </w:pPr>
            <w:r>
              <w:rPr>
                <w:color w:val="000000"/>
              </w:rPr>
              <w:t>Section 7.06.</w:t>
            </w:r>
            <w:r>
              <w:rPr/>
              <w:t xml:space="preserve"> Compensation and Indemnity.</w:t>
            </w:r>
          </w:p>
        </w:tc>
        <w:tc>
          <w:tcPr>
            <w:tcW w:w="275" w:type="dxa"/>
            <w:tcBorders/>
            <w:vAlign w:val="center"/>
          </w:tcPr>
          <w:p>
            <w:pPr>
              <w:pStyle w:val="TableContents"/>
              <w:bidi w:val="0"/>
              <w:spacing w:before="0" w:after="0"/>
              <w:jc w:val="right"/>
              <w:rPr/>
            </w:pPr>
            <w:r>
              <w:rPr/>
              <w:t>34</w:t>
            </w:r>
          </w:p>
        </w:tc>
      </w:tr>
      <w:tr>
        <w:trPr/>
        <w:tc>
          <w:tcPr>
            <w:tcW w:w="6275" w:type="dxa"/>
            <w:tcBorders/>
            <w:shd w:fill="CCEEFF" w:val="clear"/>
            <w:vAlign w:val="center"/>
          </w:tcPr>
          <w:p>
            <w:pPr>
              <w:pStyle w:val="TableContents"/>
              <w:bidi w:val="0"/>
              <w:spacing w:before="0" w:after="0"/>
              <w:jc w:val="left"/>
              <w:rPr/>
            </w:pPr>
            <w:r>
              <w:rPr>
                <w:color w:val="000000"/>
              </w:rPr>
              <w:t>Section 7.07.</w:t>
            </w:r>
            <w:r>
              <w:rPr/>
              <w:t xml:space="preserve"> Replacement of Trustee.</w:t>
            </w:r>
          </w:p>
        </w:tc>
        <w:tc>
          <w:tcPr>
            <w:tcW w:w="275" w:type="dxa"/>
            <w:tcBorders/>
            <w:shd w:fill="CCEEFF" w:val="clear"/>
            <w:vAlign w:val="center"/>
          </w:tcPr>
          <w:p>
            <w:pPr>
              <w:pStyle w:val="TableContents"/>
              <w:bidi w:val="0"/>
              <w:spacing w:before="0" w:after="0"/>
              <w:jc w:val="right"/>
              <w:rPr/>
            </w:pPr>
            <w:r>
              <w:rPr/>
              <w:t>35</w:t>
            </w:r>
          </w:p>
        </w:tc>
      </w:tr>
      <w:tr>
        <w:trPr/>
        <w:tc>
          <w:tcPr>
            <w:tcW w:w="6275" w:type="dxa"/>
            <w:tcBorders/>
            <w:vAlign w:val="center"/>
          </w:tcPr>
          <w:p>
            <w:pPr>
              <w:pStyle w:val="TableContents"/>
              <w:bidi w:val="0"/>
              <w:spacing w:before="0" w:after="0"/>
              <w:jc w:val="left"/>
              <w:rPr/>
            </w:pPr>
            <w:r>
              <w:rPr>
                <w:color w:val="000000"/>
              </w:rPr>
              <w:t>Section 7.08.</w:t>
            </w:r>
            <w:r>
              <w:rPr/>
              <w:t xml:space="preserve"> Successor Trustee by Consolidation, Merger, etc.</w:t>
            </w:r>
          </w:p>
        </w:tc>
        <w:tc>
          <w:tcPr>
            <w:tcW w:w="275" w:type="dxa"/>
            <w:tcBorders/>
            <w:vAlign w:val="center"/>
          </w:tcPr>
          <w:p>
            <w:pPr>
              <w:pStyle w:val="TableContents"/>
              <w:bidi w:val="0"/>
              <w:spacing w:before="0" w:after="0"/>
              <w:jc w:val="right"/>
              <w:rPr/>
            </w:pPr>
            <w:r>
              <w:rPr/>
              <w:t>36</w:t>
            </w:r>
          </w:p>
        </w:tc>
      </w:tr>
      <w:tr>
        <w:trPr/>
        <w:tc>
          <w:tcPr>
            <w:tcW w:w="6275" w:type="dxa"/>
            <w:tcBorders/>
            <w:shd w:fill="CCEEFF" w:val="clear"/>
            <w:vAlign w:val="center"/>
          </w:tcPr>
          <w:p>
            <w:pPr>
              <w:pStyle w:val="TableContents"/>
              <w:bidi w:val="0"/>
              <w:spacing w:before="0" w:after="0"/>
              <w:jc w:val="left"/>
              <w:rPr/>
            </w:pPr>
            <w:r>
              <w:rPr>
                <w:color w:val="000000"/>
              </w:rPr>
              <w:t>Section 7.09.</w:t>
            </w:r>
            <w:r>
              <w:rPr/>
              <w:t xml:space="preserve"> Eligibility; Disqualification.</w:t>
            </w:r>
          </w:p>
        </w:tc>
        <w:tc>
          <w:tcPr>
            <w:tcW w:w="275" w:type="dxa"/>
            <w:tcBorders/>
            <w:shd w:fill="CCEEFF" w:val="clear"/>
            <w:vAlign w:val="center"/>
          </w:tcPr>
          <w:p>
            <w:pPr>
              <w:pStyle w:val="TableContents"/>
              <w:bidi w:val="0"/>
              <w:spacing w:before="0" w:after="0"/>
              <w:jc w:val="right"/>
              <w:rPr/>
            </w:pPr>
            <w:r>
              <w:rPr/>
              <w:t>36</w:t>
            </w:r>
          </w:p>
        </w:tc>
      </w:tr>
      <w:tr>
        <w:trPr/>
        <w:tc>
          <w:tcPr>
            <w:tcW w:w="6275" w:type="dxa"/>
            <w:tcBorders/>
            <w:vAlign w:val="center"/>
          </w:tcPr>
          <w:p>
            <w:pPr>
              <w:pStyle w:val="TableContents"/>
              <w:bidi w:val="0"/>
              <w:spacing w:before="0" w:after="0"/>
              <w:jc w:val="left"/>
              <w:rPr/>
            </w:pPr>
            <w:r>
              <w:rPr>
                <w:color w:val="000000"/>
              </w:rPr>
              <w:t>Section 7.10.</w:t>
            </w:r>
            <w:r>
              <w:rPr/>
              <w:t xml:space="preserve"> Reports by Trustee to Holders.</w:t>
            </w:r>
          </w:p>
        </w:tc>
        <w:tc>
          <w:tcPr>
            <w:tcW w:w="275" w:type="dxa"/>
            <w:tcBorders/>
            <w:vAlign w:val="center"/>
          </w:tcPr>
          <w:p>
            <w:pPr>
              <w:pStyle w:val="TableContents"/>
              <w:bidi w:val="0"/>
              <w:spacing w:before="0" w:after="0"/>
              <w:jc w:val="right"/>
              <w:rPr/>
            </w:pPr>
            <w:r>
              <w:rPr/>
              <w:t>36</w:t>
            </w:r>
          </w:p>
        </w:tc>
      </w:tr>
      <w:tr>
        <w:trPr/>
        <w:tc>
          <w:tcPr>
            <w:tcW w:w="6275" w:type="dxa"/>
            <w:tcBorders/>
            <w:shd w:fill="CCEEFF" w:val="clear"/>
            <w:vAlign w:val="center"/>
          </w:tcPr>
          <w:p>
            <w:pPr>
              <w:pStyle w:val="TableContents"/>
              <w:bidi w:val="0"/>
              <w:spacing w:before="0" w:after="0"/>
              <w:jc w:val="left"/>
              <w:rPr/>
            </w:pPr>
            <w:r>
              <w:rPr>
                <w:color w:val="000000"/>
              </w:rPr>
              <w:t>Section 7.11.</w:t>
            </w:r>
            <w:r>
              <w:rPr/>
              <w:t xml:space="preserve"> Preferential Collection of Claims Against Company.</w:t>
            </w:r>
          </w:p>
        </w:tc>
        <w:tc>
          <w:tcPr>
            <w:tcW w:w="275" w:type="dxa"/>
            <w:tcBorders/>
            <w:shd w:fill="CCEEFF" w:val="clear"/>
            <w:vAlign w:val="center"/>
          </w:tcPr>
          <w:p>
            <w:pPr>
              <w:pStyle w:val="TableContents"/>
              <w:bidi w:val="0"/>
              <w:spacing w:before="0" w:after="0"/>
              <w:jc w:val="right"/>
              <w:rPr/>
            </w:pPr>
            <w:r>
              <w:rPr/>
              <w:t>37</w:t>
            </w:r>
          </w:p>
        </w:tc>
      </w:tr>
      <w:tr>
        <w:trPr/>
        <w:tc>
          <w:tcPr>
            <w:tcW w:w="6275" w:type="dxa"/>
            <w:tcBorders/>
            <w:vAlign w:val="center"/>
          </w:tcPr>
          <w:p>
            <w:pPr>
              <w:pStyle w:val="TableContents"/>
              <w:bidi w:val="0"/>
              <w:spacing w:before="0" w:after="0"/>
              <w:jc w:val="left"/>
              <w:rPr/>
            </w:pPr>
            <w:r>
              <w:rPr>
                <w:color w:val="000000"/>
              </w:rPr>
              <w:t>Section 7.12.</w:t>
            </w:r>
            <w:r>
              <w:rPr/>
              <w:t xml:space="preserve"> Appointment of Authenticating Agent.</w:t>
            </w:r>
          </w:p>
        </w:tc>
        <w:tc>
          <w:tcPr>
            <w:tcW w:w="275" w:type="dxa"/>
            <w:tcBorders/>
            <w:vAlign w:val="center"/>
          </w:tcPr>
          <w:p>
            <w:pPr>
              <w:pStyle w:val="TableContents"/>
              <w:bidi w:val="0"/>
              <w:spacing w:before="0" w:after="0"/>
              <w:jc w:val="right"/>
              <w:rPr/>
            </w:pPr>
            <w:r>
              <w:rPr/>
              <w:t>37</w:t>
            </w:r>
          </w:p>
        </w:tc>
      </w:tr>
    </w:tbl>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VIII</w:t>
        <w:br/>
        <w:t>AMENDMENT, SUPPLEMENT AND WAIVER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 w:name="z09e5337b5b774dfc96262c7cc95211f7"/>
      <w:bookmarkStart w:id="26" w:name="z09e5337b5b774dfc96262c7cc95211f7"/>
      <w:bookmarkEnd w:id="26"/>
    </w:p>
    <w:tbl>
      <w:tblPr>
        <w:tblW w:w="6085" w:type="dxa"/>
        <w:jc w:val="left"/>
        <w:tblInd w:w="0" w:type="dxa"/>
        <w:tblLayout w:type="fixed"/>
        <w:tblCellMar>
          <w:top w:w="0" w:type="dxa"/>
          <w:left w:w="0" w:type="dxa"/>
          <w:bottom w:w="0" w:type="dxa"/>
          <w:right w:w="0" w:type="dxa"/>
        </w:tblCellMar>
      </w:tblPr>
      <w:tblGrid>
        <w:gridCol w:w="5810"/>
        <w:gridCol w:w="275"/>
      </w:tblGrid>
      <w:tr>
        <w:trPr/>
        <w:tc>
          <w:tcPr>
            <w:tcW w:w="5810" w:type="dxa"/>
            <w:tcBorders/>
            <w:shd w:fill="CCEEFF" w:val="clear"/>
            <w:vAlign w:val="center"/>
          </w:tcPr>
          <w:p>
            <w:pPr>
              <w:pStyle w:val="TableContents"/>
              <w:bidi w:val="0"/>
              <w:spacing w:before="0" w:after="0"/>
              <w:jc w:val="left"/>
              <w:rPr/>
            </w:pPr>
            <w:r>
              <w:rPr>
                <w:color w:val="000000"/>
              </w:rPr>
              <w:t>Section 8.01.</w:t>
            </w:r>
            <w:r>
              <w:rPr/>
              <w:t xml:space="preserve"> Without Consent of Holders.</w:t>
            </w:r>
          </w:p>
        </w:tc>
        <w:tc>
          <w:tcPr>
            <w:tcW w:w="275" w:type="dxa"/>
            <w:tcBorders/>
            <w:shd w:fill="CCEEFF" w:val="clear"/>
            <w:vAlign w:val="center"/>
          </w:tcPr>
          <w:p>
            <w:pPr>
              <w:pStyle w:val="TableContents"/>
              <w:bidi w:val="0"/>
              <w:spacing w:before="0" w:after="0"/>
              <w:jc w:val="right"/>
              <w:rPr/>
            </w:pPr>
            <w:r>
              <w:rPr/>
              <w:t>37</w:t>
            </w:r>
          </w:p>
        </w:tc>
      </w:tr>
      <w:tr>
        <w:trPr/>
        <w:tc>
          <w:tcPr>
            <w:tcW w:w="5810" w:type="dxa"/>
            <w:tcBorders/>
            <w:vAlign w:val="center"/>
          </w:tcPr>
          <w:p>
            <w:pPr>
              <w:pStyle w:val="TableContents"/>
              <w:bidi w:val="0"/>
              <w:spacing w:before="0" w:after="0"/>
              <w:jc w:val="left"/>
              <w:rPr/>
            </w:pPr>
            <w:r>
              <w:rPr>
                <w:color w:val="000000"/>
              </w:rPr>
              <w:t>Section 8.02.</w:t>
            </w:r>
            <w:r>
              <w:rPr/>
              <w:t xml:space="preserve"> With Consent of Holders.</w:t>
            </w:r>
          </w:p>
        </w:tc>
        <w:tc>
          <w:tcPr>
            <w:tcW w:w="275" w:type="dxa"/>
            <w:tcBorders/>
            <w:vAlign w:val="center"/>
          </w:tcPr>
          <w:p>
            <w:pPr>
              <w:pStyle w:val="TableContents"/>
              <w:bidi w:val="0"/>
              <w:spacing w:before="0" w:after="0"/>
              <w:jc w:val="right"/>
              <w:rPr/>
            </w:pPr>
            <w:r>
              <w:rPr/>
              <w:t>38</w:t>
            </w:r>
          </w:p>
        </w:tc>
      </w:tr>
      <w:tr>
        <w:trPr/>
        <w:tc>
          <w:tcPr>
            <w:tcW w:w="5810" w:type="dxa"/>
            <w:tcBorders/>
            <w:shd w:fill="CCEEFF" w:val="clear"/>
            <w:vAlign w:val="center"/>
          </w:tcPr>
          <w:p>
            <w:pPr>
              <w:pStyle w:val="TableContents"/>
              <w:bidi w:val="0"/>
              <w:spacing w:before="0" w:after="0"/>
              <w:jc w:val="left"/>
              <w:rPr/>
            </w:pPr>
            <w:r>
              <w:rPr>
                <w:color w:val="000000"/>
              </w:rPr>
              <w:t>Section 8.03.</w:t>
            </w:r>
            <w:r>
              <w:rPr/>
              <w:t xml:space="preserve"> Revocation and Effect of Consents.</w:t>
            </w:r>
          </w:p>
        </w:tc>
        <w:tc>
          <w:tcPr>
            <w:tcW w:w="275" w:type="dxa"/>
            <w:tcBorders/>
            <w:shd w:fill="CCEEFF" w:val="clear"/>
            <w:vAlign w:val="center"/>
          </w:tcPr>
          <w:p>
            <w:pPr>
              <w:pStyle w:val="TableContents"/>
              <w:bidi w:val="0"/>
              <w:spacing w:before="0" w:after="0"/>
              <w:jc w:val="right"/>
              <w:rPr/>
            </w:pPr>
            <w:r>
              <w:rPr/>
              <w:t>40</w:t>
            </w:r>
          </w:p>
        </w:tc>
      </w:tr>
      <w:tr>
        <w:trPr/>
        <w:tc>
          <w:tcPr>
            <w:tcW w:w="5810" w:type="dxa"/>
            <w:tcBorders/>
            <w:vAlign w:val="center"/>
          </w:tcPr>
          <w:p>
            <w:pPr>
              <w:pStyle w:val="TableContents"/>
              <w:bidi w:val="0"/>
              <w:spacing w:before="0" w:after="0"/>
              <w:jc w:val="left"/>
              <w:rPr/>
            </w:pPr>
            <w:r>
              <w:rPr>
                <w:color w:val="000000"/>
              </w:rPr>
              <w:t>Section 8.04.</w:t>
            </w:r>
            <w:r>
              <w:rPr/>
              <w:t xml:space="preserve"> Notation on or Exchange of Securities.</w:t>
            </w:r>
          </w:p>
        </w:tc>
        <w:tc>
          <w:tcPr>
            <w:tcW w:w="275" w:type="dxa"/>
            <w:tcBorders/>
            <w:vAlign w:val="center"/>
          </w:tcPr>
          <w:p>
            <w:pPr>
              <w:pStyle w:val="TableContents"/>
              <w:bidi w:val="0"/>
              <w:spacing w:before="0" w:after="0"/>
              <w:jc w:val="right"/>
              <w:rPr/>
            </w:pPr>
            <w:r>
              <w:rPr/>
              <w:t>40</w:t>
            </w:r>
          </w:p>
        </w:tc>
      </w:tr>
      <w:tr>
        <w:trPr/>
        <w:tc>
          <w:tcPr>
            <w:tcW w:w="5810" w:type="dxa"/>
            <w:tcBorders/>
            <w:shd w:fill="CCEEFF" w:val="clear"/>
            <w:vAlign w:val="center"/>
          </w:tcPr>
          <w:p>
            <w:pPr>
              <w:pStyle w:val="TableContents"/>
              <w:bidi w:val="0"/>
              <w:spacing w:before="0" w:after="0"/>
              <w:jc w:val="left"/>
              <w:rPr/>
            </w:pPr>
            <w:r>
              <w:rPr>
                <w:color w:val="000000"/>
              </w:rPr>
              <w:t>Section 8.05.</w:t>
            </w:r>
            <w:r>
              <w:rPr/>
              <w:t xml:space="preserve"> Trustee To Sign Amendments, etc.</w:t>
            </w:r>
          </w:p>
        </w:tc>
        <w:tc>
          <w:tcPr>
            <w:tcW w:w="275" w:type="dxa"/>
            <w:tcBorders/>
            <w:shd w:fill="CCEEFF" w:val="clear"/>
            <w:vAlign w:val="center"/>
          </w:tcPr>
          <w:p>
            <w:pPr>
              <w:pStyle w:val="TableContents"/>
              <w:bidi w:val="0"/>
              <w:spacing w:before="0" w:after="0"/>
              <w:jc w:val="right"/>
              <w:rPr/>
            </w:pPr>
            <w:r>
              <w:rPr/>
              <w:t>40</w:t>
            </w:r>
          </w:p>
        </w:tc>
      </w:tr>
      <w:tr>
        <w:trPr/>
        <w:tc>
          <w:tcPr>
            <w:tcW w:w="5810" w:type="dxa"/>
            <w:tcBorders/>
            <w:vAlign w:val="center"/>
          </w:tcPr>
          <w:p>
            <w:pPr>
              <w:pStyle w:val="TableContents"/>
              <w:bidi w:val="0"/>
              <w:spacing w:before="0" w:after="0"/>
              <w:jc w:val="left"/>
              <w:rPr/>
            </w:pPr>
            <w:r>
              <w:rPr>
                <w:color w:val="000000"/>
              </w:rPr>
              <w:t>Section 8.06.</w:t>
            </w:r>
            <w:r>
              <w:rPr/>
              <w:t xml:space="preserve"> Compliance with Trust Indenture Act.</w:t>
            </w:r>
          </w:p>
        </w:tc>
        <w:tc>
          <w:tcPr>
            <w:tcW w:w="275" w:type="dxa"/>
            <w:tcBorders/>
            <w:vAlign w:val="center"/>
          </w:tcPr>
          <w:p>
            <w:pPr>
              <w:pStyle w:val="TableContents"/>
              <w:bidi w:val="0"/>
              <w:spacing w:before="0" w:after="0"/>
              <w:jc w:val="right"/>
              <w:rPr/>
            </w:pPr>
            <w:r>
              <w:rPr/>
              <w:t>40</w:t>
            </w:r>
          </w:p>
        </w:tc>
      </w:tr>
      <w:tr>
        <w:trPr/>
        <w:tc>
          <w:tcPr>
            <w:tcW w:w="5810" w:type="dxa"/>
            <w:tcBorders/>
            <w:shd w:fill="CCEEFF" w:val="clear"/>
            <w:vAlign w:val="center"/>
          </w:tcPr>
          <w:p>
            <w:pPr>
              <w:pStyle w:val="TableContents"/>
              <w:bidi w:val="0"/>
              <w:spacing w:before="0" w:after="0"/>
              <w:jc w:val="left"/>
              <w:rPr/>
            </w:pPr>
            <w:r>
              <w:rPr>
                <w:color w:val="000000"/>
              </w:rPr>
              <w:t>Section 8.07.</w:t>
            </w:r>
            <w:r>
              <w:rPr/>
              <w:t xml:space="preserve"> Effect of Execution of Supplemental Indenture.</w:t>
            </w:r>
          </w:p>
        </w:tc>
        <w:tc>
          <w:tcPr>
            <w:tcW w:w="275" w:type="dxa"/>
            <w:tcBorders/>
            <w:shd w:fill="CCEEFF" w:val="clear"/>
            <w:vAlign w:val="center"/>
          </w:tcPr>
          <w:p>
            <w:pPr>
              <w:pStyle w:val="TableContents"/>
              <w:bidi w:val="0"/>
              <w:spacing w:before="0" w:after="0"/>
              <w:jc w:val="right"/>
              <w:rPr/>
            </w:pPr>
            <w:r>
              <w:rPr/>
              <w:t>40</w:t>
            </w:r>
          </w:p>
        </w:tc>
      </w:tr>
    </w:tbl>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IX</w:t>
        <w:br/>
        <w:t>SATISFACTION AND DISCHARGE OF INDENTURE; DEFEASANCE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 w:name="z93af6dbedca04fb58577ea704b2f031c"/>
      <w:bookmarkStart w:id="28" w:name="z93af6dbedca04fb58577ea704b2f031c"/>
      <w:bookmarkEnd w:id="28"/>
    </w:p>
    <w:tbl>
      <w:tblPr>
        <w:tblW w:w="3865" w:type="dxa"/>
        <w:jc w:val="left"/>
        <w:tblInd w:w="0" w:type="dxa"/>
        <w:tblLayout w:type="fixed"/>
        <w:tblCellMar>
          <w:top w:w="0" w:type="dxa"/>
          <w:left w:w="0" w:type="dxa"/>
          <w:bottom w:w="0" w:type="dxa"/>
          <w:right w:w="0" w:type="dxa"/>
        </w:tblCellMar>
      </w:tblPr>
      <w:tblGrid>
        <w:gridCol w:w="3590"/>
        <w:gridCol w:w="275"/>
      </w:tblGrid>
      <w:tr>
        <w:trPr/>
        <w:tc>
          <w:tcPr>
            <w:tcW w:w="3590" w:type="dxa"/>
            <w:tcBorders/>
            <w:shd w:fill="CCEEFF" w:val="clear"/>
            <w:vAlign w:val="center"/>
          </w:tcPr>
          <w:p>
            <w:pPr>
              <w:pStyle w:val="TableContents"/>
              <w:bidi w:val="0"/>
              <w:spacing w:before="0" w:after="0"/>
              <w:jc w:val="left"/>
              <w:rPr/>
            </w:pPr>
            <w:r>
              <w:rPr>
                <w:color w:val="000000"/>
              </w:rPr>
              <w:t>Section 9.01.</w:t>
            </w:r>
            <w:r>
              <w:rPr/>
              <w:t xml:space="preserve"> Applicability of Article.</w:t>
            </w:r>
          </w:p>
        </w:tc>
        <w:tc>
          <w:tcPr>
            <w:tcW w:w="275" w:type="dxa"/>
            <w:tcBorders/>
            <w:shd w:fill="CCEEFF" w:val="clear"/>
            <w:vAlign w:val="center"/>
          </w:tcPr>
          <w:p>
            <w:pPr>
              <w:pStyle w:val="TableContents"/>
              <w:bidi w:val="0"/>
              <w:spacing w:before="0" w:after="0"/>
              <w:jc w:val="right"/>
              <w:rPr/>
            </w:pPr>
            <w:r>
              <w:rPr/>
              <w:t>41</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9" w:name="z9f4064972df64be59c6ab7f6159fe74e"/>
      <w:bookmarkStart w:id="30" w:name="z9f4064972df64be59c6ab7f6159fe74e"/>
      <w:bookmarkEnd w:id="30"/>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shd w:fill="CCEEFF" w:val="clear"/>
            <w:vAlign w:val="center"/>
          </w:tcPr>
          <w:p>
            <w:pPr>
              <w:pStyle w:val="TableContents"/>
              <w:bidi w:val="0"/>
              <w:spacing w:before="0" w:after="0"/>
              <w:jc w:val="left"/>
              <w:rPr/>
            </w:pPr>
            <w:r>
              <w:rPr>
                <w:color w:val="000000"/>
              </w:rPr>
              <w:t>Section 9.02.</w:t>
            </w:r>
            <w:r>
              <w:rPr/>
              <w:t xml:space="preserve"> Satisfaction and Discharge of Liability on Securities; Defeasance.</w:t>
            </w:r>
          </w:p>
        </w:tc>
        <w:tc>
          <w:tcPr>
            <w:tcW w:w="275" w:type="dxa"/>
            <w:tcBorders/>
            <w:shd w:fill="CCEEFF" w:val="clear"/>
            <w:vAlign w:val="center"/>
          </w:tcPr>
          <w:p>
            <w:pPr>
              <w:pStyle w:val="TableContents"/>
              <w:bidi w:val="0"/>
              <w:spacing w:before="0" w:after="0"/>
              <w:jc w:val="right"/>
              <w:rPr/>
            </w:pPr>
            <w:r>
              <w:rPr/>
              <w:t>41</w:t>
            </w:r>
          </w:p>
        </w:tc>
      </w:tr>
      <w:tr>
        <w:trPr/>
        <w:tc>
          <w:tcPr>
            <w:tcW w:w="9930" w:type="dxa"/>
            <w:tcBorders/>
            <w:vAlign w:val="center"/>
          </w:tcPr>
          <w:p>
            <w:pPr>
              <w:pStyle w:val="TableContents"/>
              <w:bidi w:val="0"/>
              <w:spacing w:before="0" w:after="0"/>
              <w:jc w:val="left"/>
              <w:rPr/>
            </w:pPr>
            <w:r>
              <w:rPr>
                <w:color w:val="000000"/>
              </w:rPr>
              <w:t>Section 9.03.</w:t>
            </w:r>
            <w:r>
              <w:rPr/>
              <w:t xml:space="preserve"> Conditions to Defeasance.</w:t>
            </w:r>
          </w:p>
        </w:tc>
        <w:tc>
          <w:tcPr>
            <w:tcW w:w="275" w:type="dxa"/>
            <w:tcBorders/>
            <w:vAlign w:val="center"/>
          </w:tcPr>
          <w:p>
            <w:pPr>
              <w:pStyle w:val="TableContents"/>
              <w:bidi w:val="0"/>
              <w:spacing w:before="0" w:after="0"/>
              <w:jc w:val="right"/>
              <w:rPr/>
            </w:pPr>
            <w:r>
              <w:rPr/>
              <w:t>42</w:t>
            </w:r>
          </w:p>
        </w:tc>
      </w:tr>
      <w:tr>
        <w:trPr/>
        <w:tc>
          <w:tcPr>
            <w:tcW w:w="9930" w:type="dxa"/>
            <w:tcBorders/>
            <w:shd w:fill="CCEEFF" w:val="clear"/>
            <w:vAlign w:val="center"/>
          </w:tcPr>
          <w:p>
            <w:pPr>
              <w:pStyle w:val="TableContents"/>
              <w:bidi w:val="0"/>
              <w:spacing w:before="0" w:after="0"/>
              <w:jc w:val="left"/>
              <w:rPr/>
            </w:pPr>
            <w:r>
              <w:rPr>
                <w:color w:val="000000"/>
              </w:rPr>
              <w:t>Section 9.04.</w:t>
            </w:r>
            <w:r>
              <w:rPr/>
              <w:t xml:space="preserve"> Deposited Money and U.S. Government Obligations To Be Held in Trust; Other Miscellaneous Provisions.</w:t>
            </w:r>
          </w:p>
        </w:tc>
        <w:tc>
          <w:tcPr>
            <w:tcW w:w="275" w:type="dxa"/>
            <w:tcBorders/>
            <w:shd w:fill="CCEEFF" w:val="clear"/>
            <w:vAlign w:val="center"/>
          </w:tcPr>
          <w:p>
            <w:pPr>
              <w:pStyle w:val="TableContents"/>
              <w:bidi w:val="0"/>
              <w:spacing w:before="0" w:after="0"/>
              <w:jc w:val="right"/>
              <w:rPr/>
            </w:pPr>
            <w:r>
              <w:rPr/>
              <w:t>43</w:t>
            </w:r>
          </w:p>
        </w:tc>
      </w:tr>
      <w:tr>
        <w:trPr/>
        <w:tc>
          <w:tcPr>
            <w:tcW w:w="9930" w:type="dxa"/>
            <w:tcBorders/>
            <w:vAlign w:val="center"/>
          </w:tcPr>
          <w:p>
            <w:pPr>
              <w:pStyle w:val="TableContents"/>
              <w:bidi w:val="0"/>
              <w:spacing w:before="0" w:after="0"/>
              <w:jc w:val="left"/>
              <w:rPr/>
            </w:pPr>
            <w:r>
              <w:rPr>
                <w:color w:val="000000"/>
              </w:rPr>
              <w:t>Section 9.05.</w:t>
            </w:r>
            <w:r>
              <w:rPr/>
              <w:t xml:space="preserve"> Reinstatement.</w:t>
            </w:r>
          </w:p>
        </w:tc>
        <w:tc>
          <w:tcPr>
            <w:tcW w:w="275" w:type="dxa"/>
            <w:tcBorders/>
            <w:vAlign w:val="center"/>
          </w:tcPr>
          <w:p>
            <w:pPr>
              <w:pStyle w:val="TableContents"/>
              <w:bidi w:val="0"/>
              <w:spacing w:before="0" w:after="0"/>
              <w:jc w:val="right"/>
              <w:rPr/>
            </w:pPr>
            <w:r>
              <w:rPr/>
              <w:t>43</w:t>
            </w:r>
          </w:p>
        </w:tc>
      </w:tr>
      <w:tr>
        <w:trPr/>
        <w:tc>
          <w:tcPr>
            <w:tcW w:w="9930" w:type="dxa"/>
            <w:tcBorders/>
            <w:shd w:fill="CCEEFF" w:val="clear"/>
            <w:vAlign w:val="center"/>
          </w:tcPr>
          <w:p>
            <w:pPr>
              <w:pStyle w:val="TableContents"/>
              <w:bidi w:val="0"/>
              <w:spacing w:before="0" w:after="0"/>
              <w:jc w:val="left"/>
              <w:rPr/>
            </w:pPr>
            <w:r>
              <w:rPr>
                <w:color w:val="000000"/>
              </w:rPr>
              <w:t>Section 9.06.</w:t>
            </w:r>
            <w:r>
              <w:rPr/>
              <w:t xml:space="preserve"> Moneys Held by Paying Agent.</w:t>
            </w:r>
          </w:p>
        </w:tc>
        <w:tc>
          <w:tcPr>
            <w:tcW w:w="275" w:type="dxa"/>
            <w:tcBorders/>
            <w:shd w:fill="CCEEFF" w:val="clear"/>
            <w:vAlign w:val="center"/>
          </w:tcPr>
          <w:p>
            <w:pPr>
              <w:pStyle w:val="TableContents"/>
              <w:bidi w:val="0"/>
              <w:spacing w:before="0" w:after="0"/>
              <w:jc w:val="right"/>
              <w:rPr/>
            </w:pPr>
            <w:r>
              <w:rPr/>
              <w:t>43</w:t>
            </w:r>
          </w:p>
        </w:tc>
      </w:tr>
      <w:tr>
        <w:trPr/>
        <w:tc>
          <w:tcPr>
            <w:tcW w:w="9930" w:type="dxa"/>
            <w:tcBorders/>
            <w:vAlign w:val="center"/>
          </w:tcPr>
          <w:p>
            <w:pPr>
              <w:pStyle w:val="TableContents"/>
              <w:bidi w:val="0"/>
              <w:spacing w:before="0" w:after="0"/>
              <w:jc w:val="left"/>
              <w:rPr/>
            </w:pPr>
            <w:r>
              <w:rPr>
                <w:color w:val="000000"/>
              </w:rPr>
              <w:t>Section 9.07.</w:t>
            </w:r>
            <w:r>
              <w:rPr/>
              <w:t xml:space="preserve"> Moneys Held by Trustee.</w:t>
            </w:r>
          </w:p>
        </w:tc>
        <w:tc>
          <w:tcPr>
            <w:tcW w:w="275" w:type="dxa"/>
            <w:tcBorders/>
            <w:vAlign w:val="center"/>
          </w:tcPr>
          <w:p>
            <w:pPr>
              <w:pStyle w:val="TableContents"/>
              <w:bidi w:val="0"/>
              <w:spacing w:before="0" w:after="0"/>
              <w:jc w:val="right"/>
              <w:rPr/>
            </w:pPr>
            <w:r>
              <w:rPr/>
              <w:t>44</w:t>
            </w:r>
          </w:p>
        </w:tc>
      </w:tr>
      <w:tr>
        <w:trPr/>
        <w:tc>
          <w:tcPr>
            <w:tcW w:w="9930" w:type="dxa"/>
            <w:tcBorders/>
            <w:shd w:fill="CCEEFF" w:val="clear"/>
            <w:vAlign w:val="center"/>
          </w:tcPr>
          <w:p>
            <w:pPr>
              <w:pStyle w:val="TableContents"/>
              <w:bidi w:val="0"/>
              <w:spacing w:before="0" w:after="0"/>
              <w:jc w:val="left"/>
              <w:rPr/>
            </w:pPr>
            <w:r>
              <w:rPr>
                <w:color w:val="000000"/>
              </w:rPr>
              <w:t>Section 9.08.</w:t>
            </w:r>
            <w:r>
              <w:rPr/>
              <w:t xml:space="preserve"> Deposits of Non-U.S. Currencies.</w:t>
            </w:r>
          </w:p>
        </w:tc>
        <w:tc>
          <w:tcPr>
            <w:tcW w:w="275" w:type="dxa"/>
            <w:tcBorders/>
            <w:shd w:fill="CCEEFF" w:val="clear"/>
            <w:vAlign w:val="center"/>
          </w:tcPr>
          <w:p>
            <w:pPr>
              <w:pStyle w:val="TableContents"/>
              <w:bidi w:val="0"/>
              <w:spacing w:before="0" w:after="0"/>
              <w:jc w:val="right"/>
              <w:rPr/>
            </w:pPr>
            <w:r>
              <w:rPr/>
              <w:t>44</w:t>
            </w:r>
          </w:p>
        </w:tc>
      </w:tr>
    </w:tbl>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X</w:t>
        <w:br/>
        <w:t>GUARANTEES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 w:name="z4863ccd57e30451588c83ddc97939c32"/>
      <w:bookmarkStart w:id="32" w:name="z4863ccd57e30451588c83ddc97939c32"/>
      <w:bookmarkEnd w:id="32"/>
    </w:p>
    <w:tbl>
      <w:tblPr>
        <w:tblW w:w="4090" w:type="dxa"/>
        <w:jc w:val="left"/>
        <w:tblInd w:w="0" w:type="dxa"/>
        <w:tblLayout w:type="fixed"/>
        <w:tblCellMar>
          <w:top w:w="0" w:type="dxa"/>
          <w:left w:w="0" w:type="dxa"/>
          <w:bottom w:w="0" w:type="dxa"/>
          <w:right w:w="0" w:type="dxa"/>
        </w:tblCellMar>
      </w:tblPr>
      <w:tblGrid>
        <w:gridCol w:w="3815"/>
        <w:gridCol w:w="275"/>
      </w:tblGrid>
      <w:tr>
        <w:trPr/>
        <w:tc>
          <w:tcPr>
            <w:tcW w:w="3815" w:type="dxa"/>
            <w:tcBorders/>
            <w:shd w:fill="CCEEFF" w:val="clear"/>
            <w:vAlign w:val="center"/>
          </w:tcPr>
          <w:p>
            <w:pPr>
              <w:pStyle w:val="TableContents"/>
              <w:bidi w:val="0"/>
              <w:spacing w:before="0" w:after="0"/>
              <w:jc w:val="left"/>
              <w:rPr/>
            </w:pPr>
            <w:r>
              <w:rPr>
                <w:color w:val="000000"/>
              </w:rPr>
              <w:t>Section 10.01.</w:t>
            </w:r>
            <w:r>
              <w:rPr/>
              <w:t xml:space="preserve"> Guarantees.</w:t>
            </w:r>
          </w:p>
        </w:tc>
        <w:tc>
          <w:tcPr>
            <w:tcW w:w="275" w:type="dxa"/>
            <w:tcBorders/>
            <w:shd w:fill="CCEEFF" w:val="clear"/>
            <w:vAlign w:val="center"/>
          </w:tcPr>
          <w:p>
            <w:pPr>
              <w:pStyle w:val="TableContents"/>
              <w:bidi w:val="0"/>
              <w:spacing w:before="0" w:after="0"/>
              <w:jc w:val="right"/>
              <w:rPr/>
            </w:pPr>
            <w:r>
              <w:rPr/>
              <w:t>44</w:t>
            </w:r>
          </w:p>
        </w:tc>
      </w:tr>
      <w:tr>
        <w:trPr/>
        <w:tc>
          <w:tcPr>
            <w:tcW w:w="3815" w:type="dxa"/>
            <w:tcBorders/>
            <w:vAlign w:val="center"/>
          </w:tcPr>
          <w:p>
            <w:pPr>
              <w:pStyle w:val="TableContents"/>
              <w:bidi w:val="0"/>
              <w:spacing w:before="0" w:after="0"/>
              <w:jc w:val="left"/>
              <w:rPr/>
            </w:pPr>
            <w:r>
              <w:rPr>
                <w:color w:val="000000"/>
              </w:rPr>
              <w:t>Section 10.02.</w:t>
            </w:r>
            <w:r>
              <w:rPr/>
              <w:t xml:space="preserve"> Severability.</w:t>
            </w:r>
          </w:p>
        </w:tc>
        <w:tc>
          <w:tcPr>
            <w:tcW w:w="275" w:type="dxa"/>
            <w:tcBorders/>
            <w:vAlign w:val="center"/>
          </w:tcPr>
          <w:p>
            <w:pPr>
              <w:pStyle w:val="TableContents"/>
              <w:bidi w:val="0"/>
              <w:spacing w:before="0" w:after="0"/>
              <w:jc w:val="right"/>
              <w:rPr/>
            </w:pPr>
            <w:r>
              <w:rPr/>
              <w:t>45</w:t>
            </w:r>
          </w:p>
        </w:tc>
      </w:tr>
      <w:tr>
        <w:trPr/>
        <w:tc>
          <w:tcPr>
            <w:tcW w:w="3815" w:type="dxa"/>
            <w:tcBorders/>
            <w:shd w:fill="CCEEFF" w:val="clear"/>
            <w:vAlign w:val="center"/>
          </w:tcPr>
          <w:p>
            <w:pPr>
              <w:pStyle w:val="TableContents"/>
              <w:bidi w:val="0"/>
              <w:spacing w:before="0" w:after="0"/>
              <w:jc w:val="left"/>
              <w:rPr/>
            </w:pPr>
            <w:r>
              <w:rPr>
                <w:color w:val="000000"/>
              </w:rPr>
              <w:t>Section 10.03.</w:t>
            </w:r>
            <w:r>
              <w:rPr/>
              <w:t xml:space="preserve"> Limitation of Liability.</w:t>
            </w:r>
          </w:p>
        </w:tc>
        <w:tc>
          <w:tcPr>
            <w:tcW w:w="275" w:type="dxa"/>
            <w:tcBorders/>
            <w:shd w:fill="CCEEFF" w:val="clear"/>
            <w:vAlign w:val="center"/>
          </w:tcPr>
          <w:p>
            <w:pPr>
              <w:pStyle w:val="TableContents"/>
              <w:bidi w:val="0"/>
              <w:spacing w:before="0" w:after="0"/>
              <w:jc w:val="right"/>
              <w:rPr/>
            </w:pPr>
            <w:r>
              <w:rPr/>
              <w:t>45</w:t>
            </w:r>
          </w:p>
        </w:tc>
      </w:tr>
      <w:tr>
        <w:trPr/>
        <w:tc>
          <w:tcPr>
            <w:tcW w:w="3815" w:type="dxa"/>
            <w:tcBorders/>
            <w:vAlign w:val="center"/>
          </w:tcPr>
          <w:p>
            <w:pPr>
              <w:pStyle w:val="TableContents"/>
              <w:bidi w:val="0"/>
              <w:spacing w:before="0" w:after="0"/>
              <w:jc w:val="left"/>
              <w:rPr/>
            </w:pPr>
            <w:r>
              <w:rPr>
                <w:color w:val="000000"/>
              </w:rPr>
              <w:t>Section 10.04.</w:t>
            </w:r>
            <w:r>
              <w:rPr/>
              <w:t xml:space="preserve"> Contribution.</w:t>
            </w:r>
          </w:p>
        </w:tc>
        <w:tc>
          <w:tcPr>
            <w:tcW w:w="275" w:type="dxa"/>
            <w:tcBorders/>
            <w:vAlign w:val="center"/>
          </w:tcPr>
          <w:p>
            <w:pPr>
              <w:pStyle w:val="TableContents"/>
              <w:bidi w:val="0"/>
              <w:spacing w:before="0" w:after="0"/>
              <w:jc w:val="right"/>
              <w:rPr/>
            </w:pPr>
            <w:r>
              <w:rPr/>
              <w:t>46</w:t>
            </w:r>
          </w:p>
        </w:tc>
      </w:tr>
      <w:tr>
        <w:trPr/>
        <w:tc>
          <w:tcPr>
            <w:tcW w:w="3815" w:type="dxa"/>
            <w:tcBorders/>
            <w:shd w:fill="CCEEFF" w:val="clear"/>
            <w:vAlign w:val="center"/>
          </w:tcPr>
          <w:p>
            <w:pPr>
              <w:pStyle w:val="TableContents"/>
              <w:bidi w:val="0"/>
              <w:spacing w:before="0" w:after="0"/>
              <w:jc w:val="left"/>
              <w:rPr/>
            </w:pPr>
            <w:r>
              <w:rPr>
                <w:color w:val="000000"/>
              </w:rPr>
              <w:t>Section 10.05.</w:t>
            </w:r>
            <w:r>
              <w:rPr/>
              <w:t xml:space="preserve"> Subrogation.</w:t>
            </w:r>
          </w:p>
        </w:tc>
        <w:tc>
          <w:tcPr>
            <w:tcW w:w="275" w:type="dxa"/>
            <w:tcBorders/>
            <w:shd w:fill="CCEEFF" w:val="clear"/>
            <w:vAlign w:val="center"/>
          </w:tcPr>
          <w:p>
            <w:pPr>
              <w:pStyle w:val="TableContents"/>
              <w:bidi w:val="0"/>
              <w:spacing w:before="0" w:after="0"/>
              <w:jc w:val="right"/>
              <w:rPr/>
            </w:pPr>
            <w:r>
              <w:rPr/>
              <w:t>46</w:t>
            </w:r>
          </w:p>
        </w:tc>
      </w:tr>
      <w:tr>
        <w:trPr/>
        <w:tc>
          <w:tcPr>
            <w:tcW w:w="3815" w:type="dxa"/>
            <w:tcBorders/>
            <w:vAlign w:val="center"/>
          </w:tcPr>
          <w:p>
            <w:pPr>
              <w:pStyle w:val="TableContents"/>
              <w:bidi w:val="0"/>
              <w:spacing w:before="0" w:after="0"/>
              <w:jc w:val="left"/>
              <w:rPr/>
            </w:pPr>
            <w:r>
              <w:rPr>
                <w:color w:val="000000"/>
              </w:rPr>
              <w:t>Section 10.06.</w:t>
            </w:r>
            <w:r>
              <w:rPr/>
              <w:t xml:space="preserve"> Reinstatement.</w:t>
            </w:r>
          </w:p>
        </w:tc>
        <w:tc>
          <w:tcPr>
            <w:tcW w:w="275" w:type="dxa"/>
            <w:tcBorders/>
            <w:vAlign w:val="center"/>
          </w:tcPr>
          <w:p>
            <w:pPr>
              <w:pStyle w:val="TableContents"/>
              <w:bidi w:val="0"/>
              <w:spacing w:before="0" w:after="0"/>
              <w:jc w:val="right"/>
              <w:rPr/>
            </w:pPr>
            <w:r>
              <w:rPr/>
              <w:t>46</w:t>
            </w:r>
          </w:p>
        </w:tc>
      </w:tr>
      <w:tr>
        <w:trPr/>
        <w:tc>
          <w:tcPr>
            <w:tcW w:w="3815" w:type="dxa"/>
            <w:tcBorders/>
            <w:shd w:fill="CCEEFF" w:val="clear"/>
            <w:vAlign w:val="center"/>
          </w:tcPr>
          <w:p>
            <w:pPr>
              <w:pStyle w:val="TableContents"/>
              <w:bidi w:val="0"/>
              <w:spacing w:before="0" w:after="0"/>
              <w:jc w:val="left"/>
              <w:rPr/>
            </w:pPr>
            <w:r>
              <w:rPr>
                <w:color w:val="000000"/>
              </w:rPr>
              <w:t>Section 10.07.</w:t>
            </w:r>
            <w:r>
              <w:rPr/>
              <w:t xml:space="preserve"> Release of a Guarantor.</w:t>
            </w:r>
          </w:p>
        </w:tc>
        <w:tc>
          <w:tcPr>
            <w:tcW w:w="275" w:type="dxa"/>
            <w:tcBorders/>
            <w:shd w:fill="CCEEFF" w:val="clear"/>
            <w:vAlign w:val="center"/>
          </w:tcPr>
          <w:p>
            <w:pPr>
              <w:pStyle w:val="TableContents"/>
              <w:bidi w:val="0"/>
              <w:spacing w:before="0" w:after="0"/>
              <w:jc w:val="right"/>
              <w:rPr/>
            </w:pPr>
            <w:r>
              <w:rPr/>
              <w:t>46</w:t>
            </w:r>
          </w:p>
        </w:tc>
      </w:tr>
      <w:tr>
        <w:trPr/>
        <w:tc>
          <w:tcPr>
            <w:tcW w:w="3815" w:type="dxa"/>
            <w:tcBorders/>
            <w:vAlign w:val="center"/>
          </w:tcPr>
          <w:p>
            <w:pPr>
              <w:pStyle w:val="TableContents"/>
              <w:bidi w:val="0"/>
              <w:spacing w:before="0" w:after="0"/>
              <w:jc w:val="left"/>
              <w:rPr/>
            </w:pPr>
            <w:r>
              <w:rPr>
                <w:color w:val="000000"/>
              </w:rPr>
              <w:t>Section 10.08.</w:t>
            </w:r>
            <w:r>
              <w:rPr/>
              <w:t xml:space="preserve"> Benefits Acknowledged.</w:t>
            </w:r>
          </w:p>
        </w:tc>
        <w:tc>
          <w:tcPr>
            <w:tcW w:w="275" w:type="dxa"/>
            <w:tcBorders/>
            <w:vAlign w:val="center"/>
          </w:tcPr>
          <w:p>
            <w:pPr>
              <w:pStyle w:val="TableContents"/>
              <w:bidi w:val="0"/>
              <w:spacing w:before="0" w:after="0"/>
              <w:jc w:val="right"/>
              <w:rPr/>
            </w:pPr>
            <w:r>
              <w:rPr/>
              <w:t>46</w:t>
            </w:r>
          </w:p>
        </w:tc>
      </w:tr>
    </w:tbl>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XI</w:t>
        <w:br/>
        <w:t>SINKING FUNDS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 w:name="z9bc72a19883f44688ed7814df37208b0"/>
      <w:bookmarkStart w:id="34" w:name="z9bc72a19883f44688ed7814df37208b0"/>
      <w:bookmarkEnd w:id="34"/>
    </w:p>
    <w:tbl>
      <w:tblPr>
        <w:tblW w:w="7165" w:type="dxa"/>
        <w:jc w:val="left"/>
        <w:tblInd w:w="0" w:type="dxa"/>
        <w:tblLayout w:type="fixed"/>
        <w:tblCellMar>
          <w:top w:w="0" w:type="dxa"/>
          <w:left w:w="0" w:type="dxa"/>
          <w:bottom w:w="0" w:type="dxa"/>
          <w:right w:w="0" w:type="dxa"/>
        </w:tblCellMar>
      </w:tblPr>
      <w:tblGrid>
        <w:gridCol w:w="6890"/>
        <w:gridCol w:w="275"/>
      </w:tblGrid>
      <w:tr>
        <w:trPr/>
        <w:tc>
          <w:tcPr>
            <w:tcW w:w="6890" w:type="dxa"/>
            <w:tcBorders/>
            <w:shd w:fill="CCEEFF" w:val="clear"/>
            <w:vAlign w:val="center"/>
          </w:tcPr>
          <w:p>
            <w:pPr>
              <w:pStyle w:val="TableContents"/>
              <w:bidi w:val="0"/>
              <w:spacing w:before="0" w:after="0"/>
              <w:jc w:val="left"/>
              <w:rPr/>
            </w:pPr>
            <w:r>
              <w:rPr>
                <w:color w:val="000000"/>
              </w:rPr>
              <w:t>Section 11.01.</w:t>
            </w:r>
            <w:r>
              <w:rPr/>
              <w:t xml:space="preserve"> Applicability of Sinking Fund.</w:t>
            </w:r>
          </w:p>
        </w:tc>
        <w:tc>
          <w:tcPr>
            <w:tcW w:w="275" w:type="dxa"/>
            <w:tcBorders/>
            <w:shd w:fill="CCEEFF" w:val="clear"/>
            <w:vAlign w:val="center"/>
          </w:tcPr>
          <w:p>
            <w:pPr>
              <w:pStyle w:val="TableContents"/>
              <w:bidi w:val="0"/>
              <w:spacing w:before="0" w:after="0"/>
              <w:jc w:val="right"/>
              <w:rPr/>
            </w:pPr>
            <w:r>
              <w:rPr/>
              <w:t>46</w:t>
            </w:r>
          </w:p>
        </w:tc>
      </w:tr>
      <w:tr>
        <w:trPr/>
        <w:tc>
          <w:tcPr>
            <w:tcW w:w="6890" w:type="dxa"/>
            <w:tcBorders/>
            <w:vAlign w:val="center"/>
          </w:tcPr>
          <w:p>
            <w:pPr>
              <w:pStyle w:val="TableContents"/>
              <w:bidi w:val="0"/>
              <w:spacing w:before="0" w:after="0"/>
              <w:jc w:val="left"/>
              <w:rPr/>
            </w:pPr>
            <w:r>
              <w:rPr>
                <w:color w:val="000000"/>
              </w:rPr>
              <w:t>Section 11.02.</w:t>
            </w:r>
            <w:r>
              <w:rPr/>
              <w:t xml:space="preserve"> Mandatory Sinking Fund Obligation.</w:t>
            </w:r>
          </w:p>
        </w:tc>
        <w:tc>
          <w:tcPr>
            <w:tcW w:w="275" w:type="dxa"/>
            <w:tcBorders/>
            <w:vAlign w:val="center"/>
          </w:tcPr>
          <w:p>
            <w:pPr>
              <w:pStyle w:val="TableContents"/>
              <w:bidi w:val="0"/>
              <w:spacing w:before="0" w:after="0"/>
              <w:jc w:val="right"/>
              <w:rPr/>
            </w:pPr>
            <w:r>
              <w:rPr/>
              <w:t>47</w:t>
            </w:r>
          </w:p>
        </w:tc>
      </w:tr>
      <w:tr>
        <w:trPr/>
        <w:tc>
          <w:tcPr>
            <w:tcW w:w="6890" w:type="dxa"/>
            <w:tcBorders/>
            <w:shd w:fill="CCEEFF" w:val="clear"/>
            <w:vAlign w:val="center"/>
          </w:tcPr>
          <w:p>
            <w:pPr>
              <w:pStyle w:val="TableContents"/>
              <w:bidi w:val="0"/>
              <w:spacing w:before="0" w:after="0"/>
              <w:jc w:val="left"/>
              <w:rPr/>
            </w:pPr>
            <w:r>
              <w:rPr>
                <w:color w:val="000000"/>
              </w:rPr>
              <w:t>Section 11.03.</w:t>
            </w:r>
            <w:r>
              <w:rPr/>
              <w:t xml:space="preserve"> Optional Redemption at Sinking Fund Redemption Price.</w:t>
            </w:r>
          </w:p>
        </w:tc>
        <w:tc>
          <w:tcPr>
            <w:tcW w:w="275" w:type="dxa"/>
            <w:tcBorders/>
            <w:shd w:fill="CCEEFF" w:val="clear"/>
            <w:vAlign w:val="center"/>
          </w:tcPr>
          <w:p>
            <w:pPr>
              <w:pStyle w:val="TableContents"/>
              <w:bidi w:val="0"/>
              <w:spacing w:before="0" w:after="0"/>
              <w:jc w:val="right"/>
              <w:rPr/>
            </w:pPr>
            <w:r>
              <w:rPr/>
              <w:t>47</w:t>
            </w:r>
          </w:p>
        </w:tc>
      </w:tr>
      <w:tr>
        <w:trPr/>
        <w:tc>
          <w:tcPr>
            <w:tcW w:w="6890" w:type="dxa"/>
            <w:tcBorders/>
            <w:vAlign w:val="center"/>
          </w:tcPr>
          <w:p>
            <w:pPr>
              <w:pStyle w:val="TableContents"/>
              <w:bidi w:val="0"/>
              <w:spacing w:before="0" w:after="0"/>
              <w:jc w:val="left"/>
              <w:rPr/>
            </w:pPr>
            <w:r>
              <w:rPr>
                <w:color w:val="000000"/>
              </w:rPr>
              <w:t>Section 11.04.</w:t>
            </w:r>
            <w:r>
              <w:rPr/>
              <w:t xml:space="preserve"> Application of Sinking Fund Payment.</w:t>
            </w:r>
          </w:p>
        </w:tc>
        <w:tc>
          <w:tcPr>
            <w:tcW w:w="275" w:type="dxa"/>
            <w:tcBorders/>
            <w:vAlign w:val="center"/>
          </w:tcPr>
          <w:p>
            <w:pPr>
              <w:pStyle w:val="TableContents"/>
              <w:bidi w:val="0"/>
              <w:spacing w:before="0" w:after="0"/>
              <w:jc w:val="right"/>
              <w:rPr/>
            </w:pPr>
            <w:r>
              <w:rPr/>
              <w:t>47</w:t>
            </w:r>
          </w:p>
        </w:tc>
      </w:tr>
    </w:tbl>
    <w:p>
      <w:pPr>
        <w:pStyle w:val="TextBody"/>
        <w:bidi w:val="0"/>
        <w:spacing w:before="0" w:after="0"/>
        <w:jc w:val="left"/>
        <w:rPr>
          <w:color w:val="000000"/>
        </w:rPr>
      </w:pPr>
      <w:r>
        <w:rPr>
          <w:color w:val="000000"/>
        </w:rPr>
        <w:t> </w:t>
      </w:r>
    </w:p>
    <w:p>
      <w:pPr>
        <w:pStyle w:val="TextBody"/>
        <w:bidi w:val="0"/>
        <w:spacing w:before="0" w:after="0"/>
        <w:ind w:left="0" w:right="720" w:hanging="0"/>
        <w:jc w:val="center"/>
        <w:rPr>
          <w:rFonts w:ascii="Times New Roman" w:hAnsi="Times New Roman"/>
          <w:color w:val="000000"/>
          <w:sz w:val="20"/>
        </w:rPr>
      </w:pPr>
      <w:r>
        <w:rPr>
          <w:rFonts w:ascii="Times New Roman" w:hAnsi="Times New Roman"/>
          <w:color w:val="000000"/>
          <w:sz w:val="20"/>
        </w:rPr>
        <w:t>ARTICLE XII</w:t>
        <w:br/>
        <w:t>MISCELLANEOUS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 w:name="z1ed3b937a54749d59b79362a8eaa4d0f"/>
      <w:bookmarkStart w:id="36" w:name="z1ed3b937a54749d59b79362a8eaa4d0f"/>
      <w:bookmarkEnd w:id="36"/>
    </w:p>
    <w:tbl>
      <w:tblPr>
        <w:tblW w:w="8755" w:type="dxa"/>
        <w:jc w:val="left"/>
        <w:tblInd w:w="0" w:type="dxa"/>
        <w:tblLayout w:type="fixed"/>
        <w:tblCellMar>
          <w:top w:w="0" w:type="dxa"/>
          <w:left w:w="0" w:type="dxa"/>
          <w:bottom w:w="0" w:type="dxa"/>
          <w:right w:w="0" w:type="dxa"/>
        </w:tblCellMar>
      </w:tblPr>
      <w:tblGrid>
        <w:gridCol w:w="8480"/>
        <w:gridCol w:w="275"/>
      </w:tblGrid>
      <w:tr>
        <w:trPr/>
        <w:tc>
          <w:tcPr>
            <w:tcW w:w="8480" w:type="dxa"/>
            <w:tcBorders/>
            <w:shd w:fill="CCEEFF" w:val="clear"/>
            <w:vAlign w:val="center"/>
          </w:tcPr>
          <w:p>
            <w:pPr>
              <w:pStyle w:val="TableContents"/>
              <w:bidi w:val="0"/>
              <w:spacing w:before="0" w:after="0"/>
              <w:jc w:val="left"/>
              <w:rPr/>
            </w:pPr>
            <w:r>
              <w:rPr>
                <w:color w:val="000000"/>
              </w:rPr>
              <w:t>Section 12.01.</w:t>
            </w:r>
            <w:r>
              <w:rPr/>
              <w:t xml:space="preserve"> Trust Indenture Act Controls.</w:t>
            </w:r>
          </w:p>
        </w:tc>
        <w:tc>
          <w:tcPr>
            <w:tcW w:w="275" w:type="dxa"/>
            <w:tcBorders/>
            <w:shd w:fill="CCEEFF" w:val="clear"/>
            <w:vAlign w:val="center"/>
          </w:tcPr>
          <w:p>
            <w:pPr>
              <w:pStyle w:val="TableContents"/>
              <w:bidi w:val="0"/>
              <w:spacing w:before="0" w:after="0"/>
              <w:jc w:val="right"/>
              <w:rPr/>
            </w:pPr>
            <w:r>
              <w:rPr/>
              <w:t>48</w:t>
            </w:r>
          </w:p>
        </w:tc>
      </w:tr>
      <w:tr>
        <w:trPr/>
        <w:tc>
          <w:tcPr>
            <w:tcW w:w="8480" w:type="dxa"/>
            <w:tcBorders/>
            <w:vAlign w:val="center"/>
          </w:tcPr>
          <w:p>
            <w:pPr>
              <w:pStyle w:val="TableContents"/>
              <w:bidi w:val="0"/>
              <w:spacing w:before="0" w:after="0"/>
              <w:jc w:val="left"/>
              <w:rPr/>
            </w:pPr>
            <w:r>
              <w:rPr>
                <w:color w:val="000000"/>
              </w:rPr>
              <w:t>Section 12.02.</w:t>
            </w:r>
            <w:r>
              <w:rPr/>
              <w:t xml:space="preserve"> Notices.</w:t>
            </w:r>
          </w:p>
        </w:tc>
        <w:tc>
          <w:tcPr>
            <w:tcW w:w="275" w:type="dxa"/>
            <w:tcBorders/>
            <w:vAlign w:val="center"/>
          </w:tcPr>
          <w:p>
            <w:pPr>
              <w:pStyle w:val="TableContents"/>
              <w:bidi w:val="0"/>
              <w:spacing w:before="0" w:after="0"/>
              <w:jc w:val="right"/>
              <w:rPr/>
            </w:pPr>
            <w:r>
              <w:rPr/>
              <w:t>48</w:t>
            </w:r>
          </w:p>
        </w:tc>
      </w:tr>
      <w:tr>
        <w:trPr/>
        <w:tc>
          <w:tcPr>
            <w:tcW w:w="8480" w:type="dxa"/>
            <w:tcBorders/>
            <w:shd w:fill="CCEEFF" w:val="clear"/>
            <w:vAlign w:val="center"/>
          </w:tcPr>
          <w:p>
            <w:pPr>
              <w:pStyle w:val="TableContents"/>
              <w:bidi w:val="0"/>
              <w:spacing w:before="0" w:after="0"/>
              <w:jc w:val="left"/>
              <w:rPr/>
            </w:pPr>
            <w:r>
              <w:rPr>
                <w:color w:val="000000"/>
              </w:rPr>
              <w:t>Section 12.03.</w:t>
            </w:r>
            <w:r>
              <w:rPr/>
              <w:t xml:space="preserve"> Certificate and Opinion as to Conditions Precedent.</w:t>
            </w:r>
          </w:p>
        </w:tc>
        <w:tc>
          <w:tcPr>
            <w:tcW w:w="275" w:type="dxa"/>
            <w:tcBorders/>
            <w:shd w:fill="CCEEFF" w:val="clear"/>
            <w:vAlign w:val="center"/>
          </w:tcPr>
          <w:p>
            <w:pPr>
              <w:pStyle w:val="TableContents"/>
              <w:bidi w:val="0"/>
              <w:spacing w:before="0" w:after="0"/>
              <w:jc w:val="right"/>
              <w:rPr/>
            </w:pPr>
            <w:r>
              <w:rPr/>
              <w:t>49</w:t>
            </w:r>
          </w:p>
        </w:tc>
      </w:tr>
      <w:tr>
        <w:trPr/>
        <w:tc>
          <w:tcPr>
            <w:tcW w:w="8480" w:type="dxa"/>
            <w:tcBorders/>
            <w:vAlign w:val="center"/>
          </w:tcPr>
          <w:p>
            <w:pPr>
              <w:pStyle w:val="TableContents"/>
              <w:bidi w:val="0"/>
              <w:spacing w:before="0" w:after="0"/>
              <w:jc w:val="left"/>
              <w:rPr/>
            </w:pPr>
            <w:r>
              <w:rPr>
                <w:color w:val="000000"/>
              </w:rPr>
              <w:t>Section 12.04.</w:t>
            </w:r>
            <w:r>
              <w:rPr/>
              <w:t xml:space="preserve"> Statements Required in Certificate and Opinion.</w:t>
            </w:r>
          </w:p>
        </w:tc>
        <w:tc>
          <w:tcPr>
            <w:tcW w:w="275" w:type="dxa"/>
            <w:tcBorders/>
            <w:vAlign w:val="center"/>
          </w:tcPr>
          <w:p>
            <w:pPr>
              <w:pStyle w:val="TableContents"/>
              <w:bidi w:val="0"/>
              <w:spacing w:before="0" w:after="0"/>
              <w:jc w:val="right"/>
              <w:rPr/>
            </w:pPr>
            <w:r>
              <w:rPr/>
              <w:t>50</w:t>
            </w:r>
          </w:p>
        </w:tc>
      </w:tr>
      <w:tr>
        <w:trPr/>
        <w:tc>
          <w:tcPr>
            <w:tcW w:w="8480" w:type="dxa"/>
            <w:tcBorders/>
            <w:shd w:fill="CCEEFF" w:val="clear"/>
            <w:vAlign w:val="center"/>
          </w:tcPr>
          <w:p>
            <w:pPr>
              <w:pStyle w:val="TableContents"/>
              <w:bidi w:val="0"/>
              <w:spacing w:before="0" w:after="0"/>
              <w:jc w:val="left"/>
              <w:rPr/>
            </w:pPr>
            <w:r>
              <w:rPr>
                <w:color w:val="000000"/>
              </w:rPr>
              <w:t>Section 12.05.</w:t>
            </w:r>
            <w:r>
              <w:rPr/>
              <w:t xml:space="preserve"> Communications by Holders with Other Holders.</w:t>
            </w:r>
          </w:p>
        </w:tc>
        <w:tc>
          <w:tcPr>
            <w:tcW w:w="275" w:type="dxa"/>
            <w:tcBorders/>
            <w:shd w:fill="CCEEFF" w:val="clear"/>
            <w:vAlign w:val="center"/>
          </w:tcPr>
          <w:p>
            <w:pPr>
              <w:pStyle w:val="TableContents"/>
              <w:bidi w:val="0"/>
              <w:spacing w:before="0" w:after="0"/>
              <w:jc w:val="right"/>
              <w:rPr/>
            </w:pPr>
            <w:r>
              <w:rPr/>
              <w:t>50</w:t>
            </w:r>
          </w:p>
        </w:tc>
      </w:tr>
      <w:tr>
        <w:trPr/>
        <w:tc>
          <w:tcPr>
            <w:tcW w:w="8480" w:type="dxa"/>
            <w:tcBorders/>
            <w:vAlign w:val="center"/>
          </w:tcPr>
          <w:p>
            <w:pPr>
              <w:pStyle w:val="TableContents"/>
              <w:bidi w:val="0"/>
              <w:spacing w:before="0" w:after="0"/>
              <w:jc w:val="left"/>
              <w:rPr/>
            </w:pPr>
            <w:r>
              <w:rPr>
                <w:color w:val="000000"/>
              </w:rPr>
              <w:t>Section 12.06.</w:t>
            </w:r>
            <w:r>
              <w:rPr/>
              <w:t xml:space="preserve"> Rules by Trustee and Agents.</w:t>
            </w:r>
          </w:p>
        </w:tc>
        <w:tc>
          <w:tcPr>
            <w:tcW w:w="275" w:type="dxa"/>
            <w:tcBorders/>
            <w:vAlign w:val="center"/>
          </w:tcPr>
          <w:p>
            <w:pPr>
              <w:pStyle w:val="TableContents"/>
              <w:bidi w:val="0"/>
              <w:spacing w:before="0" w:after="0"/>
              <w:jc w:val="right"/>
              <w:rPr/>
            </w:pPr>
            <w:r>
              <w:rPr/>
              <w:t>51</w:t>
            </w:r>
          </w:p>
        </w:tc>
      </w:tr>
      <w:tr>
        <w:trPr/>
        <w:tc>
          <w:tcPr>
            <w:tcW w:w="8480" w:type="dxa"/>
            <w:tcBorders/>
            <w:shd w:fill="CCEEFF" w:val="clear"/>
            <w:vAlign w:val="center"/>
          </w:tcPr>
          <w:p>
            <w:pPr>
              <w:pStyle w:val="TableContents"/>
              <w:bidi w:val="0"/>
              <w:spacing w:before="0" w:after="0"/>
              <w:jc w:val="left"/>
              <w:rPr/>
            </w:pPr>
            <w:r>
              <w:rPr>
                <w:color w:val="000000"/>
              </w:rPr>
              <w:t>Section 12.07.</w:t>
            </w:r>
            <w:r>
              <w:rPr/>
              <w:t xml:space="preserve"> No Personal Liability of Directors, Officers, Employees and Stockholders.</w:t>
            </w:r>
          </w:p>
        </w:tc>
        <w:tc>
          <w:tcPr>
            <w:tcW w:w="275" w:type="dxa"/>
            <w:tcBorders/>
            <w:shd w:fill="CCEEFF" w:val="clear"/>
            <w:vAlign w:val="center"/>
          </w:tcPr>
          <w:p>
            <w:pPr>
              <w:pStyle w:val="TableContents"/>
              <w:bidi w:val="0"/>
              <w:spacing w:before="0" w:after="0"/>
              <w:jc w:val="right"/>
              <w:rPr/>
            </w:pPr>
            <w:r>
              <w:rPr/>
              <w:t>51</w:t>
            </w:r>
          </w:p>
        </w:tc>
      </w:tr>
      <w:tr>
        <w:trPr/>
        <w:tc>
          <w:tcPr>
            <w:tcW w:w="8480" w:type="dxa"/>
            <w:tcBorders/>
            <w:vAlign w:val="center"/>
          </w:tcPr>
          <w:p>
            <w:pPr>
              <w:pStyle w:val="TableContents"/>
              <w:bidi w:val="0"/>
              <w:spacing w:before="0" w:after="0"/>
              <w:jc w:val="left"/>
              <w:rPr/>
            </w:pPr>
            <w:r>
              <w:rPr>
                <w:color w:val="000000"/>
              </w:rPr>
              <w:t>Section 12.08.</w:t>
            </w:r>
            <w:r>
              <w:rPr/>
              <w:t xml:space="preserve"> Governing Law; Waiver of Jury Trial; Jurisdiction.</w:t>
            </w:r>
          </w:p>
        </w:tc>
        <w:tc>
          <w:tcPr>
            <w:tcW w:w="275" w:type="dxa"/>
            <w:tcBorders/>
            <w:vAlign w:val="center"/>
          </w:tcPr>
          <w:p>
            <w:pPr>
              <w:pStyle w:val="TableContents"/>
              <w:bidi w:val="0"/>
              <w:spacing w:before="0" w:after="0"/>
              <w:jc w:val="right"/>
              <w:rPr/>
            </w:pPr>
            <w:r>
              <w:rPr/>
              <w:t>51</w:t>
            </w:r>
          </w:p>
        </w:tc>
      </w:tr>
      <w:tr>
        <w:trPr/>
        <w:tc>
          <w:tcPr>
            <w:tcW w:w="8480" w:type="dxa"/>
            <w:tcBorders/>
            <w:shd w:fill="CCEEFF" w:val="clear"/>
            <w:vAlign w:val="center"/>
          </w:tcPr>
          <w:p>
            <w:pPr>
              <w:pStyle w:val="TableContents"/>
              <w:bidi w:val="0"/>
              <w:spacing w:before="0" w:after="0"/>
              <w:jc w:val="left"/>
              <w:rPr/>
            </w:pPr>
            <w:r>
              <w:rPr>
                <w:color w:val="000000"/>
              </w:rPr>
              <w:t>Section 12.09.</w:t>
            </w:r>
            <w:r>
              <w:rPr/>
              <w:t xml:space="preserve"> No Adverse Interpretation of Other Agreements.</w:t>
            </w:r>
          </w:p>
        </w:tc>
        <w:tc>
          <w:tcPr>
            <w:tcW w:w="275" w:type="dxa"/>
            <w:tcBorders/>
            <w:shd w:fill="CCEEFF" w:val="clear"/>
            <w:vAlign w:val="center"/>
          </w:tcPr>
          <w:p>
            <w:pPr>
              <w:pStyle w:val="TableContents"/>
              <w:bidi w:val="0"/>
              <w:spacing w:before="0" w:after="0"/>
              <w:jc w:val="right"/>
              <w:rPr/>
            </w:pPr>
            <w:r>
              <w:rPr/>
              <w:t>51</w:t>
            </w:r>
          </w:p>
        </w:tc>
      </w:tr>
      <w:tr>
        <w:trPr/>
        <w:tc>
          <w:tcPr>
            <w:tcW w:w="8480" w:type="dxa"/>
            <w:tcBorders/>
            <w:vAlign w:val="center"/>
          </w:tcPr>
          <w:p>
            <w:pPr>
              <w:pStyle w:val="TableContents"/>
              <w:bidi w:val="0"/>
              <w:spacing w:before="0" w:after="0"/>
              <w:jc w:val="left"/>
              <w:rPr/>
            </w:pPr>
            <w:r>
              <w:rPr>
                <w:color w:val="000000"/>
              </w:rPr>
              <w:t>Section 12.10.</w:t>
            </w:r>
            <w:r>
              <w:rPr/>
              <w:t xml:space="preserve"> Successors.</w:t>
            </w:r>
          </w:p>
        </w:tc>
        <w:tc>
          <w:tcPr>
            <w:tcW w:w="275" w:type="dxa"/>
            <w:tcBorders/>
            <w:vAlign w:val="center"/>
          </w:tcPr>
          <w:p>
            <w:pPr>
              <w:pStyle w:val="TableContents"/>
              <w:bidi w:val="0"/>
              <w:spacing w:before="0" w:after="0"/>
              <w:jc w:val="right"/>
              <w:rPr/>
            </w:pPr>
            <w:r>
              <w:rPr/>
              <w:t>52</w:t>
            </w:r>
          </w:p>
        </w:tc>
      </w:tr>
      <w:tr>
        <w:trPr/>
        <w:tc>
          <w:tcPr>
            <w:tcW w:w="8480" w:type="dxa"/>
            <w:tcBorders/>
            <w:shd w:fill="CCEEFF" w:val="clear"/>
            <w:vAlign w:val="center"/>
          </w:tcPr>
          <w:p>
            <w:pPr>
              <w:pStyle w:val="TableContents"/>
              <w:bidi w:val="0"/>
              <w:spacing w:before="0" w:after="0"/>
              <w:jc w:val="left"/>
              <w:rPr/>
            </w:pPr>
            <w:r>
              <w:rPr>
                <w:color w:val="000000"/>
              </w:rPr>
              <w:t>Section 12.11.</w:t>
            </w:r>
            <w:r>
              <w:rPr/>
              <w:t xml:space="preserve"> Separability.</w:t>
            </w:r>
          </w:p>
        </w:tc>
        <w:tc>
          <w:tcPr>
            <w:tcW w:w="275" w:type="dxa"/>
            <w:tcBorders/>
            <w:shd w:fill="CCEEFF" w:val="clear"/>
            <w:vAlign w:val="center"/>
          </w:tcPr>
          <w:p>
            <w:pPr>
              <w:pStyle w:val="TableContents"/>
              <w:bidi w:val="0"/>
              <w:spacing w:before="0" w:after="0"/>
              <w:jc w:val="right"/>
              <w:rPr/>
            </w:pPr>
            <w:r>
              <w:rPr/>
              <w:t>52</w:t>
            </w:r>
          </w:p>
        </w:tc>
      </w:tr>
      <w:tr>
        <w:trPr/>
        <w:tc>
          <w:tcPr>
            <w:tcW w:w="8480" w:type="dxa"/>
            <w:tcBorders/>
            <w:vAlign w:val="center"/>
          </w:tcPr>
          <w:p>
            <w:pPr>
              <w:pStyle w:val="TableContents"/>
              <w:bidi w:val="0"/>
              <w:spacing w:before="0" w:after="0"/>
              <w:jc w:val="left"/>
              <w:rPr/>
            </w:pPr>
            <w:r>
              <w:rPr>
                <w:color w:val="000000"/>
              </w:rPr>
              <w:t>Section 12.12.</w:t>
            </w:r>
            <w:r>
              <w:rPr/>
              <w:t xml:space="preserve"> Counterpart Originals.</w:t>
            </w:r>
          </w:p>
        </w:tc>
        <w:tc>
          <w:tcPr>
            <w:tcW w:w="275" w:type="dxa"/>
            <w:tcBorders/>
            <w:vAlign w:val="center"/>
          </w:tcPr>
          <w:p>
            <w:pPr>
              <w:pStyle w:val="TableContents"/>
              <w:bidi w:val="0"/>
              <w:spacing w:before="0" w:after="0"/>
              <w:jc w:val="right"/>
              <w:rPr/>
            </w:pPr>
            <w:r>
              <w:rPr/>
              <w:t>52</w:t>
            </w:r>
          </w:p>
        </w:tc>
      </w:tr>
      <w:tr>
        <w:trPr/>
        <w:tc>
          <w:tcPr>
            <w:tcW w:w="8480" w:type="dxa"/>
            <w:tcBorders/>
            <w:shd w:fill="CCEEFF" w:val="clear"/>
            <w:vAlign w:val="center"/>
          </w:tcPr>
          <w:p>
            <w:pPr>
              <w:pStyle w:val="TableContents"/>
              <w:bidi w:val="0"/>
              <w:spacing w:before="0" w:after="0"/>
              <w:jc w:val="left"/>
              <w:rPr/>
            </w:pPr>
            <w:r>
              <w:rPr>
                <w:color w:val="000000"/>
              </w:rPr>
              <w:t>Section 12.13.</w:t>
            </w:r>
            <w:r>
              <w:rPr/>
              <w:t xml:space="preserve"> Table of Contents, Headings, etc.</w:t>
            </w:r>
          </w:p>
        </w:tc>
        <w:tc>
          <w:tcPr>
            <w:tcW w:w="275" w:type="dxa"/>
            <w:tcBorders/>
            <w:shd w:fill="CCEEFF" w:val="clear"/>
            <w:vAlign w:val="center"/>
          </w:tcPr>
          <w:p>
            <w:pPr>
              <w:pStyle w:val="TableContents"/>
              <w:bidi w:val="0"/>
              <w:spacing w:before="0" w:after="0"/>
              <w:jc w:val="right"/>
              <w:rPr/>
            </w:pPr>
            <w:r>
              <w:rPr/>
              <w:t>52</w:t>
            </w:r>
          </w:p>
        </w:tc>
      </w:tr>
      <w:tr>
        <w:trPr/>
        <w:tc>
          <w:tcPr>
            <w:tcW w:w="8480" w:type="dxa"/>
            <w:tcBorders/>
            <w:vAlign w:val="center"/>
          </w:tcPr>
          <w:p>
            <w:pPr>
              <w:pStyle w:val="TableContents"/>
              <w:bidi w:val="0"/>
              <w:spacing w:before="0" w:after="0"/>
              <w:jc w:val="left"/>
              <w:rPr/>
            </w:pPr>
            <w:r>
              <w:rPr>
                <w:color w:val="000000"/>
              </w:rPr>
              <w:t>Section 12.14.</w:t>
            </w:r>
            <w:r>
              <w:rPr/>
              <w:t xml:space="preserve"> Benefits of Indenture.</w:t>
            </w:r>
          </w:p>
        </w:tc>
        <w:tc>
          <w:tcPr>
            <w:tcW w:w="275" w:type="dxa"/>
            <w:tcBorders/>
            <w:vAlign w:val="center"/>
          </w:tcPr>
          <w:p>
            <w:pPr>
              <w:pStyle w:val="TableContents"/>
              <w:bidi w:val="0"/>
              <w:spacing w:before="0" w:after="0"/>
              <w:jc w:val="right"/>
              <w:rPr/>
            </w:pPr>
            <w:r>
              <w:rPr/>
              <w:t>52</w:t>
            </w:r>
          </w:p>
        </w:tc>
      </w:tr>
      <w:tr>
        <w:trPr/>
        <w:tc>
          <w:tcPr>
            <w:tcW w:w="8480" w:type="dxa"/>
            <w:tcBorders/>
            <w:shd w:fill="CCEEFF" w:val="clear"/>
            <w:vAlign w:val="center"/>
          </w:tcPr>
          <w:p>
            <w:pPr>
              <w:pStyle w:val="TableContents"/>
              <w:bidi w:val="0"/>
              <w:spacing w:before="0" w:after="0"/>
              <w:jc w:val="left"/>
              <w:rPr/>
            </w:pPr>
            <w:r>
              <w:rPr>
                <w:color w:val="000000"/>
              </w:rPr>
              <w:t>Section 12.15.</w:t>
            </w:r>
            <w:r>
              <w:rPr/>
              <w:t xml:space="preserve"> Electronic Delivery.</w:t>
            </w:r>
          </w:p>
        </w:tc>
        <w:tc>
          <w:tcPr>
            <w:tcW w:w="275" w:type="dxa"/>
            <w:tcBorders/>
            <w:shd w:fill="CCEEFF" w:val="clear"/>
            <w:vAlign w:val="center"/>
          </w:tcPr>
          <w:p>
            <w:pPr>
              <w:pStyle w:val="TableContents"/>
              <w:bidi w:val="0"/>
              <w:spacing w:before="0" w:after="0"/>
              <w:jc w:val="right"/>
              <w:rPr/>
            </w:pPr>
            <w:r>
              <w:rPr/>
              <w:t>52</w:t>
            </w:r>
          </w:p>
        </w:tc>
      </w:tr>
      <w:tr>
        <w:trPr/>
        <w:tc>
          <w:tcPr>
            <w:tcW w:w="8480" w:type="dxa"/>
            <w:tcBorders/>
            <w:vAlign w:val="center"/>
          </w:tcPr>
          <w:p>
            <w:pPr>
              <w:pStyle w:val="TableContents"/>
              <w:bidi w:val="0"/>
              <w:spacing w:before="0" w:after="0"/>
              <w:jc w:val="left"/>
              <w:rPr/>
            </w:pPr>
            <w:r>
              <w:rPr>
                <w:color w:val="000000"/>
              </w:rPr>
              <w:t>Section 12.16.</w:t>
            </w:r>
            <w:r>
              <w:rPr/>
              <w:t xml:space="preserve"> Office of Foreign Assets Control Sanctions Representations.</w:t>
            </w:r>
          </w:p>
        </w:tc>
        <w:tc>
          <w:tcPr>
            <w:tcW w:w="275" w:type="dxa"/>
            <w:tcBorders/>
            <w:vAlign w:val="center"/>
          </w:tcPr>
          <w:p>
            <w:pPr>
              <w:pStyle w:val="TableContents"/>
              <w:bidi w:val="0"/>
              <w:spacing w:before="0" w:after="0"/>
              <w:jc w:val="right"/>
              <w:rPr/>
            </w:pPr>
            <w:r>
              <w:rPr/>
              <w:t>52</w:t>
            </w:r>
          </w:p>
        </w:tc>
      </w:tr>
      <w:tr>
        <w:trPr/>
        <w:tc>
          <w:tcPr>
            <w:tcW w:w="8480" w:type="dxa"/>
            <w:tcBorders/>
            <w:shd w:fill="CCEEFF" w:val="clear"/>
            <w:vAlign w:val="center"/>
          </w:tcPr>
          <w:p>
            <w:pPr>
              <w:pStyle w:val="TableContents"/>
              <w:bidi w:val="0"/>
              <w:spacing w:before="0" w:after="0"/>
              <w:jc w:val="left"/>
              <w:rPr/>
            </w:pPr>
            <w:r>
              <w:rPr>
                <w:color w:val="000000"/>
              </w:rPr>
              <w:t>Section 12.17.</w:t>
            </w:r>
            <w:r>
              <w:rPr/>
              <w:t xml:space="preserve"> Foreign Account Tax Compliance Act (FACTA).</w:t>
            </w:r>
          </w:p>
        </w:tc>
        <w:tc>
          <w:tcPr>
            <w:tcW w:w="275" w:type="dxa"/>
            <w:tcBorders/>
            <w:shd w:fill="CCEEFF" w:val="clear"/>
            <w:vAlign w:val="center"/>
          </w:tcPr>
          <w:p>
            <w:pPr>
              <w:pStyle w:val="TableContents"/>
              <w:bidi w:val="0"/>
              <w:spacing w:before="0" w:after="0"/>
              <w:jc w:val="right"/>
              <w:rPr/>
            </w:pPr>
            <w:r>
              <w:rPr/>
              <w:t>53</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iv</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bookmarkStart w:id="37" w:name="z_PaperSoftwareContractToolsAnalysisRang"/>
      <w:bookmarkEnd w:id="37"/>
      <w:r>
        <w:rPr>
          <w:rFonts w:ascii="Times New Roman" w:hAnsi="Times New Roman"/>
          <w:color w:val="000000"/>
          <w:sz w:val="20"/>
        </w:rPr>
        <w:t>SENIOR INDENTURE, dated as of June 17, 2026, among Viatris Inc., a Delaware corporation, as issuer, the Guarantors (as defined in Section 1.01) and The Bank of New York Mellon, a New York banking corporation, as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party agrees as follows for the benefit of the other parties and for the equal and ratable benefit of the Holders of the Securities.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bookmarkStart w:id="38" w:name="z_Toc232522524"/>
      <w:bookmarkStart w:id="39" w:name="z_Toc98161643"/>
      <w:bookmarkStart w:id="40" w:name="z_Toc97680620"/>
      <w:bookmarkEnd w:id="38"/>
      <w:bookmarkEnd w:id="39"/>
      <w:bookmarkEnd w:id="40"/>
      <w:r>
        <w:rPr>
          <w:rFonts w:ascii="Times New Roman" w:hAnsi="Times New Roman"/>
          <w:color w:val="000000"/>
          <w:sz w:val="20"/>
        </w:rPr>
        <w:t>ARTICLE I</w:t>
        <w:br/>
        <w:t>DEFINITIONS AND INCORPORATION BY REFERENCE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41" w:name="z_Toc232522525"/>
      <w:bookmarkEnd w:id="41"/>
      <w:r>
        <w:rPr>
          <w:rFonts w:ascii="Times New Roman" w:hAnsi="Times New Roman"/>
          <w:i/>
          <w:color w:val="000000"/>
          <w:sz w:val="20"/>
        </w:rPr>
        <w:t>Section 1.01. Definitions.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Additional Securities</w:t>
      </w:r>
      <w:r>
        <w:rPr>
          <w:rFonts w:ascii="Times New Roman" w:hAnsi="Times New Roman"/>
          <w:color w:val="000000"/>
          <w:sz w:val="20"/>
        </w:rPr>
        <w:t>” means, with respect to a series of Securities, additional Securities of such series (other than the Initial Securities of such series) issued hereunder from time to time in accordance with Sections 2.02 and 2.18, as part of the same or a different series as the Initial Securities of such series.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Affiliate</w:t>
      </w:r>
      <w:r>
        <w:rPr>
          <w:rFonts w:ascii="Times New Roman" w:hAnsi="Times New Roman"/>
          <w:color w:val="000000"/>
          <w:sz w:val="20"/>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ownership of voting securities, by contract or otherwise; and the terms “controlling” and “controlled” have meanings correlative to the foregoing. No Person (other than the Company or any Subsidiary of the Company) in whom a Receivables Entity makes an Investment in connection with a Qualified Receivables Transaction will be deemed to be an Affiliate of the Company or any of its Subsidiaries solely by reason of such Investment.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Agent</w:t>
      </w:r>
      <w:r>
        <w:rPr>
          <w:rFonts w:ascii="Times New Roman" w:hAnsi="Times New Roman"/>
          <w:color w:val="000000"/>
          <w:sz w:val="20"/>
        </w:rPr>
        <w:t>” means any Registrar, co-Registrar or Paying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amend</w:t>
      </w:r>
      <w:r>
        <w:rPr>
          <w:rFonts w:ascii="Times New Roman" w:hAnsi="Times New Roman"/>
          <w:color w:val="000000"/>
          <w:sz w:val="20"/>
        </w:rPr>
        <w:t>” means amend, modify, supplement, restate or amend and restate, including successively; and “</w:t>
      </w:r>
      <w:r>
        <w:rPr>
          <w:rFonts w:ascii="Times New Roman" w:hAnsi="Times New Roman"/>
          <w:i/>
          <w:color w:val="000000"/>
          <w:sz w:val="20"/>
        </w:rPr>
        <w:t>amending</w:t>
      </w:r>
      <w:r>
        <w:rPr>
          <w:rFonts w:ascii="Times New Roman" w:hAnsi="Times New Roman"/>
          <w:color w:val="000000"/>
          <w:sz w:val="20"/>
        </w:rPr>
        <w:t>” and “</w:t>
      </w:r>
      <w:r>
        <w:rPr>
          <w:rFonts w:ascii="Times New Roman" w:hAnsi="Times New Roman"/>
          <w:i/>
          <w:color w:val="000000"/>
          <w:sz w:val="20"/>
        </w:rPr>
        <w:t>amended</w:t>
      </w:r>
      <w:r>
        <w:rPr>
          <w:rFonts w:ascii="Times New Roman" w:hAnsi="Times New Roman"/>
          <w:color w:val="000000"/>
          <w:sz w:val="20"/>
        </w:rPr>
        <w:t>” have correlative meanings.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Attributable Debt</w:t>
      </w:r>
      <w:r>
        <w:rPr>
          <w:rFonts w:ascii="Times New Roman" w:hAnsi="Times New Roman"/>
          <w:color w:val="000000"/>
          <w:sz w:val="20"/>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such Sale Leaseback Transaction results in a Capital Lease Obligation, the amount of Indebtedness represented thereby will be determined in accordance with the definition of “Capital Lease Obligations.”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Attributable Receivables Indebtedness</w:t>
      </w:r>
      <w:r>
        <w:rPr>
          <w:rFonts w:ascii="Times New Roman" w:hAnsi="Times New Roman"/>
          <w:color w:val="000000"/>
          <w:sz w:val="20"/>
        </w:rPr>
        <w:t>” at any time means the principal amount of Indebtedness which (i) if a Qualified Receivables Transaction is structured as a secured lending agreement, would constitute the principal amount of such Indebtedness or (ii) if a Qualified Receivables Transaction is structured as a purchase agreement, would be outstanding at such time under the Qualified Receivables Transaction if the same were structured as a secured lending agreement rather than a purchase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Bankruptcy Law</w:t>
      </w:r>
      <w:r>
        <w:rPr>
          <w:rFonts w:ascii="Times New Roman" w:hAnsi="Times New Roman"/>
          <w:color w:val="000000"/>
          <w:sz w:val="20"/>
        </w:rPr>
        <w:t>” means Title 11, United States Code, or any similar U.S. Federal or state law, the Netherlands Bankruptcy Act (</w:t>
      </w:r>
      <w:r>
        <w:rPr>
          <w:rFonts w:ascii="Times New Roman" w:hAnsi="Times New Roman"/>
          <w:i/>
          <w:color w:val="000000"/>
          <w:sz w:val="20"/>
        </w:rPr>
        <w:t>Faillissementswet</w:t>
      </w:r>
      <w:r>
        <w:rPr>
          <w:rFonts w:ascii="Times New Roman" w:hAnsi="Times New Roman"/>
          <w:color w:val="000000"/>
          <w:sz w:val="20"/>
        </w:rPr>
        <w:t>) or law of any other jurisdiction relating to bankruptcy, insolvency, winding-up, liquidation, reorganization or relief of debtors.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Board of Directors</w:t>
      </w:r>
      <w:r>
        <w:rPr>
          <w:rFonts w:ascii="Times New Roman" w:hAnsi="Times New Roman"/>
          <w:color w:val="000000"/>
          <w:sz w:val="20"/>
        </w:rPr>
        <w:t>” means the board of directors of the Company or any duly authorized committee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Business Day</w:t>
      </w:r>
      <w:r>
        <w:rPr>
          <w:rFonts w:ascii="Times New Roman" w:hAnsi="Times New Roman"/>
          <w:color w:val="000000"/>
          <w:sz w:val="20"/>
        </w:rPr>
        <w:t>” means each Monday, Tuesday, Wednesday, Thursday and Friday which is not a day on which banking institutions in the place of payment for a series of Securities are authorized or obligated by law or executive order to close.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Capital Lease Obligations</w:t>
      </w:r>
      <w:r>
        <w:rPr>
          <w:rFonts w:ascii="Times New Roman" w:hAnsi="Times New Roman"/>
          <w:color w:val="000000"/>
          <w:sz w:val="20"/>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Indenture, the amount of such obligations at any time shall be the capitalized amount thereof at such time determined in accordance with GAAP.</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Capital Stock</w:t>
      </w:r>
      <w:r>
        <w:rPr>
          <w:rFonts w:ascii="Times New Roman" w:hAnsi="Times New Roman"/>
          <w:color w:val="000000"/>
          <w:sz w:val="20"/>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Commission</w:t>
      </w:r>
      <w:r>
        <w:rPr>
          <w:rFonts w:ascii="Times New Roman" w:hAnsi="Times New Roman"/>
          <w:color w:val="000000"/>
          <w:sz w:val="20"/>
        </w:rPr>
        <w:t>” means the U.S. Securities and Exchange Commission.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Commodity Price Protection Agreement</w:t>
      </w:r>
      <w:r>
        <w:rPr>
          <w:rFonts w:ascii="Times New Roman" w:hAnsi="Times New Roman"/>
          <w:color w:val="000000"/>
          <w:sz w:val="20"/>
        </w:rPr>
        <w:t>” means any forward contract, commodity swap, commodity option or other similar financial agreement or arrangement relating to, or the value of which is dependent upon, fluctuations in commodity prices.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Company</w:t>
      </w:r>
      <w:r>
        <w:rPr>
          <w:rFonts w:ascii="Times New Roman" w:hAnsi="Times New Roman"/>
          <w:color w:val="000000"/>
          <w:sz w:val="20"/>
        </w:rPr>
        <w:t>” means Viatris Inc., a Delaware corporation, until a successor replaces it in accordance with the applicable provisions of this Indenture and thereafter means the successor serving hereunder and any and all successors thereto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Company Order</w:t>
      </w:r>
      <w:r>
        <w:rPr>
          <w:rFonts w:ascii="Times New Roman" w:hAnsi="Times New Roman"/>
          <w:color w:val="000000"/>
          <w:sz w:val="20"/>
        </w:rPr>
        <w:t>” means a written request or order signed in the name of the Company by its chairman or executive chairman, as applicable, of the Board of Directors, its chief executive officer or chief financial officer, its president or a vice president, a treasurer, an assistant treasurer, its controller, an assistant controller, its secretary or an assistant secretary, or any other officer designated in an Officer’s Certificate, and delivered to the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Company’s</w:t>
      </w:r>
      <w:r>
        <w:rPr>
          <w:rFonts w:ascii="Times New Roman" w:hAnsi="Times New Roman"/>
          <w:color w:val="000000"/>
          <w:sz w:val="20"/>
        </w:rPr>
        <w:t> </w:t>
      </w:r>
      <w:r>
        <w:rPr>
          <w:rFonts w:ascii="Times New Roman" w:hAnsi="Times New Roman"/>
          <w:i/>
          <w:color w:val="000000"/>
          <w:sz w:val="20"/>
        </w:rPr>
        <w:t>Indenture Obligations</w:t>
      </w:r>
      <w:r>
        <w:rPr>
          <w:rFonts w:ascii="Times New Roman" w:hAnsi="Times New Roman"/>
          <w:color w:val="000000"/>
          <w:sz w:val="20"/>
        </w:rPr>
        <w:t>” means, with respect to any series of Securities, the Obligations with respect to the Securities of such series of the Company and any other obligor under this Indenture or under the Securities of such series to pay principal, premium, if any, and interest when due and payable, and all other amounts due or to become due, under or in connection with this Indenture and the Securities of such series, and the performance of all other Obligations with respect to the Securities of such series, to the Trustee and to the Holders of the Securities of such series under this Indenture and the Securities of such series, in each case according to the respective terms thereof.</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left"/>
        <w:rPr>
          <w:color w:val="000000"/>
        </w:rPr>
      </w:pPr>
      <w:r>
        <w:rPr>
          <w:color w:val="000000"/>
        </w:rPr>
        <w:t>“</w:t>
      </w:r>
      <w:r>
        <w:rPr>
          <w:rFonts w:ascii="Times New Roman" w:hAnsi="Times New Roman"/>
          <w:i/>
          <w:color w:val="000000"/>
          <w:sz w:val="20"/>
        </w:rPr>
        <w:t>Corporate Trust Office</w:t>
      </w:r>
      <w:r>
        <w:rPr>
          <w:rFonts w:ascii="Times New Roman" w:hAnsi="Times New Roman"/>
          <w:color w:val="000000"/>
          <w:sz w:val="20"/>
        </w:rPr>
        <w:t>” means the office of the Trustee at which at any particular time its corporate trust business in Pittsburgh, Pennsylvania shall be principally administered, which office as of the date of this Indenture is located at 500 Ross Street, 12th Floor, Pittsburgh, PA 15262, Attention: Corporate Trust Administration, or such other address as the Trustee may designate from time to time by notice to the Holders and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corporation</w:t>
      </w:r>
      <w:r>
        <w:rPr>
          <w:rFonts w:ascii="Times New Roman" w:hAnsi="Times New Roman"/>
          <w:color w:val="000000"/>
          <w:sz w:val="20"/>
        </w:rPr>
        <w:t>” includes corporations, associations, companies (including any limited liability company), business trusts and limited partnerships.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Currency</w:t>
      </w:r>
      <w:r>
        <w:rPr>
          <w:rFonts w:ascii="Times New Roman" w:hAnsi="Times New Roman"/>
          <w:color w:val="000000"/>
          <w:sz w:val="20"/>
        </w:rPr>
        <w:t>” means U.S. Dollars or any Foreign Currency.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Currency Agreement</w:t>
      </w:r>
      <w:r>
        <w:rPr>
          <w:rFonts w:ascii="Times New Roman" w:hAnsi="Times New Roman"/>
          <w:color w:val="000000"/>
          <w:sz w:val="20"/>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Custodian</w:t>
      </w:r>
      <w:r>
        <w:rPr>
          <w:rFonts w:ascii="Times New Roman" w:hAnsi="Times New Roman"/>
          <w:color w:val="000000"/>
          <w:sz w:val="20"/>
        </w:rPr>
        <w:t>” means any receiver, interim receiver, receiver and manager, trustee, assignee, liquidator, custodian, curator or similar official under any Bankruptcy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Default</w:t>
      </w:r>
      <w:r>
        <w:rPr>
          <w:rFonts w:ascii="Times New Roman" w:hAnsi="Times New Roman"/>
          <w:color w:val="000000"/>
          <w:sz w:val="20"/>
        </w:rPr>
        <w:t>” means any event which is, or after notice or passage of time or both would be, an Event of Default.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Depositary</w:t>
      </w:r>
      <w:r>
        <w:rPr>
          <w:rFonts w:ascii="Times New Roman" w:hAnsi="Times New Roman"/>
          <w:color w:val="000000"/>
          <w:sz w:val="20"/>
        </w:rPr>
        <w:t>” means, with respect to the Securities issued in the form of one or more Global Securities, the Person designated as the Depositary by the Company pursuant to Section 2.02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Domestic Subsidiary</w:t>
      </w:r>
      <w:r>
        <w:rPr>
          <w:rFonts w:ascii="Times New Roman" w:hAnsi="Times New Roman"/>
          <w:color w:val="000000"/>
          <w:sz w:val="20"/>
        </w:rPr>
        <w:t>” means any Subsidiary that is not a Foreign Subsidiary.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Electronic Means</w:t>
      </w:r>
      <w:r>
        <w:rPr>
          <w:rFonts w:ascii="Times New Roman" w:hAnsi="Times New Roman"/>
          <w:color w:val="000000"/>
          <w:sz w:val="20"/>
        </w:rPr>
        <w:t>”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Exchange Act</w:t>
      </w:r>
      <w:r>
        <w:rPr>
          <w:rFonts w:ascii="Times New Roman" w:hAnsi="Times New Roman"/>
          <w:color w:val="000000"/>
          <w:sz w:val="20"/>
        </w:rPr>
        <w:t>” means the Securities Exchange Act of 1934, as amended, or any successor statute, and the rules and regulations promulgated by the Commission thereunder.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Fair Market Value</w:t>
      </w:r>
      <w:r>
        <w:rPr>
          <w:rFonts w:ascii="Times New Roman" w:hAnsi="Times New Roman"/>
          <w:color w:val="000000"/>
          <w:sz w:val="20"/>
        </w:rPr>
        <w:t>” means, with respect to any asset or property, the sale value that would be obtained in an arm’s-length free market transaction between an informed and willing seller under no compulsion to sell and an informed and willing buyer under no compulsion to buy less any present or future taxes, duties, assessments or governmental charges of whatever nature payable as a result of or arising out of the disposition of such asset or property.  Fair Market Value shall be determined in good faith by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Foreign Currency</w:t>
      </w:r>
      <w:r>
        <w:rPr>
          <w:rFonts w:ascii="Times New Roman" w:hAnsi="Times New Roman"/>
          <w:color w:val="000000"/>
          <w:sz w:val="20"/>
        </w:rPr>
        <w:t>” means a currency issued by the government of any country other than the United States or a composite currency, the value of which is determined by reference to the values of the currencies of any group of countries.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Foreign Subsidiary</w:t>
      </w:r>
      <w:r>
        <w:rPr>
          <w:rFonts w:ascii="Times New Roman" w:hAnsi="Times New Roman"/>
          <w:color w:val="000000"/>
          <w:sz w:val="20"/>
        </w:rPr>
        <w:t>” means a Subsidiary that is not organized, incorporated or existing under the laws of the United States of America or any state or territory thereof or the District of Columbia or is a Subsidiary of such Foreign Subsidiary.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GAAP</w:t>
      </w:r>
      <w:r>
        <w:rPr>
          <w:rFonts w:ascii="Times New Roman" w:hAnsi="Times New Roman"/>
          <w:color w:val="000000"/>
          <w:sz w:val="20"/>
        </w:rPr>
        <w:t>” means generally accepted accounting principles in the United States of America as in effect from time to time (except with respect to accounting for capital leases, as to which such principles in effect on 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Global Security</w:t>
      </w:r>
      <w:r>
        <w:rPr>
          <w:rFonts w:ascii="Times New Roman" w:hAnsi="Times New Roman"/>
          <w:color w:val="000000"/>
          <w:sz w:val="20"/>
        </w:rPr>
        <w:t>” means any Security that evidences all or part of a series of Securities, issued in fully-registered certificated form to the Depositary for such series in accordance with Section 2.17 and bearing the legend prescribed in Section 2.17(a).</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Governmental Authority</w:t>
      </w:r>
      <w:r>
        <w:rPr>
          <w:rFonts w:ascii="Times New Roman" w:hAnsi="Times New Roman"/>
          <w:color w:val="000000"/>
          <w:sz w:val="20"/>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Guarantee</w:t>
      </w:r>
      <w:r>
        <w:rPr>
          <w:rFonts w:ascii="Times New Roman" w:hAnsi="Times New Roman"/>
          <w:color w:val="000000"/>
          <w:sz w:val="20"/>
        </w:rPr>
        <w:t>” means any obligation, contingent or otherwise, of any Person directly or indirectly guaranteeing any Indebtedness of any other Person and any obligation, direct or indirect, contingent or otherwise, of such Person:</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(a)          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(b)          entered into for the purpose of assuring in any other manner the obligee against loss in respect thereof (in whole or in part);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term “Guarantee” shall not include:</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(1)          endorsements for collection or deposit in the ordinary course of business; or</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(2)          a contractual commitment by one Person to invest in another Person.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term “</w:t>
      </w:r>
      <w:r>
        <w:rPr>
          <w:rFonts w:ascii="Times New Roman" w:hAnsi="Times New Roman"/>
          <w:i/>
          <w:color w:val="000000"/>
          <w:sz w:val="20"/>
        </w:rPr>
        <w:t>Guarantee</w:t>
      </w:r>
      <w:r>
        <w:rPr>
          <w:rFonts w:ascii="Times New Roman" w:hAnsi="Times New Roman"/>
          <w:color w:val="000000"/>
          <w:sz w:val="20"/>
        </w:rPr>
        <w:t>” used as a verb has a corresponding meaning. The term “</w:t>
      </w:r>
      <w:r>
        <w:rPr>
          <w:rFonts w:ascii="Times New Roman" w:hAnsi="Times New Roman"/>
          <w:i/>
          <w:color w:val="000000"/>
          <w:sz w:val="20"/>
        </w:rPr>
        <w:t>Guarantor</w:t>
      </w:r>
      <w:r>
        <w:rPr>
          <w:rFonts w:ascii="Times New Roman" w:hAnsi="Times New Roman"/>
          <w:color w:val="000000"/>
          <w:sz w:val="20"/>
        </w:rPr>
        <w:t xml:space="preserve">” means (i) initially on the execution of this Indenture, each of the entities, if any, listed on </w:t>
      </w:r>
      <w:r>
        <w:rPr>
          <w:rFonts w:ascii="Times New Roman" w:hAnsi="Times New Roman"/>
          <w:color w:val="000000"/>
          <w:sz w:val="20"/>
          <w:u w:val="single"/>
        </w:rPr>
        <w:t>Schedule A</w:t>
      </w:r>
      <w:r>
        <w:rPr>
          <w:rFonts w:ascii="Times New Roman" w:hAnsi="Times New Roman"/>
          <w:color w:val="000000"/>
          <w:sz w:val="20"/>
        </w:rPr>
        <w:t>, attached hereto, and (ii) any other Subsidiary of the Company that Guarantees the Company’s Indenture Obligations from time to time, in each case during such periods that such entity Guarantees the Company’s Indenture Obligations in accordance with the terms of this Indenture.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Hedging Obligations</w:t>
      </w:r>
      <w:r>
        <w:rPr>
          <w:rFonts w:ascii="Times New Roman" w:hAnsi="Times New Roman"/>
          <w:color w:val="000000"/>
          <w:sz w:val="20"/>
        </w:rPr>
        <w:t>” of any Person means the obligations of such Person pursuant to any Interest Rate Agreement, Currency Agreement, Commodity Price Protection Agreement or any other similar agreement or arrangement.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Holder</w:t>
      </w:r>
      <w:r>
        <w:rPr>
          <w:rFonts w:ascii="Times New Roman" w:hAnsi="Times New Roman"/>
          <w:color w:val="000000"/>
          <w:sz w:val="20"/>
        </w:rPr>
        <w:t>” means the Person in whose name a Security is registered on the Security register.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Indebtedness</w:t>
      </w:r>
      <w:r>
        <w:rPr>
          <w:rFonts w:ascii="Times New Roman" w:hAnsi="Times New Roman"/>
          <w:color w:val="000000"/>
          <w:sz w:val="20"/>
        </w:rPr>
        <w:t>” means, with respect to any Person on any date of determination (without duplication):</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(1)          the principal in respect of (A) indebtedness of such Person for money borrowed and (B) indebtedness evidenced by notes, debentures, bonds or other similar instruments for the payment of which such Person is responsible or liable, including, in each case, any premium on such indebtedness to the extent such premium has become due and payable;</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(2)          all Capital Lease Obligations of such Person and all Attributable Debt in respect of Sale Leaseback Transactions entered into by such Person;</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(3)          all obligations of such Person issued or assumed as the deferred purchase price of Property, all conditional sale obligations of such Person and all obligations of such Person under any title retention agreement (but excluding any accounts payable or other liability to trade creditors arising in the ordinary course of business);</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(4)          all obligations of such Person for the reimbursement of any obligor on any letter of credit, bankers’ acceptance or similar credit transaction (other than obligations with respect to letters of credit securing obligations (other than obligations described in clauses (1) through (3) above) entered into in the ordinary course of business of such Person to the extent such letters of credit are not drawn upon or, if and to the extent drawn upon, such drawing is reimbursed no later than the 30th day following payment on the letter of credit);</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(5)          to the extent not otherwise included in this definition, Hedging Obligations of such Person;</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(6)          all Attributable Receivables Indebtedness;</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(7)          all obligations of the type referred to in clauses (1) through (6) above of other Persons and all dividends of other Persons for the payment of which, in either case, such Person is responsible or liable, directly or indirectly, as obligor, guarantor or otherwise, including by means of any Guarantee; and</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(8)          all obligations of the type referred to in clauses (1) through (7) above of other Persons secured by any Lien on any property or asset of such Person (whether or not such obligation is assumed by such Person), the amount of such obligation being deemed to be the lesser of the Fair Market Value of such property or assets and the amount of the obligation so secured.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Notwithstanding the foregoing, in connection with the purchase by the Company or any Subsidiary of the Company of any business, the term “Indebtedness” will exclude indemnification, purchase price adjustment, earn-outs, holdbacks, milestones and contingency payment obligations to which the seller may become entitled to the extent such payment is determined by a final closing balance sheet or such payment depends on the performance of such business after the closing;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at the time of closing, the amount of any such payment is not determinable and, to the extent such payment thereafter becomes fixed and determined, the amount is paid within 60 days thereafter.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The amount of Indebtedness of any Person at any date shall be the outstanding balance at such date of all obligations as described above;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 the case of Indebtedness sold at a discount, the amount of such Indebtedness at any time will be the accreted value thereof at such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Indenture</w:t>
      </w:r>
      <w:r>
        <w:rPr>
          <w:rFonts w:ascii="Times New Roman" w:hAnsi="Times New Roman"/>
          <w:color w:val="000000"/>
          <w:sz w:val="20"/>
        </w:rPr>
        <w:t xml:space="preserv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TIA that are deemed to be a part of and govern this instrument and any such supplemental indenture, respectively. The term “Indenture” shall also include the terms of particular series of Securities established as contemplated by Section 2.02;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2.02,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Times New Roman" w:hAnsi="Times New Roman"/>
          <w:i/>
          <w:color w:val="000000"/>
          <w:sz w:val="20"/>
        </w:rPr>
        <w:t>provided</w:t>
      </w:r>
      <w:r>
        <w:rPr>
          <w:rFonts w:ascii="Times New Roman" w:hAnsi="Times New Roman"/>
          <w:color w:val="000000"/>
          <w:sz w:val="20"/>
        </w:rPr>
        <w:t> </w:t>
      </w:r>
      <w:r>
        <w:rPr>
          <w:rFonts w:ascii="Times New Roman" w:hAnsi="Times New Roman"/>
          <w:i/>
          <w:color w:val="000000"/>
          <w:sz w:val="20"/>
        </w:rPr>
        <w:t>further</w:t>
      </w:r>
      <w:r>
        <w:rPr>
          <w:rFonts w:ascii="Times New Roman" w:hAnsi="Times New Roman"/>
          <w:color w:val="000000"/>
          <w:sz w:val="20"/>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Individual Securities</w:t>
      </w:r>
      <w:r>
        <w:rPr>
          <w:rFonts w:ascii="Times New Roman" w:hAnsi="Times New Roman"/>
          <w:color w:val="000000"/>
          <w:sz w:val="20"/>
        </w:rPr>
        <w:t>” means a Security that is substantially in the form attached to the supplemental indenture or Company Order authorizing such Security and that is not a Global Security.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Initial Securities</w:t>
      </w:r>
      <w:r>
        <w:rPr>
          <w:rFonts w:ascii="Times New Roman" w:hAnsi="Times New Roman"/>
          <w:color w:val="000000"/>
          <w:sz w:val="20"/>
        </w:rPr>
        <w:t>” means, for a series of Securities, the first Securities of such series issued under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interest</w:t>
      </w:r>
      <w:r>
        <w:rPr>
          <w:rFonts w:ascii="Times New Roman" w:hAnsi="Times New Roman"/>
          <w:color w:val="000000"/>
          <w:sz w:val="20"/>
        </w:rPr>
        <w:t>” means, unless the context otherwise requires, interest payable on any Securities, and with respect to an Original Issue Discount Security that by its terms bears interest only after the Maturity Date, interest payable after the Maturity Date.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Interest Payment Date</w:t>
      </w:r>
      <w:r>
        <w:rPr>
          <w:rFonts w:ascii="Times New Roman" w:hAnsi="Times New Roman"/>
          <w:color w:val="000000"/>
          <w:sz w:val="20"/>
        </w:rPr>
        <w:t>” means, with respect to any Securities, the date specified in such Securities for the payment of any installment of interest on those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Interest Rate Agreement</w:t>
      </w:r>
      <w:r>
        <w:rPr>
          <w:rFonts w:ascii="Times New Roman" w:hAnsi="Times New Roman"/>
          <w:color w:val="000000"/>
          <w:sz w:val="20"/>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Investment</w:t>
      </w:r>
      <w:r>
        <w:rPr>
          <w:rFonts w:ascii="Times New Roman" w:hAnsi="Times New Roman"/>
          <w:color w:val="000000"/>
          <w:sz w:val="20"/>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Issue Date</w:t>
      </w:r>
      <w:r>
        <w:rPr>
          <w:rFonts w:ascii="Times New Roman" w:hAnsi="Times New Roman"/>
          <w:color w:val="000000"/>
          <w:sz w:val="20"/>
        </w:rPr>
        <w:t>” means, with respect to a series of Securities, the date on which such Securities are initially issued.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Lien</w:t>
      </w:r>
      <w:r>
        <w:rPr>
          <w:rFonts w:ascii="Times New Roman" w:hAnsi="Times New Roman"/>
          <w:color w:val="000000"/>
          <w:sz w:val="20"/>
        </w:rPr>
        <w:t>” means any mortgage, pledge, security interest, encumbrance, lien or charge of any kind (including any conditional sale or other title retention agreement or lease in the nature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Maturity Date</w:t>
      </w:r>
      <w:r>
        <w:rPr>
          <w:rFonts w:ascii="Times New Roman" w:hAnsi="Times New Roman"/>
          <w:color w:val="000000"/>
          <w:sz w:val="20"/>
        </w:rPr>
        <w:t>,” when used with respect to any Security, means the date on which the principal amount of such Security becomes due and payable as therein or herein provided.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Mylan Indentures</w:t>
      </w:r>
      <w:r>
        <w:rPr>
          <w:rFonts w:ascii="Times New Roman" w:hAnsi="Times New Roman"/>
          <w:color w:val="000000"/>
          <w:sz w:val="20"/>
        </w:rPr>
        <w:t>” means the following:</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Arial" w:hAnsi="Arial"/>
          <w:color w:val="000000"/>
          <w:sz w:val="18"/>
        </w:rPr>
      </w:pPr>
      <w:r>
        <w:rPr>
          <w:rFonts w:ascii="Times New Roman" w:hAnsi="Times New Roman"/>
          <w:color w:val="010000"/>
          <w:sz w:val="20"/>
        </w:rPr>
        <w:t>(1)</w:t>
      </w:r>
      <w:r>
        <w:rPr>
          <w:rFonts w:ascii="Arial" w:hAnsi="Arial"/>
          <w:color w:val="000000"/>
          <w:sz w:val="18"/>
        </w:rPr>
        <w:t>          </w:t>
      </w:r>
      <w:r>
        <w:rPr>
          <w:rFonts w:ascii="Times New Roman" w:hAnsi="Times New Roman"/>
          <w:color w:val="000000"/>
          <w:sz w:val="20"/>
        </w:rPr>
        <w:t>Indenture dated as of November 29, 2013, between Mylan Inc., as issuer, and The Bank of New York Mellon, as trustee;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Arial" w:hAnsi="Arial"/>
          <w:color w:val="000000"/>
          <w:sz w:val="18"/>
        </w:rPr>
      </w:pPr>
      <w:r>
        <w:rPr>
          <w:rFonts w:ascii="Times New Roman" w:hAnsi="Times New Roman"/>
          <w:color w:val="010000"/>
          <w:sz w:val="20"/>
        </w:rPr>
        <w:t>(2)</w:t>
      </w:r>
      <w:r>
        <w:rPr>
          <w:rFonts w:ascii="Arial" w:hAnsi="Arial"/>
          <w:color w:val="000000"/>
          <w:sz w:val="18"/>
        </w:rPr>
        <w:t>          </w:t>
      </w:r>
      <w:r>
        <w:rPr>
          <w:rFonts w:ascii="Times New Roman" w:hAnsi="Times New Roman"/>
          <w:color w:val="000000"/>
          <w:sz w:val="20"/>
        </w:rPr>
        <w:t>First supplemental indenture dated as of November 29, 2013, between Mylan Inc., as issuer, and The Bank of New York Mellon, as trustee, to the indenture dated as of November 29, 2013;</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Arial" w:hAnsi="Arial"/>
          <w:color w:val="000000"/>
          <w:sz w:val="18"/>
        </w:rPr>
      </w:pPr>
      <w:r>
        <w:rPr>
          <w:rFonts w:ascii="Times New Roman" w:hAnsi="Times New Roman"/>
          <w:color w:val="010000"/>
          <w:sz w:val="20"/>
        </w:rPr>
        <w:t>(3)</w:t>
      </w:r>
      <w:r>
        <w:rPr>
          <w:rFonts w:ascii="Arial" w:hAnsi="Arial"/>
          <w:color w:val="000000"/>
          <w:sz w:val="18"/>
        </w:rPr>
        <w:t>          </w:t>
      </w:r>
      <w:r>
        <w:rPr>
          <w:rFonts w:ascii="Times New Roman" w:hAnsi="Times New Roman"/>
          <w:color w:val="000000"/>
          <w:sz w:val="20"/>
        </w:rPr>
        <w:t>Second supplemental indenture dated as of February 27, 2015, among Mylan Inc., as issuer, Mylan N.V., as guarantor, and The Bank of New York Mellon, as trustee, to the indenture dated as of November 29, 2013;</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Arial" w:hAnsi="Arial"/>
          <w:color w:val="000000"/>
          <w:sz w:val="18"/>
        </w:rPr>
      </w:pPr>
      <w:r>
        <w:rPr>
          <w:rFonts w:ascii="Times New Roman" w:hAnsi="Times New Roman"/>
          <w:color w:val="010000"/>
          <w:sz w:val="20"/>
        </w:rPr>
        <w:t>(4)</w:t>
      </w:r>
      <w:r>
        <w:rPr>
          <w:rFonts w:ascii="Arial" w:hAnsi="Arial"/>
          <w:color w:val="000000"/>
          <w:sz w:val="18"/>
        </w:rPr>
        <w:t>          </w:t>
      </w:r>
      <w:r>
        <w:rPr>
          <w:rFonts w:ascii="Times New Roman" w:hAnsi="Times New Roman"/>
          <w:color w:val="000000"/>
          <w:sz w:val="20"/>
        </w:rPr>
        <w:t>Third supplemental indenture dated as of March 12, 2015, among Mylan Inc., as issuer, Mylan N.V., as parent, and The Bank of New York Mellon, as trustee, to the indenture dated as of November 29, 2013;</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Arial" w:hAnsi="Arial"/>
          <w:color w:val="000000"/>
          <w:sz w:val="18"/>
        </w:rPr>
      </w:pPr>
      <w:r>
        <w:rPr>
          <w:rFonts w:ascii="Times New Roman" w:hAnsi="Times New Roman"/>
          <w:color w:val="010000"/>
          <w:sz w:val="20"/>
        </w:rPr>
        <w:t>(5)</w:t>
      </w:r>
      <w:r>
        <w:rPr>
          <w:rFonts w:ascii="Arial" w:hAnsi="Arial"/>
          <w:color w:val="000000"/>
          <w:sz w:val="18"/>
        </w:rPr>
        <w:t>          </w:t>
      </w:r>
      <w:r>
        <w:rPr>
          <w:rFonts w:ascii="Times New Roman" w:hAnsi="Times New Roman"/>
          <w:color w:val="000000"/>
          <w:sz w:val="20"/>
        </w:rPr>
        <w:t>Fourth supplemental indenture dated as of November 16, 2020, among Mylan Inc., Viatris Inc., Utah Acquisition Sub Inc., Mylan II B.V. and The Bank of New York Mellon, as trustee, to the indenture dated as of November 29, 2013;</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Arial" w:hAnsi="Arial"/>
          <w:color w:val="000000"/>
          <w:sz w:val="18"/>
        </w:rPr>
      </w:pPr>
      <w:r>
        <w:rPr>
          <w:rFonts w:ascii="Times New Roman" w:hAnsi="Times New Roman"/>
          <w:color w:val="010000"/>
          <w:sz w:val="20"/>
        </w:rPr>
        <w:t>(6)</w:t>
      </w:r>
      <w:r>
        <w:rPr>
          <w:rFonts w:ascii="Arial" w:hAnsi="Arial"/>
          <w:color w:val="000000"/>
          <w:sz w:val="18"/>
        </w:rPr>
        <w:t>          </w:t>
      </w:r>
      <w:r>
        <w:rPr>
          <w:rFonts w:ascii="Times New Roman" w:hAnsi="Times New Roman"/>
          <w:color w:val="000000"/>
          <w:sz w:val="20"/>
        </w:rPr>
        <w:t>Indenture dated as of June 9, 2016, among Mylan N.V., as issuer, Mylan Inc., as guarantor, and The Bank of New York Mellon, as trustee;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Arial" w:hAnsi="Arial"/>
          <w:color w:val="000000"/>
          <w:sz w:val="18"/>
        </w:rPr>
      </w:pPr>
      <w:r>
        <w:rPr>
          <w:rFonts w:ascii="Times New Roman" w:hAnsi="Times New Roman"/>
          <w:color w:val="010000"/>
          <w:sz w:val="20"/>
        </w:rPr>
        <w:t>(7)</w:t>
      </w:r>
      <w:r>
        <w:rPr>
          <w:rFonts w:ascii="Arial" w:hAnsi="Arial"/>
          <w:color w:val="000000"/>
          <w:sz w:val="18"/>
        </w:rPr>
        <w:t>          </w:t>
      </w:r>
      <w:r>
        <w:rPr>
          <w:rFonts w:ascii="Times New Roman" w:hAnsi="Times New Roman"/>
          <w:color w:val="000000"/>
          <w:sz w:val="20"/>
        </w:rPr>
        <w:t>First supplemental indenture dated as of November 16, 2020, among Viatris Inc., Utah Acquisition Sub Inc., Mylan II B.V., Mylan Inc. and The Bank of New York Mellon, as trustee, to the indenture dated as of June 9, 2016;</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Arial" w:hAnsi="Arial"/>
          <w:color w:val="000000"/>
          <w:sz w:val="18"/>
        </w:rPr>
      </w:pPr>
      <w:r>
        <w:rPr>
          <w:rFonts w:ascii="Times New Roman" w:hAnsi="Times New Roman"/>
          <w:color w:val="010000"/>
          <w:sz w:val="20"/>
        </w:rPr>
        <w:t>(8)</w:t>
      </w:r>
      <w:r>
        <w:rPr>
          <w:rFonts w:ascii="Arial" w:hAnsi="Arial"/>
          <w:color w:val="000000"/>
          <w:sz w:val="18"/>
        </w:rPr>
        <w:t>          </w:t>
      </w:r>
      <w:r>
        <w:rPr>
          <w:rFonts w:ascii="Times New Roman" w:hAnsi="Times New Roman"/>
          <w:color w:val="000000"/>
          <w:sz w:val="20"/>
        </w:rPr>
        <w:t>Indenture dated as of November 22, 2016, among Mylan N.V., as issuer, Mylan Inc., as guarantor, and Citibank, N.A., London Branch, as trustee;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Arial" w:hAnsi="Arial"/>
          <w:color w:val="000000"/>
          <w:sz w:val="18"/>
        </w:rPr>
      </w:pPr>
      <w:r>
        <w:rPr>
          <w:rFonts w:ascii="Times New Roman" w:hAnsi="Times New Roman"/>
          <w:color w:val="010000"/>
          <w:sz w:val="20"/>
        </w:rPr>
        <w:t>(9)</w:t>
      </w:r>
      <w:r>
        <w:rPr>
          <w:rFonts w:ascii="Arial" w:hAnsi="Arial"/>
          <w:color w:val="000000"/>
          <w:sz w:val="18"/>
        </w:rPr>
        <w:t>          </w:t>
      </w:r>
      <w:r>
        <w:rPr>
          <w:rFonts w:ascii="Times New Roman" w:hAnsi="Times New Roman"/>
          <w:color w:val="000000"/>
          <w:sz w:val="20"/>
        </w:rPr>
        <w:t>First supplemental indenture dated as of November 16, 2020, among Viatris Inc., Utah Acquisition Sub Inc., Mylan II B.V., Mylan Inc. and Citibank, N.A., London Branch, as trustee, to the indenture dated as of November 22, 2016;</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Arial" w:hAnsi="Arial"/>
          <w:color w:val="000000"/>
          <w:sz w:val="18"/>
        </w:rPr>
      </w:pPr>
      <w:r>
        <w:rPr>
          <w:rFonts w:ascii="Times New Roman" w:hAnsi="Times New Roman"/>
          <w:color w:val="010000"/>
          <w:sz w:val="20"/>
        </w:rPr>
        <w:t>(10)</w:t>
      </w:r>
      <w:r>
        <w:rPr>
          <w:rFonts w:ascii="Arial" w:hAnsi="Arial"/>
          <w:color w:val="000000"/>
          <w:sz w:val="18"/>
        </w:rPr>
        <w:t xml:space="preserve">        </w:t>
      </w:r>
      <w:r>
        <w:rPr>
          <w:rFonts w:ascii="Times New Roman" w:hAnsi="Times New Roman"/>
          <w:color w:val="000000"/>
          <w:sz w:val="20"/>
        </w:rPr>
        <w:t>Indenture dated as of April 9, 2018, among Mylan Inc., as issuer, Mylan N.V., as guarantor, and The Bank of New York Mellon, as trustee;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Arial" w:hAnsi="Arial"/>
          <w:color w:val="000000"/>
          <w:sz w:val="18"/>
        </w:rPr>
      </w:pPr>
      <w:r>
        <w:rPr>
          <w:rFonts w:ascii="Times New Roman" w:hAnsi="Times New Roman"/>
          <w:color w:val="010000"/>
          <w:sz w:val="20"/>
        </w:rPr>
        <w:t>(11)</w:t>
      </w:r>
      <w:r>
        <w:rPr>
          <w:rFonts w:ascii="Arial" w:hAnsi="Arial"/>
          <w:color w:val="000000"/>
          <w:sz w:val="18"/>
        </w:rPr>
        <w:t xml:space="preserve">        </w:t>
      </w:r>
      <w:r>
        <w:rPr>
          <w:rFonts w:ascii="Times New Roman" w:hAnsi="Times New Roman"/>
          <w:color w:val="000000"/>
          <w:sz w:val="20"/>
        </w:rPr>
        <w:t>First supplemental indenture dated as of November 16, 2020, among Mylan Inc., Viatris Inc., Utah Acquisition Sub Inc., Mylan II B.V. and The Bank of New York Mellon, as trustee, to the indenture dated as of April 9, 2018.</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Mylan Notes</w:t>
      </w:r>
      <w:r>
        <w:rPr>
          <w:rFonts w:ascii="Times New Roman" w:hAnsi="Times New Roman"/>
          <w:color w:val="000000"/>
          <w:sz w:val="20"/>
        </w:rPr>
        <w:t>” means any senior notes issued under the Mylan Indentures and that remain outstanding on the applicable Issue Date.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Obligations</w:t>
      </w:r>
      <w:r>
        <w:rPr>
          <w:rFonts w:ascii="Times New Roman" w:hAnsi="Times New Roman"/>
          <w:color w:val="000000"/>
          <w:sz w:val="20"/>
        </w:rPr>
        <w:t>” means, with respect to any Indebtedness, all obligations for principal, premium, interest, penalties, fees, indemnifications, reimbursements, and other amounts payable pursuant to the documentation governing such Indebtedness.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Officer</w:t>
      </w:r>
      <w:r>
        <w:rPr>
          <w:rFonts w:ascii="Times New Roman" w:hAnsi="Times New Roman"/>
          <w:color w:val="000000"/>
          <w:sz w:val="20"/>
        </w:rPr>
        <w:t>” means the chief executive officer, the president, the chief financial officer or any vice president, any treasurer, any assistant treasurer, the controller, the secretary or any assistant secretary of the specified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Officer’s Certificate</w:t>
      </w:r>
      <w:r>
        <w:rPr>
          <w:rFonts w:ascii="Times New Roman" w:hAnsi="Times New Roman"/>
          <w:color w:val="000000"/>
          <w:sz w:val="20"/>
        </w:rPr>
        <w:t>” means a certificate which meets the requirements of Section 12.03, signed by the chairman or executive chairman, as applicable, of the Board of Directors, the chief executive officer, the chief financial officer, the president or a vice president, a treasurer, an assistant treasurer, the controller, the secretary or an assistant secretary of the Company and delivered to the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Opinion of Counsel</w:t>
      </w:r>
      <w:r>
        <w:rPr>
          <w:rFonts w:ascii="Times New Roman" w:hAnsi="Times New Roman"/>
          <w:color w:val="000000"/>
          <w:sz w:val="20"/>
        </w:rPr>
        <w:t>” means a written opinion which meets the requirements of Section 12.03 from legal counsel, who is reasonably acceptable to the Trustee, delivered to the Trustee. The counsel may be an employee of or counsel to the Company or any Subsidiary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Original Issue Discount Security</w:t>
      </w:r>
      <w:r>
        <w:rPr>
          <w:rFonts w:ascii="Times New Roman" w:hAnsi="Times New Roman"/>
          <w:color w:val="000000"/>
          <w:sz w:val="20"/>
        </w:rPr>
        <w:t>” means any Security that is issued with “original issue discount” within the meaning of Section 1273(a) of the Internal Revenue Code of 1986, as amended, and Treasury Regulations promulgated thereunder and any other Security designated by the Company as issued with original issue discount for United States federal income tax purposes.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Person</w:t>
      </w:r>
      <w:r>
        <w:rPr>
          <w:rFonts w:ascii="Times New Roman" w:hAnsi="Times New Roman"/>
          <w:color w:val="000000"/>
          <w:sz w:val="20"/>
        </w:rPr>
        <w:t>” means any individual, corporation, company (including any limited liability company), association, partnership, joint venture, trust, unincorporated organization, government or any agency or political subdivision thereof or any other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Place of Payment</w:t>
      </w:r>
      <w:r>
        <w:rPr>
          <w:rFonts w:ascii="Times New Roman" w:hAnsi="Times New Roman"/>
          <w:color w:val="000000"/>
          <w:sz w:val="20"/>
        </w:rPr>
        <w:t>,” when used with respect to the Securities, means the place or places where the principal of (and premium, if any) and interest on the Securities are payable as specified as contemplated by Section 4.02.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Preferred Stock</w:t>
      </w:r>
      <w:r>
        <w:rPr>
          <w:rFonts w:ascii="Times New Roman" w:hAnsi="Times New Roman"/>
          <w:color w:val="000000"/>
          <w:sz w:val="20"/>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Property</w:t>
      </w:r>
      <w:r>
        <w:rPr>
          <w:rFonts w:ascii="Times New Roman" w:hAnsi="Times New Roman"/>
          <w:color w:val="000000"/>
          <w:sz w:val="20"/>
        </w:rPr>
        <w:t>” means any right or interest in or to property of any kind whatsoever, whether real, personal or mixed and whether tangible or intangible, including, without limitation, Capital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Qualified Receivables Transaction</w:t>
      </w:r>
      <w:r>
        <w:rPr>
          <w:rFonts w:ascii="Times New Roman" w:hAnsi="Times New Roman"/>
          <w:color w:val="000000"/>
          <w:sz w:val="20"/>
        </w:rPr>
        <w:t>” means any transaction or series of transactions that may be entered into by the Company or any of its Subsidiaries pursuant to which the Company or any of its Subsidiaries may sell, convey or otherwise transfer to:</w:t>
      </w:r>
    </w:p>
    <w:p>
      <w:pPr>
        <w:pStyle w:val="TextBody"/>
        <w:bidi w:val="0"/>
        <w:spacing w:before="0" w:after="0"/>
        <w:jc w:val="left"/>
        <w:rPr>
          <w:color w:val="000000"/>
        </w:rPr>
      </w:pPr>
      <w:r>
        <w:rPr>
          <w:color w:val="000000"/>
        </w:rPr>
        <w:t> </w:t>
      </w:r>
    </w:p>
    <w:p>
      <w:pPr>
        <w:pStyle w:val="TextBody"/>
        <w:bidi w:val="0"/>
        <w:spacing w:before="0" w:after="0"/>
        <w:ind w:left="180" w:right="0" w:firstLine="720"/>
        <w:jc w:val="left"/>
        <w:rPr>
          <w:rFonts w:ascii="Arial" w:hAnsi="Arial"/>
          <w:color w:val="000000"/>
          <w:sz w:val="18"/>
        </w:rPr>
      </w:pPr>
      <w:r>
        <w:rPr>
          <w:rFonts w:ascii="Times New Roman" w:hAnsi="Times New Roman"/>
          <w:color w:val="000000"/>
          <w:sz w:val="20"/>
        </w:rPr>
        <w:t>(1)</w:t>
      </w:r>
      <w:r>
        <w:rPr>
          <w:rFonts w:ascii="Arial" w:hAnsi="Arial"/>
          <w:color w:val="000000"/>
          <w:sz w:val="18"/>
        </w:rPr>
        <w:t xml:space="preserve">      </w:t>
      </w:r>
      <w:r>
        <w:rPr>
          <w:rFonts w:ascii="Times New Roman" w:hAnsi="Times New Roman"/>
          <w:color w:val="000000"/>
          <w:sz w:val="20"/>
        </w:rPr>
        <w:t>a Receivables Entity (in the case of a transfer by the Company or any of its Subsidiaries) or</w:t>
      </w:r>
    </w:p>
    <w:p>
      <w:pPr>
        <w:pStyle w:val="TextBody"/>
        <w:bidi w:val="0"/>
        <w:spacing w:before="0" w:after="0"/>
        <w:jc w:val="left"/>
        <w:rPr>
          <w:color w:val="000000"/>
        </w:rPr>
      </w:pPr>
      <w:r>
        <w:rPr>
          <w:color w:val="000000"/>
        </w:rPr>
        <w:t> </w:t>
      </w:r>
    </w:p>
    <w:p>
      <w:pPr>
        <w:pStyle w:val="TextBody"/>
        <w:bidi w:val="0"/>
        <w:spacing w:before="0" w:after="0"/>
        <w:ind w:left="180" w:right="0" w:firstLine="720"/>
        <w:jc w:val="left"/>
        <w:rPr>
          <w:rFonts w:ascii="Arial" w:hAnsi="Arial"/>
          <w:color w:val="000000"/>
          <w:sz w:val="18"/>
        </w:rPr>
      </w:pPr>
      <w:r>
        <w:rPr>
          <w:rFonts w:ascii="Times New Roman" w:hAnsi="Times New Roman"/>
          <w:color w:val="000000"/>
          <w:sz w:val="20"/>
        </w:rPr>
        <w:t>(2)</w:t>
      </w:r>
      <w:r>
        <w:rPr>
          <w:rFonts w:ascii="Arial" w:hAnsi="Arial"/>
          <w:color w:val="000000"/>
          <w:sz w:val="18"/>
        </w:rPr>
        <w:t xml:space="preserve">      </w:t>
      </w:r>
      <w:r>
        <w:rPr>
          <w:rFonts w:ascii="Times New Roman" w:hAnsi="Times New Roman"/>
          <w:color w:val="000000"/>
          <w:sz w:val="20"/>
        </w:rPr>
        <w:t>any other Person (in the case of a transfer by a Receivables Entity),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or may grant a security interest in, any accounts receivable (whether now existing or arising in the future) of the Company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financing terms, covenants, termination events and other provisions thereof shall be market terms (as determined in good faith by the chief financial officer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Receivables Entity</w:t>
      </w:r>
      <w:r>
        <w:rPr>
          <w:rFonts w:ascii="Times New Roman" w:hAnsi="Times New Roman"/>
          <w:color w:val="000000"/>
          <w:sz w:val="20"/>
        </w:rPr>
        <w:t>” means (a) a Wholly Owned Subsidiary of the Company that is designated pursuant to an Officer’s Certificate (as provided below) as a Receivables Entity or (b) another Person engaging in a Qualified Receivables Transaction with the Company, which Person engages in the business of the financing of accounts receivable, and in the case of either of clause (a) or (b):</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(1)          no portion of the Indebtedness or any other obligations (contingent or otherwise) of such entity:</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(A)  is Guaranteed by the Company or any Subsidiary of the Company (excluding Guarantees of obligations (other than the principal of, and interest on, Indebtedness) pursuant to Standard Securitization Undertakings),</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(B)  is recourse to or obligates the Company or any Subsidiary of the Company in any way (other than pursuant to Standard Securitization Undertakings), or</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(C)  subjects any property or asset of the Company or any Subsidiary of the Company, directly or indirectly, contingently or otherwise, to the satisfaction thereof (other than pursuant to Standard Securitization Undertakings);</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(2)          the entity is not an Affiliate of the Company or is an entity with which neither the Company nor any Subsidiary of the Company has any material contract, agreement, arrangement or understanding other than on terms that the Company reasonably believes to be no less favorable to the Company or such Subsidiary than those that might be obtained at the time from Persons that are not Affiliates of the Company; and</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(3)          is an entity to which neither the Company nor any Subsidiary of the Company has any obligation to maintain or preserve such entity’s financial condition or cause such entity to achieve certain levels of operating results.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Any such designation shall be evidenced to the Trustee by filing with the Trustee an Officer’s Certificate certifying that such designation complied with the foregoing conditions.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Redemption Date</w:t>
      </w:r>
      <w:r>
        <w:rPr>
          <w:rFonts w:ascii="Times New Roman" w:hAnsi="Times New Roman"/>
          <w:color w:val="000000"/>
          <w:sz w:val="20"/>
        </w:rPr>
        <w:t>,” when used with respect to any Security to be redeemed pursuant to Article III of this Indenture, means the date fixed for such redemption pursuant to the terms of such Article III.</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Redemption Price</w:t>
      </w:r>
      <w:r>
        <w:rPr>
          <w:rFonts w:ascii="Times New Roman" w:hAnsi="Times New Roman"/>
          <w:color w:val="000000"/>
          <w:sz w:val="20"/>
        </w:rPr>
        <w:t>,” when used with respect to any Security to be redeemed, means the price at which it is to be redeemed pursuant to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Responsible Officer</w:t>
      </w:r>
      <w:r>
        <w:rPr>
          <w:rFonts w:ascii="Times New Roman" w:hAnsi="Times New Roman"/>
          <w:color w:val="000000"/>
          <w:sz w:val="20"/>
        </w:rPr>
        <w:t>” means, when used with respect to the Trustee, any officer within the corporate trust department of the Trustee, including any vice president, assistant vice president, assistant secretary, senior associate,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Sale Leaseback Transaction</w:t>
      </w:r>
      <w:r>
        <w:rPr>
          <w:rFonts w:ascii="Times New Roman" w:hAnsi="Times New Roman"/>
          <w:color w:val="000000"/>
          <w:sz w:val="20"/>
        </w:rPr>
        <w:t>” means the leasing by the Company or any Domestic Subsidiary of the Company of any property, whether owned on the Issue Date or acquired after the Issue Date (except for temporary leases for a term, including any renewal term, of up to three years and except for leases between the Company and any Domestic Subsidiary of the Company or between Domestic Subsidiaries of the Company), which property has been or is to be sold or transferred by the Company or such Domestic Subsidiary to any party with the intention of taking back a lease of such property.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Securities</w:t>
      </w:r>
      <w:r>
        <w:rPr>
          <w:rFonts w:ascii="Times New Roman" w:hAnsi="Times New Roman"/>
          <w:color w:val="000000"/>
          <w:sz w:val="20"/>
        </w:rPr>
        <w:t>” means, collectively, each series of debentures, notes, bonds or other evidences of indebtedness issued from time to time hereunder. The Securities issued under this Indenture include, for each series of Securities, the Initial Securities of such series and Additional Securities of such series, if any, unless the context otherwise requires.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Securities Act</w:t>
      </w:r>
      <w:r>
        <w:rPr>
          <w:rFonts w:ascii="Times New Roman" w:hAnsi="Times New Roman"/>
          <w:color w:val="000000"/>
          <w:sz w:val="20"/>
        </w:rPr>
        <w:t>” means the Securities Act of 1933, as amended, or any successor statute, and the rules and regulations promulgated by the Commission thereunder.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Security Custodian</w:t>
      </w:r>
      <w:r>
        <w:rPr>
          <w:rFonts w:ascii="Times New Roman" w:hAnsi="Times New Roman"/>
          <w:color w:val="000000"/>
          <w:sz w:val="20"/>
        </w:rPr>
        <w:t>” means, with respect to any Global Security, the custodian appointed by the Depositary, or any successor Person thereto, and shall initially be the Paying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series</w:t>
      </w:r>
      <w:r>
        <w:rPr>
          <w:rFonts w:ascii="Times New Roman" w:hAnsi="Times New Roman"/>
          <w:color w:val="000000"/>
          <w:sz w:val="20"/>
        </w:rPr>
        <w:t>” refers to each separate series of Securities issued under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Significant Subsidiary</w:t>
      </w:r>
      <w:r>
        <w:rPr>
          <w:rFonts w:ascii="Times New Roman" w:hAnsi="Times New Roman"/>
          <w:color w:val="000000"/>
          <w:sz w:val="20"/>
        </w:rPr>
        <w:t>” means any Subsidiary of the Company that would be a “significant subsidiary” of the Company within the meaning of Rule 1-02 under Regulation S-X promulgated by the Commission, as such Regulation is in effect on the Issue Date.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Standard Securitization Undertakings</w:t>
      </w:r>
      <w:r>
        <w:rPr>
          <w:rFonts w:ascii="Times New Roman" w:hAnsi="Times New Roman"/>
          <w:color w:val="000000"/>
          <w:sz w:val="20"/>
        </w:rPr>
        <w:t>” means representations, warranties, covenants and indemnities entered into by the Company or any Subsidiary of the Company that, taken as a whole, are customary in an accounts receivable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Stated Maturity</w:t>
      </w:r>
      <w:r>
        <w:rPr>
          <w:rFonts w:ascii="Times New Roman" w:hAnsi="Times New Roman"/>
          <w:color w:val="000000"/>
          <w:sz w:val="20"/>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Subsidiary</w:t>
      </w:r>
      <w:r>
        <w:rPr>
          <w:rFonts w:ascii="Times New Roman" w:hAnsi="Times New Roman"/>
          <w:color w:val="000000"/>
          <w:sz w:val="20"/>
        </w:rPr>
        <w:t>” means, with respect to any specified Person:</w:t>
      </w:r>
    </w:p>
    <w:p>
      <w:pPr>
        <w:pStyle w:val="TextBody"/>
        <w:bidi w:val="0"/>
        <w:spacing w:before="0" w:after="0"/>
        <w:jc w:val="left"/>
        <w:rPr>
          <w:color w:val="000000"/>
        </w:rPr>
      </w:pPr>
      <w:r>
        <w:rPr>
          <w:color w:val="000000"/>
        </w:rPr>
        <w:t> </w:t>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(1)          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806" w:right="0" w:firstLine="634"/>
        <w:jc w:val="left"/>
        <w:rPr>
          <w:rFonts w:ascii="Times New Roman" w:hAnsi="Times New Roman"/>
          <w:color w:val="000000"/>
          <w:sz w:val="20"/>
        </w:rPr>
      </w:pPr>
      <w:r>
        <w:rPr>
          <w:rFonts w:ascii="Times New Roman" w:hAnsi="Times New Roman"/>
          <w:color w:val="000000"/>
          <w:sz w:val="20"/>
        </w:rPr>
        <w:t>(2)          any partnership (a) the sole general partner or the managing general partner of which is such Person or a Subsidiary of such Person or (b) the only general partners of which are that Person or one or more Subsidiaries of that Person (or any combination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TIA</w:t>
      </w:r>
      <w:r>
        <w:rPr>
          <w:rFonts w:ascii="Times New Roman" w:hAnsi="Times New Roman"/>
          <w:color w:val="000000"/>
          <w:sz w:val="20"/>
        </w:rPr>
        <w:t>” means the Trust Indenture Act of 1939 as amended (15 U.S. Code §§ 77aaa-77bbbb).</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Triggering Indebtedness</w:t>
      </w:r>
      <w:r>
        <w:rPr>
          <w:rFonts w:ascii="Times New Roman" w:hAnsi="Times New Roman"/>
          <w:color w:val="000000"/>
          <w:sz w:val="20"/>
        </w:rPr>
        <w:t>” means Indebtedness of the Company owed to a Person, other than the Company or any Subsidiary of the Company, that has an aggregate principal amount or committed amount in excess of $500.0 million.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Trustee</w:t>
      </w:r>
      <w:r>
        <w:rPr>
          <w:rFonts w:ascii="Times New Roman" w:hAnsi="Times New Roman"/>
          <w:color w:val="000000"/>
          <w:sz w:val="20"/>
        </w:rPr>
        <w:t>” means The Bank of New York Mellon, a New York banking corporation, until a successor replaces it in accordance with the applicable provisions of this Indenture and thereafter means the successor serving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U.S. Government Obligations</w:t>
      </w:r>
      <w:r>
        <w:rPr>
          <w:rFonts w:ascii="Times New Roman" w:hAnsi="Times New Roman"/>
          <w:color w:val="000000"/>
          <w:sz w:val="20"/>
        </w:rPr>
        <w:t xml:space="preserve">” means securities that are (i) direct obligations of the United States for the payment of which its full faith and credit is pledged or (ii) obligations of a person controlled or supervised by and acting as an agency or an instrumentality of the United States the timely payment of which is unconditionally guaranteed as a full faith and credit obligation by the United States, that, in either case, are not callable or redeemable at the action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hAnsi="Times New Roman"/>
          <w:i/>
          <w:color w:val="000000"/>
          <w:sz w:val="20"/>
        </w:rPr>
        <w:t>provided</w:t>
      </w:r>
      <w:r>
        <w:rPr>
          <w:rFonts w:ascii="Times New Roman" w:hAnsi="Times New Roman"/>
          <w:color w:val="000000"/>
          <w:sz w:val="20"/>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i/>
          <w:color w:val="000000"/>
          <w:sz w:val="20"/>
        </w:rPr>
        <w:t>Wholly Owned Subsidiary</w:t>
      </w:r>
      <w:r>
        <w:rPr>
          <w:rFonts w:ascii="Times New Roman" w:hAnsi="Times New Roman"/>
          <w:color w:val="000000"/>
          <w:sz w:val="20"/>
        </w:rPr>
        <w:t>” means a Subsidiary of the Company of which the Company owns all of the Capital Stock, directly or indirectly, other than directors’ qualifying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42" w:name="z_Toc232522526"/>
      <w:bookmarkEnd w:id="42"/>
      <w:r>
        <w:rPr>
          <w:rFonts w:ascii="Times New Roman" w:hAnsi="Times New Roman"/>
          <w:i/>
          <w:color w:val="000000"/>
          <w:sz w:val="20"/>
        </w:rPr>
        <w:t>Section 1.02. Other Definitions.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 w:name="z2bfbb9c780da4124bc43d1111d13d458"/>
      <w:bookmarkStart w:id="44" w:name="z2bfbb9c780da4124bc43d1111d13d458"/>
      <w:bookmarkEnd w:id="44"/>
    </w:p>
    <w:tbl>
      <w:tblPr>
        <w:tblW w:w="5815" w:type="dxa"/>
        <w:jc w:val="center"/>
        <w:tblInd w:w="0" w:type="dxa"/>
        <w:tblLayout w:type="fixed"/>
        <w:tblCellMar>
          <w:top w:w="0" w:type="dxa"/>
          <w:left w:w="0" w:type="dxa"/>
          <w:bottom w:w="28" w:type="dxa"/>
          <w:right w:w="0" w:type="dxa"/>
        </w:tblCellMar>
      </w:tblPr>
      <w:tblGrid>
        <w:gridCol w:w="4940"/>
        <w:gridCol w:w="60"/>
        <w:gridCol w:w="815"/>
      </w:tblGrid>
      <w:tr>
        <w:trPr/>
        <w:tc>
          <w:tcPr>
            <w:tcW w:w="4940" w:type="dxa"/>
            <w:tcBorders>
              <w:bottom w:val="single" w:sz="12" w:space="0" w:color="000000"/>
            </w:tcBorders>
            <w:vAlign w:val="center"/>
          </w:tcPr>
          <w:p>
            <w:pPr>
              <w:pStyle w:val="TableContents"/>
              <w:bidi w:val="0"/>
              <w:spacing w:before="0" w:after="0"/>
              <w:jc w:val="center"/>
              <w:rPr>
                <w:b/>
              </w:rPr>
            </w:pPr>
            <w:r>
              <w:rPr>
                <w:b/>
              </w:rPr>
              <w:t>Term</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0"/>
              <w:jc w:val="center"/>
              <w:rPr>
                <w:b/>
              </w:rPr>
            </w:pPr>
            <w:r>
              <w:rPr>
                <w:b/>
              </w:rPr>
              <w:t>Defined</w:t>
              <w:br/>
              <w:t>in</w:t>
              <w:br/>
              <w:t>Section</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Agent Members”</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2.17</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Authenticating Agent”</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7.12</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Authorized Officers”</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12.02</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Covenant Defeasance”</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9.02</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Designated Currency”</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2.21</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Event of Default”</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6.01</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Exchange Rate”</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6.01</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Instructions”</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12.02</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Legal Defeasance”</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9.02</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Mandatory Sinking Fund Payment”</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11.01</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Optional Sinking Fund Payment”</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11.01</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Paying Agent”</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2.05</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Registrar”</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2.05</w:t>
            </w:r>
          </w:p>
        </w:tc>
      </w:tr>
      <w:tr>
        <w:trPr/>
        <w:tc>
          <w:tcPr>
            <w:tcW w:w="4940" w:type="dxa"/>
            <w:tcBorders/>
            <w:tcMar>
              <w:bottom w:w="0" w:type="dxa"/>
            </w:tcMar>
            <w:vAlign w:val="center"/>
          </w:tcPr>
          <w:p>
            <w:pPr>
              <w:pStyle w:val="TableContents"/>
              <w:bidi w:val="0"/>
              <w:spacing w:before="0" w:after="0"/>
              <w:ind w:left="0" w:right="1440" w:hanging="0"/>
              <w:jc w:val="left"/>
              <w:rPr/>
            </w:pPr>
            <w:r>
              <w:rPr/>
              <w:t>“</w:t>
            </w:r>
            <w:r>
              <w:rPr/>
              <w:t>Successor Company”</w:t>
            </w:r>
          </w:p>
        </w:tc>
        <w:tc>
          <w:tcPr>
            <w:tcW w:w="60" w:type="dxa"/>
            <w:tcBorders/>
            <w:tcMar>
              <w:bottom w:w="0" w:type="dxa"/>
            </w:tcMar>
            <w:vAlign w:val="center"/>
          </w:tcPr>
          <w:p>
            <w:pPr>
              <w:pStyle w:val="TableContents"/>
              <w:bidi w:val="0"/>
              <w:spacing w:before="0" w:after="283"/>
              <w:jc w:val="left"/>
              <w:rPr/>
            </w:pPr>
            <w:r>
              <w:rPr/>
              <w:t> </w:t>
            </w:r>
          </w:p>
        </w:tc>
        <w:tc>
          <w:tcPr>
            <w:tcW w:w="815" w:type="dxa"/>
            <w:tcBorders/>
            <w:tcMar>
              <w:bottom w:w="0" w:type="dxa"/>
            </w:tcMar>
            <w:vAlign w:val="center"/>
          </w:tcPr>
          <w:p>
            <w:pPr>
              <w:pStyle w:val="TableContents"/>
              <w:bidi w:val="0"/>
              <w:spacing w:before="0" w:after="0"/>
              <w:jc w:val="right"/>
              <w:rPr/>
            </w:pPr>
            <w:r>
              <w:rPr/>
              <w:t>5.01</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i/>
          <w:color w:val="000000"/>
          <w:sz w:val="20"/>
        </w:rPr>
      </w:pPr>
      <w:bookmarkStart w:id="45" w:name="z_Toc232522527"/>
      <w:bookmarkEnd w:id="45"/>
      <w:r>
        <w:rPr>
          <w:rFonts w:ascii="Times New Roman" w:hAnsi="Times New Roman"/>
          <w:i/>
          <w:color w:val="000000"/>
          <w:sz w:val="20"/>
        </w:rPr>
        <w:t>Section 1.03. Rules of Construction.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Unless the context otherwise requires: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a term has the meaning assigned to it herein, whether defined expressly or by reference;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unless otherwise specified herein, all accounting terms used herein shall be interpreted, all accounting determinations hereunder shall be made, and all financial statements required to be delivered hereunder shall be prepared in accordance with GAAP;</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“or” is not exclusive;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words in the singular include the plural, and in the plural include the singular;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(5)  “will” shall be interpreted to express a command;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(6)  words used herein implying any gender shall apply to both genders;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(7)  “herein,” “hereof,” “hereunder” and other words of similar import refer to this Indenture as a whole and not to any particular Article, Section or other subsection;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(8)  “$,” “U.S. Dollars” and “United States Dollars” each refer to United States dollars, or such other money of the United States that at the time of payment is legal tender for payment of public and private debts;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(9)  references to sections of or rules under the Securities Act will be deemed to include substitute, replacement of successor sections or rules adopted by the Commission from time to time;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(10)  references to Sections, Articles or Exhibits are references to Sections, Articles or Exhibits of or to this Indenture unless context otherwise requires;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(11)  references to the payment of principal amount of Securities shall, in the case of Original Issue Discount Securities, be read as payment of such portion of principal amount as may be specified in the terms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46" w:name="z_Toc232522528"/>
      <w:bookmarkEnd w:id="46"/>
      <w:r>
        <w:rPr>
          <w:rFonts w:ascii="Times New Roman" w:hAnsi="Times New Roman"/>
          <w:i/>
          <w:color w:val="000000"/>
          <w:sz w:val="20"/>
        </w:rPr>
        <w:t>Section 1.04. Incorporation by Reference of Trust Indenture 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rPr>
        <w:t>indenture securities” means the Securities.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rPr>
        <w:t>indenture securityholder” means a Holder.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rPr>
        <w:t>indenture to be qualified” means this Indenture.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rPr>
        <w:t>indenture trustee” or “institutional trustee” means the Trustee.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color w:val="000000"/>
        </w:rPr>
      </w:pPr>
      <w:r>
        <w:rPr>
          <w:color w:val="000000"/>
        </w:rPr>
        <w:t>“</w:t>
      </w:r>
      <w:r>
        <w:rPr>
          <w:rFonts w:ascii="Times New Roman" w:hAnsi="Times New Roman"/>
          <w:color w:val="000000"/>
          <w:sz w:val="20"/>
        </w:rPr>
        <w:t>obligor on this indenture securities” means the Company or any other obligor on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All other terms used in this Indenture (other than those defined herein) that are defined by the TIA, defined in the TIA by reference to another statute or defined by Commission rule have the meanings therein assigned to them.</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bookmarkStart w:id="47" w:name="z_Toc232522529"/>
      <w:bookmarkStart w:id="48" w:name="z_Toc98161648"/>
      <w:bookmarkStart w:id="49" w:name="z_Toc97680625"/>
      <w:bookmarkEnd w:id="47"/>
      <w:bookmarkEnd w:id="48"/>
      <w:bookmarkEnd w:id="49"/>
      <w:r>
        <w:rPr>
          <w:rFonts w:ascii="Times New Roman" w:hAnsi="Times New Roman"/>
          <w:color w:val="000000"/>
          <w:sz w:val="20"/>
        </w:rPr>
        <w:t>ARTICLE II</w:t>
        <w:br/>
        <w:t>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50" w:name="z_Toc232522530"/>
      <w:bookmarkStart w:id="51" w:name="z_Toc98161649"/>
      <w:bookmarkEnd w:id="50"/>
      <w:bookmarkEnd w:id="51"/>
      <w:r>
        <w:rPr>
          <w:rFonts w:ascii="Times New Roman" w:hAnsi="Times New Roman"/>
          <w:i/>
          <w:color w:val="000000"/>
          <w:sz w:val="20"/>
        </w:rPr>
        <w:t>Section 2.01. Terms of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Securities of each series shall be substantially in the form set forth in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The terms and provisions of the Securities shall constitute, and are expressly made, a part of this Indenture, and, to the extent applicable, the Company, any Guarantors and the Trustee, by their execution and delivery of this Indenture, expressly agree to such terms and provisions and agree to be bound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52" w:name="z_Toc232522531"/>
      <w:bookmarkEnd w:id="52"/>
      <w:r>
        <w:rPr>
          <w:rFonts w:ascii="Times New Roman" w:hAnsi="Times New Roman"/>
          <w:i/>
          <w:color w:val="000000"/>
          <w:sz w:val="20"/>
        </w:rPr>
        <w:t>Section 2.02. Amount Unlimited; Issuable in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aggregate principal amount of Securities that may be authenticated and delivered under this Indenture is unlimited. The Securities may be issued in one or more series. There shall be set forth in a Company Order or in one or more indentures supplemental hereto, at or prior to the issuance of Securities of any series: </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title of the Securities of the series (which shall distinguish the Securities of such series from the Securities of all other series, except to the extent that Additional Securities of an existing series are being issued);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2.08, 2.09, 2.12, 2.17, 3.07 or 8.04);</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if other than U.S. Dollars, the Foreign Currency in which Securities of the series shall be denominated or in which payment of the principal of, premium, if any, or interest on the Securities of the series shall be payable and any other terms concerning such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if the principal of, premium, if any, or interest on Securities of the series is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the place or places, if any, in addition to or instead of the Corporate Trust Office of the Trustee where the principal of, premium, if any, and interest on Securities of the series shall be payable, and where Securities of such series may be presented for registration of transfer, exchange or conversion, and the place or places where notices and demands to or upon the Company in respect of the Securities of such series may be made;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  the price or prices at which, the period or periods within which or the date or dates on which, and the terms and conditions upon which, Securities of the series may be redeemed, in whole or in part, at the option of the Company, if the Company is to have that option;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(j)  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  if other than denominations of $2,000 or any integral multiple of $1,000 in excess thereof, the denominations in which Securities of the series shall be issuable;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(l)  if other than the principal amount thereof, the portion of the principal amount of the Securities of the series which shall be payable upon declaration of acceleration of the maturity thereof pursuant to Section 6.02;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(m)  the guarantors, if any, of the Securities of the series, and the extent of the guarantees (including provisions relating to seniority, subordination and the release of the guarantors</w:t>
      </w:r>
      <w:bookmarkStart w:id="53" w:name="z_Hlk193913531"/>
      <w:bookmarkEnd w:id="53"/>
      <w:r>
        <w:rPr>
          <w:rFonts w:ascii="Times New Roman" w:hAnsi="Times New Roman"/>
          <w:color w:val="000000"/>
          <w:sz w:val="20"/>
        </w:rPr>
        <w:t>), if any, and any additions or changes to permit or facilitate guarantees of such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  whether the Securities of the series are to be issued as Original Issue Discount Securities and the amount of discount with which such Securities may be issued;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  any addition to or change in the provisions related to satisfaction and discharge or defeasance of Securities of the series in whole or in part;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  whether the Securities of the series are to be issued in whole or in part in the form of one or more Global Securities and, in such case, the Depositary for such Global Security or Global Securities, and any addition to or change in the terms and conditions upon which interests in such Global Security or Global Securities may be exchanged in whole or in part for Individual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(q)  the date as of which any Global Security of the series shall be dated if other than the original issuance of the first Security of the series to be issued;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(r)  the form of the Securities of the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  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  whether the Securities of such series are subject to subordination and the terms of such subordination;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  any restriction or condition on the transferability of the Securities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(v)  any addition to or change in the provisions related to compensation and reimbursement of the Trustee which applies to Securities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  any addition to or change in the provisions related to supplemental indentures set forth in Sections 8.02 and 8.07 which applies to Securities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(x)  provisions, if any, granting special rights to Holders upon the occurrence of specified events;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(y)  any addition to or change in the Events of Default which applies to Securities of the series and any change in the right of the Trustee or the requisite Holders of such Securities to declare the principal amount thereof due and payable pursuant to Section 6.02 and any addition to or change in the provisions set forth in Article VI which applies to Securities of the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54" w:name="z_Ref500692777"/>
      <w:bookmarkEnd w:id="54"/>
      <w:r>
        <w:rPr>
          <w:rFonts w:ascii="Times New Roman" w:hAnsi="Times New Roman"/>
          <w:color w:val="000000"/>
          <w:sz w:val="20"/>
        </w:rPr>
        <w:t>(z)  whether the Securities of such series will be secured by any collateral and, if so, the terms and conditions upon which such Securities shall be secured and, if applicable, upon which such liens may be subordinated to other liens securing other Indebtedness of the Company or any Guarantor;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(aa)  any addition to or change in the covenants set forth in Article IV or Article V which applies to Securities of the series;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(bb)  any other terms of the Securities of such series (which terms shall not be inconsistent with the provisions of the TIA, but may modify, amend, supplement or delete any of the terms of this Indenture with respect to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All Securities of any one series shall be substantially identical, except as to denomination and except as may otherwise be provided herein or set forth in a Company Order or in one or more indentures supplemental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55" w:name="z_Toc232522532"/>
      <w:bookmarkEnd w:id="55"/>
      <w:r>
        <w:rPr>
          <w:rFonts w:ascii="Times New Roman" w:hAnsi="Times New Roman"/>
          <w:i/>
          <w:color w:val="000000"/>
          <w:sz w:val="20"/>
        </w:rPr>
        <w:t>Section 2.03. Execution and Authentication.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Securities shall be executed on behalf of the Company by its chairman of the Board of Directors, chief executive officer, chief financial officer, controller or assistant controller, president or any vice president, any treasurer or any assistant treasurer, secretary or any assistant secretary or any other officer designated in an Officer’s Certificate. The signature of any of these officers on the Securities may be manual or electronic. Typographic and other minor defects in any electronic signature shall not affect the validity or enforceability of any Security which has been authenticated and delivered to the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If an Officer whose signature is on a Security was an Officer at the time of such execution but no longer holds that office at the time the Trustee authenticates the Security, the Security shall be valid nevertheless.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No Security shall be entitled to any benefit under this Indenture or be valid or obligatory for any purpose unless there appears on such Security a certificate of authentication substantially in the form set forth in Section 2.04(a) executed by the Trustee by manual or electronic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2.13, for all purposes of this Indenture such Security shall be deemed never to have been authenticated and delivered hereunder and shall never be entitled to the benefits of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The Securities shall be issuable only in fully registered form without coupons in denominations of $2,000 and any integral multiple of $1,000 in excess thereof, unless otherwise specified pursuant to Section 2.02 with respect to Securities of any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not previously delivered, a supplemental indenture or Company Order as contemplated by Section 2.02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In authenticating the Securities of any series for original issuance and accepting the additional responsibilities under this Indenture in relation to such Securities, the Trustee shall receive and (subject to Section 7.01) shall be fully protected in relying upon an Officer’s Certificate and an Opinion of Counsel, each prepared in accordance with Section 12.03, stating that the conditions precedent, if any, provided for in this Indenture relating to the authentication and delivery of such Securities have been complied with.</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Such Opinion of Counsel shall further state:</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56" w:name="z9971340041f24f21ba254cbdc8051e86"/>
      <w:bookmarkStart w:id="57" w:name="z9971340041f24f21ba254cbdc8051e86"/>
      <w:bookmarkEnd w:id="57"/>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left"/>
              <w:rPr/>
            </w:pPr>
            <w:r>
              <w:rPr/>
              <w:t>that the form of such Securities has been established by a supplemental indenture or by or pursuant to a Company Order in accordance with Sections 2.01 and 2.02 and in conformity with the provisions of this Indenture;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58" w:name="z858a9a79e1304a20a9cb0fb114745ba9"/>
      <w:bookmarkStart w:id="59" w:name="z858a9a79e1304a20a9cb0fb114745ba9"/>
      <w:bookmarkEnd w:id="59"/>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t>(2)</w:t>
            </w:r>
          </w:p>
        </w:tc>
        <w:tc>
          <w:tcPr>
            <w:tcW w:w="9906" w:type="dxa"/>
            <w:tcBorders/>
            <w:vAlign w:val="center"/>
          </w:tcPr>
          <w:p>
            <w:pPr>
              <w:pStyle w:val="TableContents"/>
              <w:bidi w:val="0"/>
              <w:spacing w:before="0" w:after="0"/>
              <w:jc w:val="left"/>
              <w:rPr/>
            </w:pPr>
            <w:r>
              <w:rPr/>
              <w:t>that the terms of such Securities have been established in accordance with Sections 2.01 and 2.02 and in conformity with the other provisions of this Indenture; and</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0" w:name="z109a133f87e34580a7cce1f339094985"/>
      <w:bookmarkStart w:id="61" w:name="z109a133f87e34580a7cce1f339094985"/>
      <w:bookmarkEnd w:id="61"/>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0"/>
              <w:jc w:val="left"/>
              <w:rPr/>
            </w:pPr>
            <w:r>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moratorium, fraudulent transfer and other laws of general applicability relating to or affecting the enforcement of creditors’ rights from time to time in effect and to general equity principles, including, without limitation, concepts of materiality, reasonableness, good faith and fair dealing, regardless of whether considered in a proceeding in equity or at law.</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The Trustee shall have the right to decline to authenticate and deliver the Securities under this Section 2.03 if the issue of the Securities pursuant to this Indenture will affect the Trustee’s own rights, duties or immunities under the Securities or this Indenture or otherwise in a manner which is not reasonably acceptable to the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Each Security shall be dated the date of its authentication, except as otherwise provided pursuant to Section 2.02 with respect to the Securities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  Notwithstanding the provisions of Section 2.01 and of this Section 2.03, if all of the Securities of any series are not to be originally issued at the same time, then the documents required to be delivered pursuant to this Section 2.03 must be delivered only once prior to the authentication and delivery of the first Security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62" w:name="z_Toc232522533"/>
      <w:bookmarkEnd w:id="62"/>
      <w:r>
        <w:rPr>
          <w:rFonts w:ascii="Times New Roman" w:hAnsi="Times New Roman"/>
          <w:i/>
          <w:color w:val="000000"/>
          <w:sz w:val="20"/>
        </w:rPr>
        <w:t>Section 2.04. Forms of Certificate of Authentication.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Trustee’s certificates of authentication shall be in substantially the following form:</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TRUSTEE’S CERTIFICATE OF AUTHENTICATION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is one of the Securities of the series designated therein referred to in the within-mentioned Senior Indenture.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 w:name="zc5dd45c014604e9d8b94447829d49144"/>
      <w:bookmarkStart w:id="64" w:name="zc5dd45c014604e9d8b94447829d49144"/>
      <w:bookmarkEnd w:id="64"/>
    </w:p>
    <w:tbl>
      <w:tblPr>
        <w:tblW w:w="4810" w:type="dxa"/>
        <w:jc w:val="left"/>
        <w:tblInd w:w="0" w:type="dxa"/>
        <w:tblLayout w:type="fixed"/>
        <w:tblCellMar>
          <w:top w:w="0" w:type="dxa"/>
          <w:left w:w="0" w:type="dxa"/>
          <w:bottom w:w="0" w:type="dxa"/>
          <w:right w:w="0" w:type="dxa"/>
        </w:tblCellMar>
      </w:tblPr>
      <w:tblGrid>
        <w:gridCol w:w="650"/>
        <w:gridCol w:w="3476"/>
        <w:gridCol w:w="684"/>
      </w:tblGrid>
      <w:tr>
        <w:trPr/>
        <w:tc>
          <w:tcPr>
            <w:tcW w:w="650"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0"/>
              <w:jc w:val="left"/>
              <w:rPr/>
            </w:pPr>
            <w:r>
              <w:rPr/>
              <w:t>THE BANK OF NEW YORK MELLON,</w:t>
            </w:r>
          </w:p>
        </w:tc>
      </w:tr>
      <w:tr>
        <w:trPr/>
        <w:tc>
          <w:tcPr>
            <w:tcW w:w="650"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0"/>
              <w:jc w:val="left"/>
              <w:rPr/>
            </w:pPr>
            <w:r>
              <w:rPr/>
              <w:t>as Trustee</w:t>
            </w:r>
          </w:p>
        </w:tc>
      </w:tr>
      <w:tr>
        <w:trPr/>
        <w:tc>
          <w:tcPr>
            <w:tcW w:w="650"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3476" w:type="dxa"/>
            <w:tcBorders/>
            <w:vAlign w:val="center"/>
          </w:tcPr>
          <w:p>
            <w:pPr>
              <w:pStyle w:val="TableContents"/>
              <w:bidi w:val="0"/>
              <w:spacing w:before="0" w:after="0"/>
              <w:jc w:val="left"/>
              <w:rPr/>
            </w:pPr>
            <w:r>
              <w:rPr/>
              <w:t>By:</w:t>
            </w:r>
          </w:p>
        </w:tc>
        <w:tc>
          <w:tcPr>
            <w:tcW w:w="68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0"/>
              <w:ind w:left="540" w:right="0" w:hanging="0"/>
              <w:jc w:val="left"/>
              <w:rPr/>
            </w:pPr>
            <w:r>
              <w:rPr/>
              <w:t>Authorized Signatory</w:t>
            </w:r>
          </w:p>
        </w:tc>
      </w:tr>
      <w:tr>
        <w:trPr/>
        <w:tc>
          <w:tcPr>
            <w:tcW w:w="650"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pPr>
            <w:r>
              <w:rPr/>
              <w:t>Dated:</w:t>
            </w:r>
          </w:p>
        </w:tc>
        <w:tc>
          <w:tcPr>
            <w:tcW w:w="4160" w:type="dxa"/>
            <w:gridSpan w:val="2"/>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TRUSTEE’S CERTIFICATE OF AUTHENTICATION</w:t>
      </w:r>
    </w:p>
    <w:p>
      <w:pPr>
        <w:pStyle w:val="TextBody"/>
        <w:bidi w:val="0"/>
        <w:spacing w:before="0" w:after="0"/>
        <w:jc w:val="center"/>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is one of the Securities of the series designated therein referred to in the within-mentioned Senior Indenture.</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5" w:name="z8f2627fa0da443a8a8de7d91ab88b004"/>
      <w:bookmarkStart w:id="66" w:name="z8f2627fa0da443a8a8de7d91ab88b004"/>
      <w:bookmarkEnd w:id="66"/>
    </w:p>
    <w:tbl>
      <w:tblPr>
        <w:tblW w:w="5415" w:type="dxa"/>
        <w:jc w:val="left"/>
        <w:tblInd w:w="0" w:type="dxa"/>
        <w:tblLayout w:type="fixed"/>
        <w:tblCellMar>
          <w:top w:w="0" w:type="dxa"/>
          <w:left w:w="0" w:type="dxa"/>
          <w:bottom w:w="0" w:type="dxa"/>
          <w:right w:w="0" w:type="dxa"/>
        </w:tblCellMar>
      </w:tblPr>
      <w:tblGrid>
        <w:gridCol w:w="650"/>
        <w:gridCol w:w="365"/>
        <w:gridCol w:w="4400"/>
      </w:tblGrid>
      <w:tr>
        <w:trPr/>
        <w:tc>
          <w:tcPr>
            <w:tcW w:w="650" w:type="dxa"/>
            <w:tcBorders/>
            <w:vAlign w:val="center"/>
          </w:tcPr>
          <w:p>
            <w:pPr>
              <w:pStyle w:val="TableContents"/>
              <w:bidi w:val="0"/>
              <w:spacing w:before="0" w:after="283"/>
              <w:jc w:val="left"/>
              <w:rPr/>
            </w:pPr>
            <w:r>
              <w:rPr/>
              <w:t> </w:t>
            </w:r>
          </w:p>
        </w:tc>
        <w:tc>
          <w:tcPr>
            <w:tcW w:w="4765" w:type="dxa"/>
            <w:gridSpan w:val="2"/>
            <w:tcBorders/>
            <w:vAlign w:val="center"/>
          </w:tcPr>
          <w:p>
            <w:pPr>
              <w:pStyle w:val="TableContents"/>
              <w:bidi w:val="0"/>
              <w:spacing w:before="0" w:after="0"/>
              <w:jc w:val="left"/>
              <w:rPr/>
            </w:pPr>
            <w:r>
              <w:rPr/>
              <w:t>THE BANK OF NEW YORK MELLON,</w:t>
            </w:r>
          </w:p>
        </w:tc>
      </w:tr>
      <w:tr>
        <w:trPr/>
        <w:tc>
          <w:tcPr>
            <w:tcW w:w="650" w:type="dxa"/>
            <w:tcBorders/>
            <w:vAlign w:val="center"/>
          </w:tcPr>
          <w:p>
            <w:pPr>
              <w:pStyle w:val="TableContents"/>
              <w:bidi w:val="0"/>
              <w:spacing w:before="0" w:after="283"/>
              <w:jc w:val="left"/>
              <w:rPr/>
            </w:pPr>
            <w:r>
              <w:rPr/>
              <w:t> </w:t>
            </w:r>
          </w:p>
        </w:tc>
        <w:tc>
          <w:tcPr>
            <w:tcW w:w="4765" w:type="dxa"/>
            <w:gridSpan w:val="2"/>
            <w:tcBorders/>
            <w:vAlign w:val="center"/>
          </w:tcPr>
          <w:p>
            <w:pPr>
              <w:pStyle w:val="TableContents"/>
              <w:bidi w:val="0"/>
              <w:spacing w:before="0" w:after="0"/>
              <w:jc w:val="left"/>
              <w:rPr/>
            </w:pPr>
            <w:r>
              <w:rPr/>
              <w:t>as Trustee</w:t>
            </w:r>
          </w:p>
        </w:tc>
      </w:tr>
      <w:tr>
        <w:trPr/>
        <w:tc>
          <w:tcPr>
            <w:tcW w:w="650" w:type="dxa"/>
            <w:tcBorders/>
            <w:vAlign w:val="center"/>
          </w:tcPr>
          <w:p>
            <w:pPr>
              <w:pStyle w:val="TableContents"/>
              <w:bidi w:val="0"/>
              <w:spacing w:before="0" w:after="283"/>
              <w:jc w:val="left"/>
              <w:rPr/>
            </w:pPr>
            <w:r>
              <w:rPr/>
              <w:t> </w:t>
            </w:r>
          </w:p>
        </w:tc>
        <w:tc>
          <w:tcPr>
            <w:tcW w:w="4765" w:type="dxa"/>
            <w:gridSpan w:val="2"/>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4400" w:type="dxa"/>
            <w:tcBorders/>
            <w:vAlign w:val="center"/>
          </w:tcPr>
          <w:p>
            <w:pPr>
              <w:pStyle w:val="TableContents"/>
              <w:bidi w:val="0"/>
              <w:spacing w:before="0" w:after="0"/>
              <w:jc w:val="left"/>
              <w:rPr>
                <w:u w:val="single"/>
              </w:rPr>
            </w:pPr>
            <w:r>
              <w:rPr>
                <w:u w:val="single"/>
              </w:rPr>
              <w:t>[NAME OF AUTHENTICATING AGENT]</w:t>
            </w:r>
          </w:p>
        </w:tc>
      </w:tr>
      <w:tr>
        <w:trPr/>
        <w:tc>
          <w:tcPr>
            <w:tcW w:w="6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pPr>
            <w:r>
              <w:rPr/>
              <w:t>as Authenticating Agent</w:t>
            </w:r>
          </w:p>
        </w:tc>
      </w:tr>
      <w:tr>
        <w:trPr/>
        <w:tc>
          <w:tcPr>
            <w:tcW w:w="6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44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pPr>
            <w:r>
              <w:rPr/>
              <w:t>Authorized Signatory</w:t>
            </w:r>
          </w:p>
        </w:tc>
      </w:tr>
      <w:tr>
        <w:trPr/>
        <w:tc>
          <w:tcPr>
            <w:tcW w:w="6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pPr>
            <w:r>
              <w:rPr/>
              <w:t>Dated:</w:t>
            </w:r>
          </w:p>
        </w:tc>
        <w:tc>
          <w:tcPr>
            <w:tcW w:w="365"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bookmarkStart w:id="67" w:name="z_Toc232522534"/>
      <w:bookmarkStart w:id="68" w:name="z_Toc232522534"/>
      <w:bookmarkEnd w:id="68"/>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2.05. Registrar and Paying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shall maintain an office or agency where Securities may be presented for registration of transfer or for exchange (the “</w:t>
      </w:r>
      <w:r>
        <w:rPr>
          <w:rFonts w:ascii="Times New Roman" w:hAnsi="Times New Roman"/>
          <w:i/>
          <w:color w:val="000000"/>
          <w:sz w:val="20"/>
        </w:rPr>
        <w:t>Registrar</w:t>
      </w:r>
      <w:r>
        <w:rPr>
          <w:rFonts w:ascii="Times New Roman" w:hAnsi="Times New Roman"/>
          <w:color w:val="000000"/>
          <w:sz w:val="20"/>
        </w:rPr>
        <w:t>”), an office or agency where Securities may be presented for payment (the “</w:t>
      </w:r>
      <w:r>
        <w:rPr>
          <w:rFonts w:ascii="Times New Roman" w:hAnsi="Times New Roman"/>
          <w:i/>
          <w:color w:val="000000"/>
          <w:sz w:val="20"/>
        </w:rPr>
        <w:t>Paying Agent</w:t>
      </w:r>
      <w:r>
        <w:rPr>
          <w:rFonts w:ascii="Times New Roman" w:hAnsi="Times New Roman"/>
          <w:color w:val="000000"/>
          <w:sz w:val="20"/>
        </w:rPr>
        <w:t>”) and an office or agency where notices and demands to or upon the Company, if any, in respect of the Securities and this Indenture may be served. The Registrar shall keep a register of the Securities and of their transfer and exchange. The Company may have one or more additional Paying Agents. The term “Paying Agent” includes any additional Paying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shall enter into an appropriate agency agreement, which shall incorporate the provisions of the TIA, with any Agent that is not a party to this Indenture. The agreement shall implement the provisions of this Indenture that relate to such Agent. The Company shall notify the Trustee of the name and address of any such Agent. If the Company fails to maintain a Registrar or Paying Agent, or fails to give the foregoing notice, the Trustee shall act as such and shall be entitled to appropriate compensation in accordance with Section 7.06.</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initially appoints the Trustee as Registrar, Paying Agent and Agent for service of notices and demands in connection with the Securities and this Indenture, and the Corporate Trust Office of the Trustee as the office or agency of the Company for such purposes, and the Company may change the Paying Agent without prior notice to the Holders. The Company or any of its Subsidiaries may act as Paying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69" w:name="z_Toc232522535"/>
      <w:bookmarkEnd w:id="69"/>
      <w:r>
        <w:rPr>
          <w:rFonts w:ascii="Times New Roman" w:hAnsi="Times New Roman"/>
          <w:i/>
          <w:color w:val="000000"/>
          <w:sz w:val="20"/>
        </w:rPr>
        <w:t>Section 2.06. Paying Agent To Hold Money in Trust.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Each Paying Agent shall hold in trust for the benefit of the Holders or the Trustee all money held by the Paying Agent for the payment of principal of, premium, if any, or interest on the Securities (whether such money has been paid to it by the Company or any other obligor on the Securities), and the Company and the Paying Agent shall notify the Trustee of any default by the Company (or any other obligor on the Securities) in making any such payment. Money held in trust by the Paying Agent need not be segregated except as required by law and in no event shall the Paying Agent be liable for any interest on any money received by it hereunder; </w:t>
      </w:r>
      <w:r>
        <w:rPr>
          <w:rFonts w:ascii="Times New Roman" w:hAnsi="Times New Roman"/>
          <w:i/>
          <w:color w:val="000000"/>
          <w:sz w:val="20"/>
        </w:rPr>
        <w:t xml:space="preserve">provided </w:t>
      </w:r>
      <w:r>
        <w:rPr>
          <w:rFonts w:ascii="Times New Roman" w:hAnsi="Times New Roman"/>
          <w:color w:val="000000"/>
          <w:sz w:val="20"/>
        </w:rPr>
        <w:t>that if the Company or an Affiliate thereof acts as Paying Agent, it shall segregate the money held by it as Paying Agent and hold such money in a separate trust fund. The Company at any time may require the Paying Agent to pay all money held by it to the Trustee and account for any funds disbursed, and the Trustee may at any time during the continuance of any Event of Default specified in Section 6.01(1) or (2), upon written request to the Paying Agent, require the Paying Agent to pay forthwith all money so held by it to the Trustee and to account for any funds disbursed. Upon making such payment, the Paying Agent shall have no further liability for the money delivered to the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70" w:name="z_Toc232522536"/>
      <w:bookmarkStart w:id="71" w:name="z_Toc98161655"/>
      <w:bookmarkEnd w:id="70"/>
      <w:bookmarkEnd w:id="71"/>
      <w:r>
        <w:rPr>
          <w:rFonts w:ascii="Times New Roman" w:hAnsi="Times New Roman"/>
          <w:i/>
          <w:color w:val="000000"/>
          <w:sz w:val="20"/>
        </w:rPr>
        <w:t>Section 2.07. Holder Lists.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The Trustee shall preserve in as current a form as is reasonably practicable the most recent list available to it of the names and addresses of the Holders of each series of Securities.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w:t>
      </w:r>
      <w:r>
        <w:rPr>
          <w:rFonts w:ascii="Times New Roman" w:hAnsi="Times New Roman"/>
          <w:i/>
          <w:color w:val="000000"/>
          <w:sz w:val="20"/>
        </w:rPr>
        <w:t xml:space="preserve">provided </w:t>
      </w:r>
      <w:r>
        <w:rPr>
          <w:rFonts w:ascii="Times New Roman" w:hAnsi="Times New Roman"/>
          <w:color w:val="000000"/>
          <w:sz w:val="20"/>
        </w:rPr>
        <w:t>that, as long as the Trustee is the Registrar, no such list need be furnished.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72" w:name="z_Toc232522537"/>
      <w:bookmarkStart w:id="73" w:name="z_Toc98161656"/>
      <w:bookmarkEnd w:id="72"/>
      <w:bookmarkEnd w:id="73"/>
      <w:r>
        <w:rPr>
          <w:rFonts w:ascii="Times New Roman" w:hAnsi="Times New Roman"/>
          <w:i/>
          <w:color w:val="000000"/>
          <w:sz w:val="20"/>
        </w:rPr>
        <w:t>Section 2.08. Transfer and Exchange.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When Securities are presented to the Registrar with a request from the Holder of such Securities to register a transfer or to exchange them for an equal principal amount of Securities of other authorized denominations of the same series, the Registrar shall register the transfer as requested. Every Security presented or surrendered for registration of transfer or exchange shall be duly endorsed or be accompanied by a written instrument of transfer in form satisfactory to the Company and the Registrar, duly executed by the Holder thereof or its attorney duly authorized in writing. To permit registrations of transfers and exchanges, the Company shall issue and execute, and the Trustee shall authenticate, new Securities evidencing such transfer or exchange at the Registrar’s request. No service charge shall be made to the Holder for any registration of transfer or exchange. The Company may require from the Holder payment of a sum sufficient to cover any transfer taxes or other governmental charge that may be imposed in relation to a transfer or exchange, but this provision shall not apply to any exchange pursuant to Section 2.12, 3.07 or 8.04 (in which events the Company shall be responsible for the payment of such taxes). The Registrar shall not be required to exchange or register a transfer of any Security of any series for a period of 15 days immediately preceding the redemption of Securities of such series, except the unredeemed portion of any Security being redeemed in part.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pStyle w:val="TextBody"/>
        <w:bidi w:val="0"/>
        <w:spacing w:before="0" w:after="0"/>
        <w:ind w:left="0" w:right="0" w:firstLine="180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In case a Successor Company has executed an indenture supplemental hereto with the Trustee,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2.08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pStyle w:val="TextBody"/>
        <w:bidi w:val="0"/>
        <w:spacing w:before="0" w:after="0"/>
        <w:jc w:val="center"/>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Each Holder of a Security agrees to indemnify the Company, the Guarantors and the Trustee against any liability that may result from the transfer, exchange or assignment of such Holder’s Security in violation of any provision of this Indenture and/or applicable United States federal or state securities laws.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None of the Trustee, the Paying Agent or the Registrar shall have any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firstLine="180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74" w:name="z_Toc232522538"/>
      <w:bookmarkStart w:id="75" w:name="z_Toc98161657"/>
      <w:bookmarkEnd w:id="74"/>
      <w:bookmarkEnd w:id="75"/>
      <w:r>
        <w:rPr>
          <w:rFonts w:ascii="Times New Roman" w:hAnsi="Times New Roman"/>
          <w:i/>
          <w:color w:val="000000"/>
          <w:sz w:val="20"/>
        </w:rPr>
        <w:t>Section 2.09. Replacement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a mutilated Security of any series is surrendered to the Registrar or the Trustee, or if the Holder of a Security of any series claims that the Security has been lost, destroyed or wrongfully taken, the Company shall issue and the Trustee shall authenticate a replacement Security of such series if the Holder of such Security furnishes to the Company and the Trustee evidence reasonably acceptable to them of the ownership and the destruction, loss or theft of such Security and if the requirements of Section 8-405 of the New York Uniform Commercial Code as in effect on the date of this Indenture are met. If required by the Trustee or the Company, an indemnity bond shall be posted, sufficient in the judgment of all to protect the Company, the Trustee or any Paying Agent from any loss that any of them may suffer if such Security is replaced. The Company may charge such Holder for the Company’s reasonable out-of-pocket expenses in replacing such Security and the Trustee may charge the Company for the Trustee’s expenses (including, without limitation, attorneys’ fees and disbursements) in replacing such Security. Every replacement Security shall constitute a contractual obligation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76" w:name="z_Toc232522539"/>
      <w:bookmarkStart w:id="77" w:name="z_Toc98161658"/>
      <w:bookmarkEnd w:id="76"/>
      <w:bookmarkEnd w:id="77"/>
      <w:r>
        <w:rPr>
          <w:rFonts w:ascii="Times New Roman" w:hAnsi="Times New Roman"/>
          <w:i/>
          <w:color w:val="000000"/>
          <w:sz w:val="20"/>
        </w:rPr>
        <w:t>Section 2.10. Outstanding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Securities outstanding at any time are all Securities that have been authenticated by the Trustee except for (a) those canceled by it, (b) those delivered to it for cancellation, (c) to the extent set forth in Sections 9.02 and 9.03, on or after the date on which the conditions set forth in Section 9.02 or 9.03 have been satisfied, those Securities theretofore authenticated and delivered by the Trustee hereunder and (d) those described in this Section 2.10 as not outstanding. Subject to Section 2.11, a Security does not cease to be outstanding because the Company or one of its Affiliates holds the Security.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a Security is replaced pursuant to Section 2.09, it ceases to be outstanding unless the Trustee receives proof satisfactory to it that the replaced Security is held by a bona fide purchaser in whose hands such Security is a legal, valid and binding obligation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the Paying Agent holds, in its capacity as such, on any Maturity Date, money sufficient to pay all accrued interest and principal with respect to the Securities payable on that date and is not prohibited from paying such money to the Holders thereof pursuant to the terms of this Indenture, then on and after that date such Securities cease to be outstanding and interest on them ceases to accrue.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For each series of Original Issue Discount Securities, the principal amount of such Securities that shall be deemed to be outstanding and used to determine whether the necessary Holders have given any request, demand, authorization, direction, notice, consent or waiver shall be the amount of the principal thereof that would be due and payable as of the date of such determination upon a declaration of acceleration of the maturity thereof pursuant to Section 6.02. The principal amount of a Security denominated in a Foreign Currency that shall be deemed to be outstanding for such purposes shall be the amount calculated pursuant to Section 2.20(b).</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78" w:name="z_Toc232522540"/>
      <w:bookmarkEnd w:id="78"/>
      <w:r>
        <w:rPr>
          <w:rFonts w:ascii="Times New Roman" w:hAnsi="Times New Roman"/>
          <w:i/>
          <w:color w:val="000000"/>
          <w:sz w:val="20"/>
        </w:rPr>
        <w:t>Section 2.11. Treasury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determining whether the Holders of the required principal amount of Securities of a series have concurred in any declaration of acceleration or notice of default or direction, waiver or consent or any amendment, modification or other change to this Indenture, Securities owned by the Company or any other Affiliate of the Company shall be disregarded as though they were not outstanding, except that for the purposes of determining whether the Trustee shall be protected in relying on any such direction, waiver or consent or any amendment, modification or other change to this Indenture, only Securities as to which a Responsible Officer of the Trustee has actually received an Officer’s Certificate stating that such Securities are so owned shall be so disregarded. Securities so owned which have been pledged in good faith shall not be disregarded if the pledgee established to the satisfaction of the Trustee the pledgee’s right so to act with respect to the Securities and that the pledgee is not the Company, any other obligor on the Securities or any of their respective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79" w:name="z_Toc232522541"/>
      <w:bookmarkEnd w:id="79"/>
      <w:r>
        <w:rPr>
          <w:rFonts w:ascii="Times New Roman" w:hAnsi="Times New Roman"/>
          <w:i/>
          <w:color w:val="000000"/>
          <w:sz w:val="20"/>
        </w:rPr>
        <w:t>Section 2.12. Temporary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Until definitive Securities are prepared and ready for delivery, the Company may prepare and the Trustee shall authenticate temporary Securities. Temporary Securities shall be substantially in the form of definitive Securities but may have variations that the Company considers appropriate for temporary Securities. Any such temporary Security may be in the form of one or more Global Securities, representing all or a portion of the Securities of such series. Without unreasonable delay, the Company shall prepare and the Trustee shall authenticate definitive Securities in exchange for temporary Securities. Until such exchange, temporary Securities shall be entitled to the same rights, benefits and privileges as definitive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Upon any exchange of a portion of a temporary Global Security for a definitive Global Security or for the Individual Securities represented thereby pursuant to this Section 2.12 or Section 2.08,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80" w:name="z_Toc232522542"/>
      <w:bookmarkStart w:id="81" w:name="z_Toc98161661"/>
      <w:bookmarkEnd w:id="80"/>
      <w:bookmarkEnd w:id="81"/>
      <w:r>
        <w:rPr>
          <w:rFonts w:ascii="Times New Roman" w:hAnsi="Times New Roman"/>
          <w:i/>
          <w:color w:val="000000"/>
          <w:sz w:val="20"/>
        </w:rPr>
        <w:t>Section 2.13. Cancellation.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at any time may deliver Securities to the Trustee for cancellation along with a Company Order directing the cancellation thereof. The Registrar and the Paying Agent shall forward to the Trustee any Securities surrendered to them for registration of transfer, exchange, payment or credit against any sinking fund. The Trustee shall cancel all Securities surrendered for registration of transfer, exchange, payment, replacement or cancellation and shall deliver such canceled Securities to the Company. The Company may not reissue or resell, or issue new Securities to replace Securities that the Company has redeemed or paid, or that have been delivered to the Trustee for cancellation (other than in accordance with this Indenture).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2.14. Defaulted Interest.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If the Company defaults on a payment of interest on the Securities, it shall pay the defaulted interest, </w:t>
      </w:r>
      <w:r>
        <w:rPr>
          <w:rFonts w:ascii="Times New Roman" w:hAnsi="Times New Roman"/>
          <w:i/>
          <w:color w:val="000000"/>
          <w:sz w:val="20"/>
        </w:rPr>
        <w:t xml:space="preserve">plus </w:t>
      </w:r>
      <w:r>
        <w:rPr>
          <w:rFonts w:ascii="Times New Roman" w:hAnsi="Times New Roman"/>
          <w:color w:val="000000"/>
          <w:sz w:val="20"/>
        </w:rPr>
        <w:t>(to the extent permitted by law) any interest payable on the defaulted interest, in accordance with the terms hereof, to the Persons who are Holders on a subsequent special record date, which date shall be at least five Business Days prior to the payment date. The Company shall fix such special record date and payment date in a manner satisfactory to the Trustee. At least 10 days before such special record date, the Company shall deliver in accordance with the procedures of the Depositary to each Holder a notice that states the special record date, the payment date and the amount of defaulted interest to be paid. The Company may make payment of any defaulted interest in any other lawful manner not inconsistent with the requirements (if applicable) of any securities exchange on which the Securities may be listed and, upon such notice as may be required by such exchange, if, after written notice given by the Company to the Trustee of the proposed payment pursuant to this sentence, such manner of payment shall be deemed practicable by the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82" w:name="z_Toc232522544"/>
      <w:bookmarkEnd w:id="82"/>
      <w:r>
        <w:rPr>
          <w:rFonts w:ascii="Times New Roman" w:hAnsi="Times New Roman"/>
          <w:i/>
          <w:color w:val="000000"/>
          <w:sz w:val="20"/>
        </w:rPr>
        <w:t>Section 2.15. Identifying Number.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The Company in issuing the Securities of a series may use a “CUSIP,” “ISIN” or other similar number, and if so, such CUSIP, ISIN or other similar number shall be included in notices of redemption or exchange as a convenience to Holders; </w:t>
      </w:r>
      <w:r>
        <w:rPr>
          <w:rFonts w:ascii="Times New Roman" w:hAnsi="Times New Roman"/>
          <w:i/>
          <w:color w:val="000000"/>
          <w:sz w:val="20"/>
        </w:rPr>
        <w:t xml:space="preserve">provided </w:t>
      </w:r>
      <w:r>
        <w:rPr>
          <w:rFonts w:ascii="Times New Roman" w:hAnsi="Times New Roman"/>
          <w:color w:val="000000"/>
          <w:sz w:val="20"/>
        </w:rPr>
        <w:t>that any such notice may state that no representation is made as to the correctness or accuracy of the CUSIP, ISIN or other similar number printed in the notice or on the Securities of such series, and that reliance may be placed only on the other identification numbers printed on the Securities of such series. The Company shall promptly notify the Trustee of any such CUSIP, ISIN or other similar number used by the Company in connection with the issuance of Securities of a series and of any change in the CUSIP, ISIN or other similar number.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83" w:name="z_Toc232522545"/>
      <w:bookmarkEnd w:id="83"/>
      <w:r>
        <w:rPr>
          <w:rFonts w:ascii="Times New Roman" w:hAnsi="Times New Roman"/>
          <w:i/>
          <w:color w:val="000000"/>
          <w:sz w:val="20"/>
        </w:rPr>
        <w:t>Section 2.16. Deposit of Moneys.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Prior to 11:00 a.m., New York City time, on each Interest Payment Date and Maturity Date, the Company shall have deposited with the Paying Agent in immediately available funds money in the Currency in which such Securities are denominated sufficient to make cash payments, if any, due on such Interest Payment Date or Maturity Date, as the case may be, in a timely manner which permits the Trustee to remit payment to the Holders on such Interest Payment Date or Maturity Date, as the case may be. The principal and interest on a Global Security shall be payable to the Depositary of such Global Security or its nominee, as the case may be, as the sole registered owner and the sole Holder of the Securities represented thereby. The principal and interest on Individual Securities shall be payable, either in person or by mail, at the office of the Paying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84" w:name="z_Toc232522546"/>
      <w:bookmarkStart w:id="85" w:name="z_Toc98161665"/>
      <w:bookmarkEnd w:id="84"/>
      <w:bookmarkEnd w:id="85"/>
      <w:r>
        <w:rPr>
          <w:rFonts w:ascii="Times New Roman" w:hAnsi="Times New Roman"/>
          <w:i/>
          <w:color w:val="000000"/>
          <w:sz w:val="20"/>
        </w:rPr>
        <w:t>Section 2.17. Global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86" w:name="C112"/>
      <w:bookmarkEnd w:id="86"/>
      <w:r>
        <w:rPr>
          <w:rFonts w:ascii="Times New Roman" w:hAnsi="Times New Roman"/>
          <w:color w:val="000000"/>
          <w:sz w:val="20"/>
        </w:rPr>
        <w:t>(a)  If the Company shall establish pursuant to Section 2.02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in the name of the Depositary for such Global Security or Global Securities or the nominee of such Depositary, (iii) shall be delivered by the Trustee to such Depositary or pursuant to such Depositary’s instruction and (iv) shall bear a legend substantially to the following effect, or such other legend(s) as the Company and the Depositary may agree:</w:t>
      </w:r>
    </w:p>
    <w:p>
      <w:pPr>
        <w:pStyle w:val="TextBody"/>
        <w:bidi w:val="0"/>
        <w:spacing w:before="0" w:after="0"/>
        <w:jc w:val="left"/>
        <w:rPr>
          <w:color w:val="000000"/>
        </w:rPr>
      </w:pPr>
      <w:r>
        <w:rPr>
          <w:color w:val="000000"/>
        </w:rPr>
        <w:t> </w:t>
      </w:r>
    </w:p>
    <w:p>
      <w:pPr>
        <w:pStyle w:val="TextBody"/>
        <w:bidi w:val="0"/>
        <w:spacing w:before="0" w:after="0"/>
        <w:ind w:left="720" w:right="720" w:hanging="0"/>
        <w:jc w:val="left"/>
        <w:rPr>
          <w:color w:val="000000"/>
        </w:rPr>
      </w:pPr>
      <w:r>
        <w:rPr>
          <w:color w:val="000000"/>
        </w:rPr>
        <w:t>“</w:t>
      </w:r>
      <w:r>
        <w:rPr>
          <w:rFonts w:ascii="Times New Roman" w:hAnsi="Times New Roman"/>
          <w:color w:val="000000"/>
          <w:sz w:val="20"/>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pStyle w:val="TextBody"/>
        <w:bidi w:val="0"/>
        <w:spacing w:before="0" w:after="0"/>
        <w:jc w:val="left"/>
        <w:rPr>
          <w:color w:val="000000"/>
        </w:rPr>
      </w:pPr>
      <w:r>
        <w:rPr>
          <w:color w:val="000000"/>
        </w:rPr>
        <w:t> </w:t>
      </w:r>
    </w:p>
    <w:p>
      <w:pPr>
        <w:pStyle w:val="TextBody"/>
        <w:bidi w:val="0"/>
        <w:spacing w:before="0" w:after="0"/>
        <w:ind w:left="720" w:right="720" w:hanging="0"/>
        <w:jc w:val="left"/>
        <w:rPr>
          <w:rFonts w:ascii="Times New Roman" w:hAnsi="Times New Roman"/>
          <w:color w:val="000000"/>
          <w:sz w:val="20"/>
        </w:rPr>
      </w:pPr>
      <w:r>
        <w:rPr>
          <w:rFonts w:ascii="Times New Roman" w:hAnsi="Times New Roman"/>
          <w:color w:val="000000"/>
          <w:sz w:val="20"/>
        </w:rPr>
        <w:t>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720" w:right="720" w:hanging="0"/>
        <w:jc w:val="left"/>
        <w:rPr>
          <w:rFonts w:ascii="Times New Roman" w:hAnsi="Times New Roman"/>
          <w:color w:val="000000"/>
          <w:sz w:val="20"/>
        </w:rPr>
      </w:pPr>
      <w:r>
        <w:rPr>
          <w:rFonts w:ascii="Times New Roman" w:hAnsi="Times New Roman"/>
          <w:color w:val="000000"/>
          <w:sz w:val="20"/>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aggregate principal amount of each Global Security may from time to time be increased or decreased by adjustments made on the records of the Security Custodian, as provided in this Indenture. Any endorsements of a Global Security to reflect the amount of increase or decrease in the amount of outstanding Securities of the series represented thereby shall be made by the Security Custodian in accordance with the standing instructions and procedures existing between the Depositary and the Security Custodian.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Each Depositary designated pursuant to Section 2.02 for a Global Security in registered form must, at the time of its designation and at all times while it serves as such Depositary, be a clearing agency registered under the Exchange Act and any other applicable statute or regulation.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Members of, or direct or indirect participants in, the Depositary (“</w:t>
      </w:r>
      <w:r>
        <w:rPr>
          <w:rFonts w:ascii="Times New Roman" w:hAnsi="Times New Roman"/>
          <w:i/>
          <w:color w:val="000000"/>
          <w:sz w:val="20"/>
        </w:rPr>
        <w:t>Agent Members</w:t>
      </w:r>
      <w:r>
        <w:rPr>
          <w:rFonts w:ascii="Times New Roman" w:hAnsi="Times New Roman"/>
          <w:color w:val="000000"/>
          <w:sz w:val="20"/>
        </w:rPr>
        <w:t>”) shall have no rights under this Indenture with respect to any Global Security held on their behalf by the Depositary or by the Security Custodian under such Global Security, and the Depositary may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(which may be in electronic form) furnished by the Depositary or impair, as between the Depositary and its Agent Members, the operation of customary practices of the Depositary governing the exercise of the rights of an owner of a beneficial interest in any Global Security. The Holder of a Global Security may grant proxies and otherwise authorize any Person, including Agent Members and Persons that may hold interests through Agent Members, to take any action that a Holder is entitled to take under this Indenture or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None of the Company, any Guarantor, the Trustee, the Registrar, any Paying Agent or any agent of any of them shall have any responsibility or liability for any aspect of the records relating to or payments made on account of beneficial ownership interests in the Securities, for maintaining, supervising or reviewing any records relating to such beneficial owner interests, or for any acts or omissions of a Depositary or for any transactions between a Depositary and any beneficial owner or between or among beneficial owners. No owner of a beneficial interest in the Securities shall have any rights under this Indenture, and the Depositary or its nominee, if any, shall be deemed and treated by the Company, any Guarantor, the Trustee, the Registrar, any Paying Agent or any agent of any of them as the absolute owner and holder of such Securities for all purposes whatsoever. Notwithstanding the foregoing, nothing herein shall prevent the Company, any Guarantor, the Trustee, the Registrar, any Paying Agent or any agent of any of them from giving effect to any written certification, proxy or other authorization furnished by a Depositary, or any of its members and any other Person on whose behalf such member may act, the operation of customary practices of such Persons governing the exercise of the rights of a beneficial owner of any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Except as provided below, owners of beneficial interests in Global Securities will not be entitled to receive Individual Securities.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2.17(b) and, in each case, a successor Depositary is not appointed by the Company within 90 days of such notice, or (B) the Company executes and delivers to the Trustee and the Registrar an Officer’s Certificate stating that such Global Security shall be so exchangeable.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In connection with the exchange of an entire Global Security for Individual Securities pursuant to this subsection (e), such Global Security shall be deemed to be surrendered to the Trustee for cancellation, and the Company shall execute, and the Trustee, upon receipt of a Company Order for the authentication and delivery of Individual Securities of such series, shall authenticate and deliver, to each beneficial owner identified by the Depositary in writing in exchange for its beneficial interest in such Global Security, an equal aggregate principal amount of Individual Securities of authorized denominations.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(A)  the Security Custodian and Registrar shall notify the Company and the Trustee of such instructions, identifying the owner and amount of such beneficial interest in such Global Security;</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(B)  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(C)  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6.07, the right of any beneficial Holder of Securities to pursue such remedy with respect to the portion of the Global Security that represents such beneficial Holder’s Securities as if such Individual Securities had been issued.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If specified by the Company pursuant to Section 2.02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(A)  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(B)  to such Depositary a new Global Security in a denomination equal to the difference, if any, between the principal amount of the surrendered Global Security and the aggregate principal amount of Individual Securities delivered to Holders thereof.</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In any exchange provided for in clauses (1) through (3), the Company will execute and the Trustee will authenticate and deliver Individual Securities in registered form in authorized denominations.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(5)  Upon the exchange in full of a Global Security for Individual Securities, such Global Security shall be canceled by the Trustee. Individual Securities issued in exchange for a Global Security pursuant to this Section 2.17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  In the event that Individual Securities of a series are issued in exchange for beneficial interests in Global Securities of such series in accordance with this Section 2.17, on or after such event when Individual Securities of such series are presented by a Holder to the Registrar with a request: (x) to register the transfer of such Individual Securities to a person who shall take delivery thereof in the form of Individual Securities only; or (y) to exchange such Individual Securities for an equal principal amount of Individual Securities of such series of other authorized denominations, the Registrar shall register the transfer or make the exchange as requested if the requirements for such transaction under this Indenture are satisfied;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Individual Securities presented or surrendered for register of transfer or exchange shall be duly endorsed or accompanied by an assignment form and, if applicable, a transfer certificate, each in the form included in the supplemental indenture or Company Order authorizing the applicable Securities, and in each case in a form satisfactory to the Registrar duly executed by the Holder thereof or its attorney duly authorized in writing.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(g)  In the event that Individual Securities of a series are issued in exchange for beneficial interests in Global Securities of such series and, thereafter, the events or conditions specified in Section 2.17(e)(1) or (2) which required such exchange shall cease to exist, the Company shall send notice to the Trustee and to the Holders of Securities of such series stating that such Holders may exchange Individual Securities of such series for interests in Global Securities of such series by complying with the procedures set forth in this Indenture and briefly describing such procedures and the events or circumstances requiring that such notice be given.  Thereafter, if Individual Securities of such series are presented by a Holder to the Registrar with a request: (x) to register the transfer of such Individual Securities to a person who shall take delivery thereof in the form of a beneficial interest in a Global Security of such series; or (y) to exchange such Individual Securities for an equal principal amount of beneficial interests in a Global Security of such series, which beneficial interests shall be owned by the Holder transferring such Individual Securities, the Registrar shall register the transfer or make the exchange as requested by canceling such Individual Security and causing, or directing the Security Custodian to cause, the aggregate principal amount of the applicable Global Security to be increased accordingly and, if no such Global Security is then-outstanding, the Company shall issue and the Trustee shall authenticate and deliver a new Global Security of such series in accordance with Section 2.03;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Individual Securities presented or surrendered for registration of transfer or exchange shall be duly endorsed and accompanied by an assignment form and, if applicable, a transfer certificate, each in the form included in the supplemental indenture or Company Order authorizing the applicable Securities, and in each case in a form satisfactory to the Registrar duly executed by the Holder thereof or its attorney duly authorized in writing.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Nothing in this Indenture or in the Securities shall prohibit the sale or other transfer of any Securities (including beneficial interests in Global Securities) to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 xml:space="preserve">Section 2.18.   </w:t>
      </w:r>
      <w:bookmarkStart w:id="87" w:name="z_Ref500692803"/>
      <w:bookmarkStart w:id="88" w:name="z_Toc232522547"/>
      <w:bookmarkStart w:id="89" w:name="z_Toc98161666"/>
      <w:bookmarkEnd w:id="87"/>
      <w:bookmarkEnd w:id="88"/>
      <w:bookmarkEnd w:id="89"/>
      <w:r>
        <w:rPr>
          <w:rFonts w:ascii="Times New Roman" w:hAnsi="Times New Roman"/>
          <w:i/>
          <w:color w:val="000000"/>
          <w:sz w:val="20"/>
        </w:rPr>
        <w:t>Issuance of Additional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90" w:name="z_Toc506832000"/>
      <w:bookmarkEnd w:id="90"/>
      <w:r>
        <w:rPr>
          <w:rFonts w:ascii="Times New Roman" w:hAnsi="Times New Roman"/>
          <w:color w:val="000000"/>
          <w:sz w:val="20"/>
        </w:rPr>
        <w:t>(a)  After the initial issue date of a series of Securities, the Company shall be entitled to issue Additional Securities of such series, which Additional Securities shall have identical terms as the Initial Securities of such series, other than with respect to the date of issuance and the amount of the issue price. All the Securities of a series issued under this Indenture shall be treated as a single class for all purposes of this Indenture, including waivers, amendments, redemptions and offers to purchase with respect to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91" w:name="z_Ref500692805"/>
      <w:bookmarkEnd w:id="91"/>
      <w:r>
        <w:rPr>
          <w:rFonts w:ascii="Times New Roman" w:hAnsi="Times New Roman"/>
          <w:color w:val="000000"/>
          <w:sz w:val="20"/>
        </w:rPr>
        <w:t>(b)   With respect to any Additional Securities of a series, the Company shall set forth in a Company Order, which shall be delivered to the Trustee, the following information: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bookmarkStart w:id="92" w:name="z_Ref500692806"/>
      <w:bookmarkEnd w:id="92"/>
      <w:r>
        <w:rPr>
          <w:rFonts w:ascii="Times New Roman" w:hAnsi="Times New Roman"/>
          <w:color w:val="000000"/>
          <w:sz w:val="20"/>
        </w:rPr>
        <w:t>(i)           the aggregate principal amount of such Additional Securities to be authenticated and delivered pursuant to this Indenture;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bookmarkStart w:id="93" w:name="z_Ref500692807"/>
      <w:bookmarkEnd w:id="93"/>
      <w:r>
        <w:rPr>
          <w:rFonts w:ascii="Times New Roman" w:hAnsi="Times New Roman"/>
          <w:color w:val="000000"/>
          <w:sz w:val="20"/>
        </w:rPr>
        <w:t xml:space="preserve">(ii)          the issue price, the issue date and the CUSIP, ISIN or other identifying number of such Additional Securities;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 Additional Securities of a series may be issued at a price that would cause such Additional Securities to not be fungible for U.S. federal income tax purposes with any other Securities of such series issued under this Indenture, unless such Securities bear a separate CUSIP, ISIN or other identifying number.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2.19. Computation of Interest.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Interest on the Securities shall be computed in accordance with the terms of the Securities of a series as specified pursuant to Section 2.02.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2.20.  </w:t>
      </w:r>
      <w:bookmarkStart w:id="94" w:name="z_Toc232522549"/>
      <w:bookmarkEnd w:id="94"/>
      <w:r>
        <w:rPr>
          <w:rFonts w:ascii="Times New Roman" w:hAnsi="Times New Roman"/>
          <w:i/>
          <w:color w:val="000000"/>
          <w:sz w:val="20"/>
        </w:rPr>
        <w:t>Currency of Payments in Respect of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Except as otherwise specified pursuant to Section 2.02 for any series of Securities, payment of the principal of and premium, if any, and interest on Securities of such series will be made in U.S. Dollars.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For purposes of any provision of this Indenture where the Holders of outstanding Securities may perform an action that requires that a specified percentage of the Securities of all series perform such action and for purposes of any decision or determination by the Trustee of amounts due and unpaid for the principal of and premium, if any, and interest on the outstanding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2.02 for Securities of such series, as of the date for determining whether the Holders entitled to perform such action have performed it or as of the date of such decision or determination by the Trustee, as the case may be.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Any decision or determination to be made regarding exchange rates shall be made by an agent appointed by the Company; </w:t>
      </w:r>
      <w:r>
        <w:rPr>
          <w:rFonts w:ascii="Times New Roman" w:hAnsi="Times New Roman"/>
          <w:i/>
          <w:color w:val="000000"/>
          <w:sz w:val="20"/>
        </w:rPr>
        <w:t>provided</w:t>
      </w:r>
      <w:r>
        <w:rPr>
          <w:rFonts w:ascii="Times New Roman" w:hAnsi="Times New Roman"/>
          <w:color w:val="000000"/>
          <w:sz w:val="20"/>
        </w:rPr>
        <w:t xml:space="preserve"> that such agent shall accept such appointment in writing and the terms of such appointment shall, in the opinion of the Company at the time of such appointment, require such agent to make such determination by a method consistent with the method provided pursuant to Section 2.02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2.21.  </w:t>
      </w:r>
      <w:bookmarkStart w:id="95" w:name="z_Toc232522550"/>
      <w:bookmarkEnd w:id="95"/>
      <w:r>
        <w:rPr>
          <w:rFonts w:ascii="Times New Roman" w:hAnsi="Times New Roman"/>
          <w:i/>
          <w:color w:val="000000"/>
          <w:sz w:val="20"/>
        </w:rPr>
        <w:t>Judgments.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may provide pursuant to Section 2.02 for Securities of any series that (a) the obligation, if any, of the Company to pay the principal of, premium, if any, and interest on the Securities of any series in a Foreign Currency or U.S. Dollars (the “</w:t>
      </w:r>
      <w:r>
        <w:rPr>
          <w:rFonts w:ascii="Times New Roman" w:hAnsi="Times New Roman"/>
          <w:i/>
          <w:color w:val="000000"/>
          <w:sz w:val="20"/>
        </w:rPr>
        <w:t>Designated Currency</w:t>
      </w:r>
      <w:r>
        <w:rPr>
          <w:rFonts w:ascii="Times New Roman" w:hAnsi="Times New Roman"/>
          <w:color w:val="000000"/>
          <w:sz w:val="20"/>
        </w:rPr>
        <w:t>”) as may be specified pursuant to Section 2.02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bookmarkStart w:id="96" w:name="z_Toc232522551"/>
      <w:bookmarkStart w:id="97" w:name="z_Toc98161670"/>
      <w:bookmarkStart w:id="98" w:name="z_Toc97680647"/>
      <w:bookmarkEnd w:id="96"/>
      <w:bookmarkEnd w:id="97"/>
      <w:bookmarkEnd w:id="98"/>
      <w:r>
        <w:rPr>
          <w:rFonts w:ascii="Times New Roman" w:hAnsi="Times New Roman"/>
          <w:color w:val="000000"/>
          <w:sz w:val="20"/>
        </w:rPr>
        <w:t>ARTICLE III</w:t>
        <w:br/>
        <w:t>REDEMPTION AND PREPAYMENT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99" w:name="z_Toc232522552"/>
      <w:bookmarkStart w:id="100" w:name="z_Toc98161671"/>
      <w:bookmarkEnd w:id="99"/>
      <w:bookmarkEnd w:id="100"/>
      <w:r>
        <w:rPr>
          <w:rFonts w:ascii="Times New Roman" w:hAnsi="Times New Roman"/>
          <w:i/>
          <w:color w:val="000000"/>
          <w:sz w:val="20"/>
        </w:rPr>
        <w:t>Section 3.01. Applicability of Right of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Except as otherwise provided as contemplated by Section 2.02 with respect to any series of Securities, redemption of Securities (other than pursuant to a sinking fund, amortization or analogous provision) permitted by the terms of any series of Securities shall be made in accordance with this Article III.</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01" w:name="z_Toc232522553"/>
      <w:bookmarkStart w:id="102" w:name="z_Toc98161672"/>
      <w:bookmarkEnd w:id="101"/>
      <w:bookmarkEnd w:id="102"/>
      <w:r>
        <w:rPr>
          <w:rFonts w:ascii="Times New Roman" w:hAnsi="Times New Roman"/>
          <w:i/>
          <w:color w:val="000000"/>
          <w:sz w:val="20"/>
        </w:rPr>
        <w:t>Section 3.02. Election To Redeem; Notices to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the Company elects to redeem any Securities pursuant to this Article III, at least 10 days prior to the Redemption Date (unless a shorter notice shall be agreed to in writing by the Trustee) but not more than 60 days before the Redemption Date, the Company shall notify the Trustee in writing of the series of Securities to be redeemed, the Redemption Date and the principal amount of such Securities to be redeemed and the Redemption Price (or, if not then ascertainable, the manner of calculation thereof), and deliver to the Trustee, no later than two Business Days prior to the Redemption Date, an Officer’s Certificate stating that such redemption will comply with the conditions contained this Article III. Notice given to the Trustee pursuant to this Section 3.02 may, at the Company’s discretion, be subject to the satisfaction or waiver of one or more conditions precedent. Failure to give such notice, or any defect in such notice, shall not affect the sufficiency of any notice of redemption sent to the Holder of any Security of such series.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3.03. Selection by Trustee of Securities To Be Redeemed.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If the Company elects to redeem less than all of the Securities of any series at any time, in the case of Securities issued in definitive form, the Trustee will select Securities of such series by lot on a </w:t>
      </w:r>
      <w:r>
        <w:rPr>
          <w:rFonts w:ascii="Times New Roman" w:hAnsi="Times New Roman"/>
          <w:i/>
          <w:color w:val="000000"/>
          <w:sz w:val="20"/>
        </w:rPr>
        <w:t xml:space="preserve">pro rata </w:t>
      </w:r>
      <w:r>
        <w:rPr>
          <w:rFonts w:ascii="Times New Roman" w:hAnsi="Times New Roman"/>
          <w:color w:val="000000"/>
          <w:sz w:val="20"/>
        </w:rPr>
        <w:t>basis (or, in the case of Global Securities, the Securities will be selected in accordance with the applicable procedures of the relevant Depositary) unless an alternative method of selection is otherwise required by law or applicable stock exchange or Depositary requirements.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Trustee shall promptly notify the Company of the Securities selected for redemption and, in the case of any partial redemption, the principal amount thereof to be redeemed.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will redeem Securities of $2,000 or less in whole and not in part. For all purposes of this Indenture, unless the context otherwise requires, provisions of this Indenture that apply to Securities called for redemption also apply to portions of Securities called for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03" w:name="z_Toc232522555"/>
      <w:bookmarkEnd w:id="103"/>
      <w:r>
        <w:rPr>
          <w:rFonts w:ascii="Times New Roman" w:hAnsi="Times New Roman"/>
          <w:i/>
          <w:color w:val="000000"/>
          <w:sz w:val="20"/>
        </w:rPr>
        <w:t>Section 3.04. Notice of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will cause notices of redemption to be sent by electronic transmission or by first-class mail at least 10 but not more than 60 days before the Redemption Date to each Holder of Securities of the series to be redeemed at its registered address or otherwise in accordance with the applicable procedures of the Depositary. The Company may provide in the notice that payment of the Redemption Price and performance of the Company’s obligations with respect to the redemption or purchase may be performed by another Person. Any notice may, at the Company’s discretion, be subject to the satisfaction or waiver of one or more conditions precedent.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notice shall identify the Securities to be redeemed (including the series and the CUSIP, ISIN or other identifying numbers thereof) and shall state: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the Redemption Date;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the Redemption Price (or, if not then ascertainable, the manner of calculation thereof);</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if fewer than all outstanding Securities of a series are to be redeemed, the portion of the principal amount of such Security to be redeemed and that, after the Redemption Date and upon surrender of such Security, a new Security or Securities of the applicable series in principal amount equal to the unredeemed portion will be issued;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the name and address of the Paying Agent;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(5)  that Securities called for redemption must be surrendered to the Paying Agent to collect the Redemption Price;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(6)  that unless the Company defaults in the payment of the applicable Redemption Price, interest on Securities called for redemption ceases to accrue on and after the Redemption Date;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(7)  if such notice is conditioned upon the occurrence of one or more conditions precedent, the nature of such conditions precedent;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(8)  the aggregate principal amount of Securities of such series that are being redeemed;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(9)  that the redemption is for a sinking fund, if such is the case;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(10)  the paragraph of the Securities and/or Section of this Indenture pursuant to which the Securities called for redemption are being redeemed;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(11)  that no representation is made as to the correctness or accuracy of the CUSIP, ISIN or other identifying number, if any, listed in such notice or printed on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At the Company’s written request made at least five Business Days prior to the date on which notice is to be given, the Trustee shall give the notice of redemption in the Company’s name and at the Company’s sole expense.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the Redemption Price is not ascertainable on the date on which the notice of redemption is delivered, the Company shall send to the Trustee, at least one Business Day prior to the Redemption Date, the Redemption Price.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04" w:name="z_Toc232522556"/>
      <w:bookmarkEnd w:id="104"/>
      <w:r>
        <w:rPr>
          <w:rFonts w:ascii="Times New Roman" w:hAnsi="Times New Roman"/>
          <w:i/>
          <w:color w:val="000000"/>
          <w:sz w:val="20"/>
        </w:rPr>
        <w:t>Section 3.05. Effect of Notice of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Once the notice of redemption described in Section 3.04 is delivered, except as provided in the last sentence of the first paragraph of Section 3.04, Securities called for redemption become irrevocably due and payable on the Redemption Date and at the Redemption Price, including any premium, plus accrued and unpaid interest thereon, if any, to, but excluding, the Redemption Date. Upon surrender to the Paying Agent, such Securities shall be paid at the Redemption Price, including any premium, plus accrued and unpaid interest thereon, if any, to, but excluding, the Redemption Date; </w:t>
      </w:r>
      <w:r>
        <w:rPr>
          <w:rFonts w:ascii="Times New Roman" w:hAnsi="Times New Roman"/>
          <w:i/>
          <w:color w:val="000000"/>
          <w:sz w:val="20"/>
        </w:rPr>
        <w:t xml:space="preserve">provided </w:t>
      </w:r>
      <w:r>
        <w:rPr>
          <w:rFonts w:ascii="Times New Roman" w:hAnsi="Times New Roman"/>
          <w:color w:val="000000"/>
          <w:sz w:val="20"/>
        </w:rPr>
        <w:t>that (a) if the Redemption Date is on or after a regular record date and on or before the related Interest Payment Date, the accrued and unpaid interest thereon, if any, shall be paid to the Holder in whose name the Security is registered at the close of business on such regular record date, and no additional interest will be payable to Holders whose Securities are subject to redemption by the Company; and (b) if a Redemption Date is not a Business Day, payment shall be made on the next succeeding Business Day and no interest shall accrue for the period from such Redemption Date to such succeeding Business Day. Such notice, if delivered in the manner provided in Section 3.04, shall be conclusively presumed to have been given whether or not the Holder receives such notice. Failure to give notice, or any defect in such notice to the Holder of any Security of a series designated for redemption, in whole or in part, shall not affect the sufficiency of any notice of redemption with respect to the Holder of any other Security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05" w:name="z_Toc232522557"/>
      <w:bookmarkEnd w:id="105"/>
      <w:r>
        <w:rPr>
          <w:rFonts w:ascii="Times New Roman" w:hAnsi="Times New Roman"/>
          <w:i/>
          <w:color w:val="000000"/>
          <w:sz w:val="20"/>
        </w:rPr>
        <w:t>Section 3.06. Deposit of Redemption Price.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or prior to 11:00 A.M., New York City time, on each Redemption Date, the Company shall deposit with the Paying Agent in immediately available funds money in the Currency in which such Securities are denominated (except as provided pursuant to Section 2.02) sufficient to pay the Redemption Price of, including premium, if any, and accrued and unpaid interest, if any, on all Securities to be redeemed on that date other than Securities or portions thereof called for redemption on that date which have been delivered by the Company to the Trustee for cancellation.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and after any Redemption Date, if money sufficient to pay the Redemption Price of, including premium, if any, and accrued and unpaid interest, if any, on Securities called for redemption shall have been made available in accordance with the immediately preceding paragraph, the Securities called for redemption will cease to accrue interest and the only right of the Holders of such Securities will be to receive payment of the Redemption Price of and, subject to Section 3.05, accrued and unpaid interest on such Securities to, but excluding, the Redemption Date. If any Security surrendered for redemption shall not be so paid because of the failure of the Company to comply with the preceding paragraph, interest will be paid, from the Redemption Date until such redemption payment is made, on the unpaid principal of the Security and any interest not paid on such unpaid principal, in each case at the rate and in the manner provided in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06" w:name="z_Toc232522558"/>
      <w:bookmarkStart w:id="107" w:name="z_Toc98161677"/>
      <w:bookmarkEnd w:id="106"/>
      <w:bookmarkEnd w:id="107"/>
      <w:r>
        <w:rPr>
          <w:rFonts w:ascii="Times New Roman" w:hAnsi="Times New Roman"/>
          <w:i/>
          <w:color w:val="000000"/>
          <w:sz w:val="20"/>
        </w:rPr>
        <w:t>Section 3.07. Securities Redeemed in Part.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any Security is to be redeemed in part only, the notice of redemption that relates to that Security will state the portion of the principal amount thereof that is to be redeemed. The Company will issue a new Security of the applicable series in a principal amount equal to the unredeemed portion of the original Security in the name of the Holder upon cancellation of the original Security; except that if a Global Security is so redeemed, the balance of such Global Security shall be reduced in accordance with Section 2.17. Securities called for redemption become due on the date fixed for redemption. Unless the Company defaults in payment of the Redemption Price, interest will cease to accrue on the Securities or portions thereof called for such redemption on the Redemption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IV</w:t>
        <w:br/>
        <w:t>COVENANTS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08" w:name="z_Toc232522560"/>
      <w:bookmarkEnd w:id="108"/>
      <w:r>
        <w:rPr>
          <w:rFonts w:ascii="Times New Roman" w:hAnsi="Times New Roman"/>
          <w:i/>
          <w:color w:val="000000"/>
          <w:sz w:val="20"/>
        </w:rPr>
        <w:t>Section 4.01. Payment of Principal, Premium and Interest.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covenants and agrees that it will duly and punctually pay the principal of (and premium, if any) and interest on the Securities in accordance with the terms of the Securities and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09" w:name="z_Toc232522561"/>
      <w:bookmarkEnd w:id="109"/>
      <w:r>
        <w:rPr>
          <w:rFonts w:ascii="Times New Roman" w:hAnsi="Times New Roman"/>
          <w:i/>
          <w:color w:val="000000"/>
          <w:sz w:val="20"/>
        </w:rPr>
        <w:t>Section 4.02. Maintenance of Office or Agency.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will maintain in each Place of Payment for Securities an office or agency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The Company may also from time to time designate one or more other offices or agencies where the Securities may be presented or surrendered for any or all such purposes and may from time to time rescind such designations;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 such designation or rescission shall in any manner relieve the Company of its obligation to maintain an office or agency in each Place of Payment for Securities for such purposes. The Company will give prompt written notice to the Trustee of any such designation or rescission and of any change in the location of any such other office or agency.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10" w:name="z_Toc232522562"/>
      <w:bookmarkEnd w:id="110"/>
      <w:r>
        <w:rPr>
          <w:rFonts w:ascii="Times New Roman" w:hAnsi="Times New Roman"/>
          <w:i/>
          <w:color w:val="000000"/>
          <w:sz w:val="20"/>
        </w:rPr>
        <w:t>Section 4.03. Reports to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Notwithstanding that the Company may not be subject to the reporting requirements of Section 13 or 15(d) of the Exchange Act, the Company will file with the Commission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(1) the Company will not be required to provide the Trustee with any such information, documents and reports that are filed with the Commission and (2) the Company will not be so obligated to file such information, documents and reports with the Commission if the Commission does not permit such filings; </w:t>
      </w:r>
      <w:r>
        <w:rPr>
          <w:rFonts w:ascii="Times New Roman" w:hAnsi="Times New Roman"/>
          <w:i/>
          <w:color w:val="000000"/>
          <w:sz w:val="20"/>
        </w:rPr>
        <w:t>provided further</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the Commission does not permit such filings, the Company will be required to provide to Holders any such information, documents or reports that are not so filed. The Company will also comply with the other provisions of TIA § 314(a), including the provision of the compliance certificate under TIA § 314(a)(4), which compliance certificate shall be delivered to the Trustee, commencing with the first fiscal year in which Securities are offered pursuant to this Indenture. 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rely exclusively on Officer’s Certificates).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Notwithstanding anything herein to the contrary, in the event that the Company fails to comply with its obligation to file or provide such information, documents and reports as required hereunder, the Company will be deemed to have cured such Default for purposes of Section 6.01(4) upon the filing or provision of all such information, documents and reports required hereunder prior to the expiration of 120 days after written notice to the Company of such failure from the Trustee or the Holders of at least 25% of the principal amount of the applicable series of Securities.</w:t>
      </w:r>
    </w:p>
    <w:p>
      <w:pPr>
        <w:pStyle w:val="TextBody"/>
        <w:bidi w:val="0"/>
        <w:spacing w:before="0" w:after="0"/>
        <w:jc w:val="left"/>
        <w:rPr>
          <w:color w:val="000000"/>
        </w:rPr>
      </w:pPr>
      <w:r>
        <w:rPr>
          <w:color w:val="000000"/>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(c)  Notwithstanding anything herein to the contrary, the information, documents and reports required pursuant to this Indenture may, at the option of the Company, instead be those of any direct or indirect parent entity of the Company so long as such parent entity fully and unconditionally guarantees, by execution of this Indenture or a supplemental indenture, the obligations of the Company in respect of the Securities and such parent entity and the Company comply with the requirements of Rule 3-10 and Rule 13-01 of Regulation S-X promulgated by the Commission (or any successor provisions).</w:t>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4.04. Additional Guarantees.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Except as otherwise provided as contemplated by Section 2.02 with respect to any series of Securities, if any Subsidiary of the Company (other than a Receivables Entity) that was not a Guarantor at the time of the execution of this Indenture becomes a guarantor or an obligor in respect of any Triggering Indebtedness, within 10 Business Days of such event, the Company shall cause such Subsidiary to enter into a supplemental indenture pursuant to which such Subsidiary shall agree to Guarantee the Company’s Indenture Obligations, fully and unconditionally and on a senior basis; </w:t>
      </w:r>
      <w:r>
        <w:rPr>
          <w:rFonts w:ascii="Times New Roman" w:hAnsi="Times New Roman"/>
          <w:i/>
          <w:color w:val="000000"/>
          <w:sz w:val="20"/>
        </w:rPr>
        <w:t>provided</w:t>
      </w:r>
      <w:r>
        <w:rPr>
          <w:rFonts w:ascii="Times New Roman" w:hAnsi="Times New Roman"/>
          <w:color w:val="000000"/>
          <w:sz w:val="20"/>
        </w:rPr>
        <w:t xml:space="preserve"> that in no event shall a Subsidiary of the Company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Notwithstanding the foregoing, any Guarantee by any Guarantor shall be automatically and unconditionally terminated and released, without any action on the part of the Trustee, any Holder of the Securities or any other person in accordance with Section 10.07.</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Guarantee shall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11" w:name="z_Toc232522564"/>
      <w:bookmarkEnd w:id="111"/>
      <w:r>
        <w:rPr>
          <w:rFonts w:ascii="Times New Roman" w:hAnsi="Times New Roman"/>
          <w:i/>
          <w:color w:val="000000"/>
          <w:sz w:val="20"/>
        </w:rPr>
        <w:t>Section 4.05. Compliance Certificate.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12" w:name="z_Toc499796046"/>
      <w:bookmarkEnd w:id="112"/>
      <w:r>
        <w:rPr>
          <w:rFonts w:ascii="Times New Roman" w:hAnsi="Times New Roman"/>
          <w:color w:val="000000"/>
          <w:sz w:val="20"/>
        </w:rPr>
        <w:t>Except as otherwise provided as contemplated by Section 2.02 with respect to any series of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Company and any Guarantor shall furnish to the Trustee annually, within 120 days after the end of each fiscal year, a brief certificate from the principal executive officer, principal financial officer or principal accounting officer (or, if no such officer exists, a board member), to such person’s knowledge, of the compliance by the Company or any Guarantor, as applicable,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Sections 12.03 and 12.04 of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So long as any of the Securities are outstanding, the Company will deliver to the Trustee, forthwith upon any Officer becoming aware of any Default or Event of Default, an Officer’s Certificate specifying such Default or Event of Default and what action the Company is taking or proposes to take with respect thereto.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bookmarkStart w:id="113" w:name="z_Toc232522565"/>
      <w:bookmarkStart w:id="114" w:name="z_Toc98161684"/>
      <w:bookmarkStart w:id="115" w:name="z_Toc97680661"/>
      <w:bookmarkEnd w:id="113"/>
      <w:bookmarkEnd w:id="114"/>
      <w:bookmarkEnd w:id="115"/>
      <w:r>
        <w:rPr>
          <w:rFonts w:ascii="Times New Roman" w:hAnsi="Times New Roman"/>
          <w:color w:val="000000"/>
          <w:sz w:val="20"/>
        </w:rPr>
        <w:t>ARTICLE V</w:t>
        <w:br/>
        <w:t>SUCCESSORS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16" w:name="z_Toc232522566"/>
      <w:bookmarkStart w:id="117" w:name="z_Toc98161685"/>
      <w:bookmarkEnd w:id="116"/>
      <w:bookmarkEnd w:id="117"/>
      <w:r>
        <w:rPr>
          <w:rFonts w:ascii="Times New Roman" w:hAnsi="Times New Roman"/>
          <w:i/>
          <w:color w:val="000000"/>
          <w:sz w:val="20"/>
        </w:rPr>
        <w:t>Section 5.01. Consolidation, Merger and Sale of Assets.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18" w:name="z_Toc499796050"/>
      <w:bookmarkEnd w:id="118"/>
      <w:r>
        <w:rPr>
          <w:rFonts w:ascii="Times New Roman" w:hAnsi="Times New Roman"/>
          <w:color w:val="000000"/>
          <w:sz w:val="20"/>
        </w:rPr>
        <w:t>Except as otherwise provided as contemplated by Section 2.02 with respect to any series of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Company will not consolidate with any other entity or accept a merger of any other entity into the Company or permit the Company to be merged into another Person, or sell or lease all or substantially all the assets of the Company and its Subsidiaries to, any entity, unless: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either the Company shall be the continuing entity or the successor, transferee or lessee entity, if other than the Company (the “</w:t>
      </w:r>
      <w:r>
        <w:rPr>
          <w:rFonts w:ascii="Times New Roman" w:hAnsi="Times New Roman"/>
          <w:i/>
          <w:color w:val="000000"/>
          <w:sz w:val="20"/>
        </w:rPr>
        <w:t>Successor Company</w:t>
      </w:r>
      <w:r>
        <w:rPr>
          <w:rFonts w:ascii="Times New Roman" w:hAnsi="Times New Roman"/>
          <w:color w:val="000000"/>
          <w:sz w:val="20"/>
        </w:rPr>
        <w:t>”), shall expressly assume, by a supplemental indenture, executed and delivered to the Trustee, in form reasonably satisfactory to the Trustee, all the obligations of the Company under the Securities and this Indenture;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immediately after such transaction, no Default shall have occurred and be continuing;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the Company shall have delivered to the Trustee an Officer’s Certificate and an Opinion of Counsel, each stating that such consolidation, merger, sale or lease and such supplemental indenture (if any) comply with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For purposes of this Section 5.01, the sale, lease, conveyance, assignment, transfer or other disposition of all or substantially all of the properties and assets or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The Successor Company will be the successor to the Company and shall succeed to, and be substituted for, and may exercise every right and power of, the Company under this Indenture, and the Company, as the predecessor company, except in the case of a lease, shall be released from all obligations under this Indenture and the Securities.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bookmarkStart w:id="119" w:name="z_Toc232522567"/>
      <w:bookmarkStart w:id="120" w:name="z_Toc98161686"/>
      <w:bookmarkStart w:id="121" w:name="z_Toc97680663"/>
      <w:bookmarkEnd w:id="119"/>
      <w:bookmarkEnd w:id="120"/>
      <w:bookmarkEnd w:id="121"/>
      <w:r>
        <w:rPr>
          <w:rFonts w:ascii="Times New Roman" w:hAnsi="Times New Roman"/>
          <w:color w:val="000000"/>
          <w:sz w:val="20"/>
        </w:rPr>
        <w:t>ARTICLE VI</w:t>
        <w:br/>
        <w:t>DEFAULTS AND REMEDIES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22" w:name="z_Toc232522568"/>
      <w:bookmarkEnd w:id="122"/>
      <w:r>
        <w:rPr>
          <w:rFonts w:ascii="Times New Roman" w:hAnsi="Times New Roman"/>
          <w:i/>
          <w:color w:val="000000"/>
          <w:sz w:val="20"/>
        </w:rPr>
        <w:t>Section 6.01. Events of Default.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Except where otherwise indicated by the context, the term is otherwise defined for a specific purpose or as otherwise provided as contemplated by Section 2.02 with respect to any series of Securities, the term “</w:t>
      </w:r>
      <w:r>
        <w:rPr>
          <w:rFonts w:ascii="Times New Roman" w:hAnsi="Times New Roman"/>
          <w:i/>
          <w:color w:val="000000"/>
          <w:sz w:val="20"/>
        </w:rPr>
        <w:t>Event of Default</w:t>
      </w:r>
      <w:r>
        <w:rPr>
          <w:rFonts w:ascii="Times New Roman" w:hAnsi="Times New Roman"/>
          <w:color w:val="000000"/>
          <w:sz w:val="20"/>
        </w:rPr>
        <w:t>” as used in this Indenture with respect to the Securities of a series shall mean one of the following described events unless it is inapplicable to a particular series: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a failure to pay interest on the Securities of such series that continues for a period of 30 days after payment is due;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a failure to pay the principal or premium, if any, on the Securities of such series when due upon maturity, redemption (otherwise than pursuant to a sinking fund), acceleration or otherwise;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a failure to comply with Section 5.01;</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a failure to comply with (x) any of the Company’s and the Guarantors’ other applicable agreements contained in this Indenture and applicable to the Securities of such series (other than (i) a failure that is subject to clause (1), (2) or (3) of this Section 6.01 or (ii) a failure to comply with Section 4.03) for a period of 60 days after receipt by the Company of written notice of such failure from the Trustee (or receipt by the Company and the Trustee of written notice of such failure from the Holders of at least 25% of the principal amount of the applicable series of Securities) or (y) the requirements set forth in Section 4.03 for a period of 120 days after receipt by the Company of written notice of such failure from the Trustee (or receipt by the Company and the Trustee of written notice of such failure from the Holders of at least 25% of the principal amount of the applicable series of Securities);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(5)  one or more defaults shall have occurred under any of the agreements, indentures or instruments under which the Company or any Significant Subsidiary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(6)  one or more judgments or orders that exceed $250.0 million in the aggregate (net of amounts covered by insurance or bonded) for the payment of money have been entered by a court or courts of competent jurisdiction against the Company or any Significant Subsidiary and such judgment or judgments have not been satisfied, stayed, annulled or rescinded within 60 days after such judgment or judgments become final and nonappealable;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(7)  any Guarantee by a Significant Subsidiary of the Company’s Indenture Obligations under the Securities of such series shall for any reason cease to be, or shall for any reason be held in any judicial proceeding not to be, or asserted in writing by any Significant Subsidiary or the Company not to be, in full force and effect and enforceable in accordance with its terms, except to the extent contemplated by this Indenture and any such Guarantee by such Significant Subsidiary of the Company’s Indenture Obligations under the Securities of such series, and any such Default continues for 10 days;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(8)  the Company or any Significant Subsidiary:</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(A)  commences a voluntary insolvency proceeding;</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(B)  consents to the entry of an order for relief against it in an involuntary insolvency proceeding or consents to its dissolution or winding-up;</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(C)  consents to the appointment of a Custodian of it or for any substantial part of its property;</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(D)  makes a general assignment for the benefit of its creditors;</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(E)  generally is not paying its debts as they become due; or</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(F)  takes any comparable action under any foreign laws relating to insolvency;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liquidation of any Subsidiary of the Company into the Company or another Subsidiary of the Company, other than as part of a credit reorganization, shall not constitute an Event of Default under this Section 6.01(8);</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(9)  a court of competent jurisdiction enters an order or decree under any Bankruptcy Law that:</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(A)  is for relief against the Company or any Significant Subsidiary in an involuntary insolvency proceeding;</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(B)  appoints a Custodian of the Company or any Significant Subsidiary or for any substantial part of their property;</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(C)  orders the winding-up, liquidation or dissolution of the Company or any Significant Subsidiary;</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(D)  orders the presentation of any plan or arrangement, compromise or reorganization of the Company or any Significant Subsidiary; or</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(E)  grants any similar relief under any foreign laws;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in each such case the order or decree remains unstayed and in effect for 60 days;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(10)   the failure of the Company to pay a sinking fund installment, if any, when and as the same shall become payable by the terms of a Security of such series, which failure shall have continued unremedied for a period of 30 days;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(11)  the occurrence of any other Event of Default with respect to Securities of such series as provided in Section 2.02.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Notwithstanding the foregoing provisions of this Section 6.01, if the principal or any premium or interest on any Security is payable in a Currency other than U.S. Dollars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U.S. Dollars in an amount equal to the U.S. Dollars equivalent of the amount payable in such other Currency, as determined by the Company’s agent in accordance with Section 2.20 by reference to the noon buying rate in The City of New York for cable transfers for such Currency (“</w:t>
      </w:r>
      <w:r>
        <w:rPr>
          <w:rFonts w:ascii="Times New Roman" w:hAnsi="Times New Roman"/>
          <w:i/>
          <w:color w:val="000000"/>
          <w:sz w:val="20"/>
        </w:rPr>
        <w:t>Exchange Rate</w:t>
      </w:r>
      <w:r>
        <w:rPr>
          <w:rFonts w:ascii="Times New Roman" w:hAnsi="Times New Roman"/>
          <w:color w:val="000000"/>
          <w:sz w:val="20"/>
        </w:rPr>
        <w:t>”),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6.01, any payment made under such circumstances in U.S. Dollars where the required payment is in a Currency other than U.S. Dollars will not constitute an Event of Default under this Indenture.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6.02. Acceleration of Maturity; Rescission.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23" w:name="z_Toc499795929"/>
      <w:bookmarkEnd w:id="123"/>
      <w:r>
        <w:rPr>
          <w:rFonts w:ascii="Times New Roman" w:hAnsi="Times New Roman"/>
          <w:color w:val="000000"/>
          <w:sz w:val="20"/>
        </w:rPr>
        <w:t>Except as otherwise provided as contemplated by Section 2.02 with respect to any series of Securities, if an Event of Default with respect to the Securities of a series (other than an Event of Default specified in Sections 6.01(8) and 6.01(9) with respect to the Company) shall have occurred and be continuing, the Trustee or the Holders of at least 25% in outstanding principal amount of the Securities of such series may declare to be immediately due and payable the principal amount of all of the Securities of such series then outstanding, plus accrued but unpaid interest thereon, if any, to the date of acceleration. If an Event of Default specified in Sections 6.01(8) and 6.01(9) with respect to the Company shall occur, such amount with respect to all the Securities shall become automatically due and payable immediately without any further action or notice. However, a notice of Default or notice of continuing Event of Default (including any declaration of acceleration) with respect to the Securities of any series may not be given with respect to any action taken, and reported publicly or to Holders of the Securities of such series, more than two years prior to such notice. After any such acceleration, but before a judgment or decree based on acceleration is obtained by the applicable person, the registered Holders of a majority in principal amount of the then outstanding Securities of such series may cancel such acceleration if (i) the rescission would not conflict with any judgment or decree and (ii) if all existing Events of Default have been cured or waived except nonpayment of principal, that has become due solely because of the acceleration. No such rescission shall affect any subsequent Default or impair any right consequent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Subject to Section 7.01, in case an Event of Default shall occur and be continuing, the Trustee shall be under no obligation to exercise any of its rights or powers under this Indenture at the request or direction of any of the Holders of Securities of any series, unless such Holders have offered to the Trustee reasonable security and/or indemnity to its satisfaction. Subject to Section 7.06, the Holders of a majority in aggregate principal amount of any series of Securities then outstanding will have the right to direct the time, method and place of conducting any proceeding for any remedy available to the Trustee or exercising any trust or power the Trustee holds with respect to the Securities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24" w:name="z_Toc232522570"/>
      <w:bookmarkStart w:id="125" w:name="z_Toc98161689"/>
      <w:bookmarkEnd w:id="124"/>
      <w:bookmarkEnd w:id="125"/>
      <w:r>
        <w:rPr>
          <w:rFonts w:ascii="Times New Roman" w:hAnsi="Times New Roman"/>
          <w:i/>
          <w:color w:val="000000"/>
          <w:sz w:val="20"/>
        </w:rPr>
        <w:t>Section 6.03. Other Remedies.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an Event of Default occurs and is continuing, the Trustee may pursue any available remedy by proceeding at law or in equity to collect the payment of principal of, or premium, if any, and interest on the Securities of each applicable series or to enforce the performance of any provision of the Securities of each applicable series or this Indenture and may take any necessary action requested of it as Trustee to settle, compromise, adjust or otherwise conclude any proceedings to which it is a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Trustee may maintain a proceeding even if it does not possess any of the Securities or does not produce any of them in the proceeding. Any such proceeding instituted by the Trustee may be brought in its own name and as trustee of an express trust, and any recovery of judgment shall, after provision for the payment of the reasonable compensation, expenses, disbursements of the Trustee and its counsel, be for the ratable benefit of the Holders of the Securities in respect of which such judgment has been recovered.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 Any costs associated with actions taken by the Trustee under this Section 6.03 shall be reimbursed to the Trustee by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6.04. Waiver of Past Defaults and Events of Default.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Provided the Securities of a series are not then due and payable by reason of a declaration of acceleration, the Holders of a majority in principal amount of the then outstanding Securities of such series may on behalf of the Holders of all the affected Securities of such series waive any past Default with respect to such series of Securities and its consequences by providing written notice thereof to the Company and the Trustee, except a Default (1) in the payment of interest on or the principal of any Security or (2) in respect of a covenant or provision hereof which under this Indenture cannot be modified or amended without the consent of the Holder of each outstanding Security affected. In the case of any such waiver, the Company, the Trustee and the Holders of the Securities of the applicable series will be restored to their former positions and rights under this Indenture, respectively; </w:t>
      </w:r>
      <w:r>
        <w:rPr>
          <w:rFonts w:ascii="Times New Roman" w:hAnsi="Times New Roman"/>
          <w:i/>
          <w:color w:val="000000"/>
          <w:sz w:val="20"/>
        </w:rPr>
        <w:t xml:space="preserve">provided </w:t>
      </w:r>
      <w:r>
        <w:rPr>
          <w:rFonts w:ascii="Times New Roman" w:hAnsi="Times New Roman"/>
          <w:color w:val="000000"/>
          <w:sz w:val="20"/>
        </w:rPr>
        <w:t>that no such waiver shall extend to any subsequent or other Default or impair any right consequent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26" w:name="z_Toc232522572"/>
      <w:bookmarkEnd w:id="126"/>
      <w:r>
        <w:rPr>
          <w:rFonts w:ascii="Times New Roman" w:hAnsi="Times New Roman"/>
          <w:i/>
          <w:color w:val="000000"/>
          <w:sz w:val="20"/>
        </w:rPr>
        <w:t>Section 6.05. Control by Majority.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Holders of at least a majority in aggregate principal amount of the outstanding Securities of a series may direct the time, method and place of conducting any proceeding for any remedy available to the Trustee or exercising any trust or power conferred on the Trustee with respect to the Securities of such series. However, the Trustee may refuse to follow any direction that conflicts with law or this Indenture, that may involve the Trustee in personal liability, or that the Trustee determines in good faith may be unduly prejudicial to the rights of Holders of the affected Securities not joining in the giving of such direction and may take any other action it deems proper that is not inconsistent with any such direction received from Holders of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27" w:name="z_Toc232522573"/>
      <w:bookmarkEnd w:id="127"/>
      <w:r>
        <w:rPr>
          <w:rFonts w:ascii="Times New Roman" w:hAnsi="Times New Roman"/>
          <w:i/>
          <w:color w:val="000000"/>
          <w:sz w:val="20"/>
        </w:rPr>
        <w:t>Section 6.06. Limitation on Suits.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 Holder of the Securities of a series will have any right to institute any proceeding with respect to this Indenture, or for any remedy hereunder, unless: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the Trustee has failed to institute such proceeding for 60 days after the Holder has previously given to the Trustee written notice of a continuing Event of Default with respect to the Securities of such series;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the Holders of at least 25% in aggregate principal amount of the outstanding Securities of such series have made a written request, and offered to the Trustee reasonable security and/or indemnity satisfactory to it to institute such proceeding as Trustee;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the Trustee has not received from the Holders of a majority in aggregate principal amount of the outstanding Securities of such series a direction that is inconsistent with such request.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However, the Holder of any Security will have an absolute and unconditional right to receive payment of the principal of, and premium, if any, or interest on, such Security on or after the date or dates they are to be paid as expressed in such Security and to institute suit for the enforcement of any such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28" w:name="z_Toc232522574"/>
      <w:bookmarkStart w:id="129" w:name="z_Toc98161693"/>
      <w:bookmarkEnd w:id="128"/>
      <w:bookmarkEnd w:id="129"/>
      <w:r>
        <w:rPr>
          <w:rFonts w:ascii="Times New Roman" w:hAnsi="Times New Roman"/>
          <w:i/>
          <w:color w:val="000000"/>
          <w:sz w:val="20"/>
        </w:rPr>
        <w:t>Section 6.07. Rights of Holders To Receive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Notwithstanding any other provision of this Indenture, the right of any Holder of a Security to receive payment of the principal of or premium, if any, or interest, if any, on such Security (including in connection with an offer to purchase) or to bring suit for the enforcement of any such payment, on or after the due date expressed in the Securities shall not be impaired or affected without the consent of such Holder.  Notwithstanding the foregoing, each Holder of a Security, and each owner of a beneficial interest in a Security, shall be deemed to acknowledge and agree that the release of any Guarantee in accordance with the terms of this Indenture shall not impair the right of such Holder or owner to receive any payment of the principal of or premium, if any, or interest, if any, on such Security, and each such Holder and each such owner, by acquiring any interest in a Security, thereby consents to any such release and waives any and all claims against the Trustee, the Company and any Guarantor in connection with such release.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30" w:name="z_Toc232522575"/>
      <w:bookmarkStart w:id="131" w:name="z_Toc98161694"/>
      <w:bookmarkEnd w:id="130"/>
      <w:bookmarkEnd w:id="131"/>
      <w:r>
        <w:rPr>
          <w:rFonts w:ascii="Times New Roman" w:hAnsi="Times New Roman"/>
          <w:i/>
          <w:color w:val="000000"/>
          <w:sz w:val="20"/>
        </w:rPr>
        <w:t>Section 6.08. Collection Suit by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an Event of Default in payment of principal, premium or interest specified in Section 6.01(1) or (2) occurs and is continuing, the Trustee may recover judgment in its own name and as trustee of an express trust against the Company (or any other obligor on the Securities) for the whole amount of unpaid principal and accrued interest remaining unpaid.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6.09. Trustee May File Proofs of Claim.</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7.06) and the Holders allowed in any judicial proceedings relative to the Company (or any other obligor upon the Securities), its creditors or its property and, unless prohibited by law,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Nothing herein contained shall be deemed to authorize the Trustee to authorize or consent to or accept or adopt on behalf of any Holder any plan or reorganization, arrangement, adjustment or composition affecting the Securities or the rights of any Holder thereof, or to authorize the Trustee to vote in respect of the claim of any Holder in any such proceedings. All rights of action and claims under this Indenture or the Securities may be prosecuted and enforced by the Trustee without the possession of any of the Securities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32" w:name="z_Toc232522577"/>
      <w:bookmarkEnd w:id="132"/>
      <w:r>
        <w:rPr>
          <w:rFonts w:ascii="Times New Roman" w:hAnsi="Times New Roman"/>
          <w:i/>
          <w:color w:val="000000"/>
          <w:sz w:val="20"/>
        </w:rPr>
        <w:t>Section 6.10. Priorities.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Any money or property collected by the Trustee pursuant to this Article VI, and any money or other property distributable in respect of the Company’s obligations under this Indenture after an Event of Default shall be applied in the following order: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FIRST: to the Trustee (including any predecessor Trustee) for amounts due under Section 7.06;</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SECOND: to Holders for amounts due and unpaid on the affected Securities for principal, premium, if any, and interest as to each, ratably, without preference or priority of any kind, according to the amounts due and payable on the affected Securities;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THIRD: to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Trustee may fix a record date and payment date for any payment to Holders pursuant to this Section 6.10.</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33" w:name="z_Toc232522578"/>
      <w:bookmarkStart w:id="134" w:name="z_Toc98161697"/>
      <w:bookmarkEnd w:id="133"/>
      <w:bookmarkEnd w:id="134"/>
      <w:r>
        <w:rPr>
          <w:rFonts w:ascii="Times New Roman" w:hAnsi="Times New Roman"/>
          <w:i/>
          <w:color w:val="000000"/>
          <w:sz w:val="20"/>
        </w:rPr>
        <w:t>Section 6.11. Undertaking for Costs.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Securities of a series then outstanding.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35" w:name="z_Toc232522579"/>
      <w:bookmarkStart w:id="136" w:name="z_Toc98161698"/>
      <w:bookmarkEnd w:id="135"/>
      <w:bookmarkEnd w:id="136"/>
      <w:r>
        <w:rPr>
          <w:rFonts w:ascii="Times New Roman" w:hAnsi="Times New Roman"/>
          <w:i/>
          <w:color w:val="000000"/>
          <w:sz w:val="20"/>
        </w:rPr>
        <w:t>Section 6.12. Delay or Omission Not Waiver.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 delay or omission of the Trustee or of any Holder of any Securities to exercise any right or remedy occurring upon an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VII</w:t>
        <w:br/>
        <w:t>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37" w:name="z_Toc232522581"/>
      <w:bookmarkEnd w:id="137"/>
      <w:r>
        <w:rPr>
          <w:rFonts w:ascii="Times New Roman" w:hAnsi="Times New Roman"/>
          <w:i/>
          <w:color w:val="000000"/>
          <w:sz w:val="20"/>
        </w:rPr>
        <w:t>Section 7.01. Duties of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If a Responsible Officer of the Trustee has received written notice that an Event of Default has occurred and is continuing, the Trustee will exercise such of the rights and powers vested in it under this Indenture, and use the same degree of care and skill in their exercise, as a prudent person would exercise or use under the circumstances in the conduct of such person’s own affairs.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Except during the continuance of an Event of Default: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the Trustee undertakes to perform such duties and only such duties as are specifically set forth in this Indenture, and no implied covenants or obligations shall be read into this Indenture against the Trustee;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No provision of this Indenture shall be construed to relieve the Trustee from liability for its own negligent action, its own negligent failure to act, or its own willful misconduct, except that:</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this paragraph does not limit the effect of clause (b) or (d) of this Section 7.01;</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the Trustee shall not be liable for any error of judgment made in good faith by a Responsible Officer or Responsible Officers of the Trustee, unless it is proved that the Trustee was negligent in ascertaining the pertinent facts;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the Trustee shall not be liable with respect to any action it takes or omits to take in good faith in accordance with a direction of the Holders of a majority in aggregate principal amount of the outstanding Securities of any series, determined as provided herein, relating to the time, method and place of conducting any proceeding for any remedy available to the Trustee, or exercising any trust or power conferred upon the Trustee, under this Indenture with respect to the Securities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satisfactory to it against such risk or liability is not reasonably assured to it.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Whether or not therein expressly so provided, every provision of this Indenture relating to the conduct of, affecting the liability of, or affording protection to, the Trustee shall be subject to the provisions of this Section 7.01.</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The Trustee shall not be liable for interest or earnings on any money received by it except as the Trustee may agree in writing with the Company. Money held in trust by the Trustee or Paying Agent need not be segregated from other funds except to the extent required by the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The Trustee shall not be responsible for the application of any money by any Paying Agent other than the Trustee.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7.02. Rights of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Subject to Section 7.01:</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electronic form) believed in good faith by it to be genuine and to have been signed or presented by the proper person. The Trustee need not investigate any fact or matter stated in the document.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Any request or direction of the Company mentioned herein shall be sufficiently evidenced by a Company Order and any resolution of the Board of Directors may be sufficiently evidenced by a board resolution.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Whenever in the administration of this Indenture the Trustee shall deem it desirable that a matter be proved or established prior to taking, suffering or omitting any action hereunder, the Trustee (unless other evidence be herein specifically prescribed) may require an Officer’s Certificate or an Opinion of Counsel (or both), which shall comply with the requirements of Section 12.03, and, in the absence of bad faith on its part, may conclusively rely upon such Officer’s Certificate or Opinion of Counsel (or both). The Trustee shall not be liable for any action it takes or omits to take in good faith in reliance on such Officer’s Certificate or Opinion of Counsel.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The Trustee may execute any of the trusts or power hereunder or perform any duties hereunder either directly or by or through attorneys or agents and the Trustee shall not be responsible for any misconduct or negligence on the part of any agent appointed with due care by it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The Trustee shall not be liable for any action taken, suffered, or omitted to be taken in good faith and believed by it to be authorized or within the discretion or rights or powers conferred upon it by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The Trustee may consult with counsel of its selection, and the advice of such counsel or any Opinion of Counsel shall be full and complete authorization and protection from liability in respect of any action taken, omitted or suffered by it hereunder in good faith and in reliance thereon.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The Trustee shall be under no obligation to exercise any of the rights or powers vested in it by this Indenture at the request or direction of any of the Holders pursuant to this Indenture, unless such Holders shall have offered to the Trustee security and/or indemnity satisfactory to the Trustee against the costs, expenses and liabilities which might be incurred by it in compliance with such request or direction.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(j)  The Trustee shall not be deemed to have notice or be charged with knowledge of any Default or Event of Default unless written notice of such Default or Event of Default from the Company or any Holder is received by a Responsible Officer of the Trustee at the Corporate Trust Office of the Trustee, and such notice references the Securities and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(l)  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(m)  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  The permissive right of the Trustee to take or refrain from taking action hereunder shall not be construed as a duty.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38" w:name="z_Toc232522583"/>
      <w:bookmarkEnd w:id="138"/>
      <w:r>
        <w:rPr>
          <w:rFonts w:ascii="Times New Roman" w:hAnsi="Times New Roman"/>
          <w:i/>
          <w:color w:val="000000"/>
          <w:sz w:val="20"/>
        </w:rPr>
        <w:t>Section 7.03. Individual Rights of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However, in the event that the Trustee acquires any conflicting interest within the meaning of Section 310(b)(1) of the TIA, it must eliminate such conflict within 90 days or resign;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there shall be excluded from the operation of TIA §310(b)(1) any indenture or indentures under which other securities or certificates of interest of participation in other securities of the Company are outstanding if the requirements for such exclusion set forth in TIA §310(b)(1) are met, other than the fact that such indentures are not described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Any Agent may do the same with like rights. The Trustee is also subject to Section 7.09.</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39" w:name="z_Toc232522584"/>
      <w:bookmarkEnd w:id="139"/>
      <w:r>
        <w:rPr>
          <w:rFonts w:ascii="Times New Roman" w:hAnsi="Times New Roman"/>
          <w:i/>
          <w:color w:val="000000"/>
          <w:sz w:val="20"/>
        </w:rPr>
        <w:t>Section 7.04. Trustee’s Disclaimer.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recitals contained herein and in the Securities, except the Trustee’s certificates of authentication, shall be taken as the statements of the Company, and the Trustee assumes no responsibility for their correctness. The Trustee makes no representations as to the validity, sufficiency or adequacy of this Indenture or of the Securities. The Trustee shall not be accountable for the use or application by the Company of the Securities or the proceeds thereof. The Trustee shall not be responsible to make any calculation with respect to any matter under this Indenture. The Trustee represents that it is duly authorized to execute and deliver this Indenture, authenticate the Securities and perform its obligations hereunder. The Trustee shall have no duty to monitor or investigate the Company’s compliance with or the breach of, or cause to be performed or observed, any representation, warranty or covenant made in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40" w:name="z_Toc232522585"/>
      <w:bookmarkStart w:id="141" w:name="z_Toc98161704"/>
      <w:bookmarkEnd w:id="140"/>
      <w:bookmarkEnd w:id="141"/>
      <w:r>
        <w:rPr>
          <w:rFonts w:ascii="Times New Roman" w:hAnsi="Times New Roman"/>
          <w:i/>
          <w:color w:val="000000"/>
          <w:sz w:val="20"/>
        </w:rPr>
        <w:t>Section 7.05. Notice of Defaults.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Within 90 days after the occurrence thereof, and if known to the Trustee pursuant to Section 7.02(j), the Trustee shall give to the Holders of the Securities of a series notice of each Default or Event of Default with respect to the Securities of such series known to the Trustee pursuant to Section 7.02(j), by transmitting such notice to Holders at their addresses as the same shall then appear on the register of the Securities kept by the Registrar, unless such Default shall have been cured or waived before the giving of such notice. Except in the case of a Default or Event of Default in payment of the principal of, premium, if any, or interest on any of the Securities of a series when and as the same shall become payable, or to make any sinking fund payment as to the Securities of a series (including payments pursuant to a redemption or repurchase of the Securities pursuant to the provisions of this Indenture), the Trustee shall be protected in withholding such notice if and so long as a committee of its Responsible Officers in good faith determines that withholding the notice is in the interests of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42" w:name="z_Toc232522586"/>
      <w:bookmarkStart w:id="143" w:name="z_Toc98161705"/>
      <w:bookmarkEnd w:id="142"/>
      <w:bookmarkEnd w:id="143"/>
      <w:r>
        <w:rPr>
          <w:rFonts w:ascii="Times New Roman" w:hAnsi="Times New Roman"/>
          <w:i/>
          <w:color w:val="000000"/>
          <w:sz w:val="20"/>
        </w:rPr>
        <w:t>Section 7.06. Compensation and Indemnity.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Company shall pay to the Trustee and Agents from time to time such reasonable compensation for their services hereunder (which compensation shall not be limited by any provision of law in regard to the compensation of a trustee of an express trust) as shall be agreed upon in writing. The Company shall reimburse the Trustee and Agents upon request for all reasonable disbursements, expenses and advances incurred or made by them in connection with the Trustee’s duties under this Indenture, including the reasonable compensation, disbursements and expenses of the Trustee’s agents and external counsel, except any such expense, disbursement or advance as may be attributable to its willful misconduct or negligence.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The Company shall fully indemnify each of the Trustee and their officers, agents and employees and any predecessor Trustee for, and hold each of them harmless against, any and all loss, damage, claim, liability or expense, including, without limitation, reasonable and documented attorneys’ fees and expenses incurred by each of them in connection with the acceptance or performance of its duties under this Indenture including the reasonable and documented costs and expenses of defending itself against any claim (whether asserted by the Company, or any Holder or any other Person) or liability in connection with the exercise or performance of any of its powers or duties hereunder (including, without limitation, settlement costs). The Trustee or Agent shall notify the Company in writing promptly of any claim of which a Responsible Officer of the Trustee has received written notice at its Corporate Trust Office asserted against the Trustee or Agent for which it may seek indemnity; </w:t>
      </w:r>
      <w:r>
        <w:rPr>
          <w:rFonts w:ascii="Times New Roman" w:hAnsi="Times New Roman"/>
          <w:i/>
          <w:color w:val="000000"/>
          <w:sz w:val="20"/>
        </w:rPr>
        <w:t>provided</w:t>
      </w:r>
      <w:r>
        <w:rPr>
          <w:rFonts w:ascii="Times New Roman" w:hAnsi="Times New Roman"/>
          <w:color w:val="000000"/>
          <w:sz w:val="20"/>
        </w:rPr>
        <w:t xml:space="preserve"> that the failure by the Trustee or Agent to so notify the Company shall not relieve the Company of its obligations hereunder, except to the extent that the Company has been materially prejudiced thereby. The Company need not pay for any settlement made without its consent, which consent shall not be unreasonably withheld. In the event that a conflict of interest exists or potential harm to the Trustee’s business exists, the Trustee may have separate counsel, which counsel must be reasonably acceptable to the Company and the Company shall pay the reasonable and documented fees and expenses of such counsel.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Notwithstanding the foregoing, the Company need not reimburse the Trustee for any expense or indemnify it against any loss or liability to have been incurred by the Trustee through its own willful misconduct or negligence.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To secure the payment obligations of the Company in this Section 7.06, the Trustee shall have a lien prior to the Securities on all money or property held or collected by the Trustee and such money or property held in trust to pay principal of and interest on particular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The obligations of the Company under this Section 7.06 to compensate and indemnify the Trustee, Agents and each predecessor Trustee and to pay or reimburse the Trustee, Agents and each predecessor Trustee for expenses, disbursements and advances shall be the liability of the Company and the lien provided for under this Section 7.06 shall survive the resignation or removal of the Trustee and the satisfaction, discharge or other termination of this Indenture for any reason, including any termination or rejection hereof under any Bankruptcy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In addition to, but without prejudice to its other rights under this Indenture, when the Trustee incurs expenses or renders services after an Event of Default specified in Section 6.01(8) or Section 6.01(9) occurs, the expenses (including the reasonable charges and expenses of its counsel) and the compensation for the services are intended to constitute expenses of administration under any Bankruptcy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(g)  For purposes of this Section 7.06, the term “Trustee” shall include any predecessor Trustee;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negligence, willful misconduct or bad faith of any Trustee hereunder shall not affect the rights or any other Trustee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44" w:name="z_Toc232522587"/>
      <w:bookmarkStart w:id="145" w:name="z_Toc98161706"/>
      <w:bookmarkEnd w:id="144"/>
      <w:bookmarkEnd w:id="145"/>
      <w:r>
        <w:rPr>
          <w:rFonts w:ascii="Times New Roman" w:hAnsi="Times New Roman"/>
          <w:i/>
          <w:color w:val="000000"/>
          <w:sz w:val="20"/>
        </w:rPr>
        <w:t>Section 7.07. Replacement of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A resignation or removal of the Trustee and appointment of a successor Trustee will become effective only upon the successor Trustee’s acceptance of appointment as provided in this Section 7.07.</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The Trustee may resign at any time by so notifying the Company in writing no later than 30 calendar days prior to the date of the proposed resignation. The Holders of a majority in principal amount of the outstanding Securities may remove the Trustee by notifying the Company and the removed Trustee in writing no later than 30 calendar days prior to the date of the proposed removal and may appoint a successor Trustee with the Company’s written consent, which consent shall not be unreasonably withheld. The Company may remove the Trustee at its election if:</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the Trustee fails to comply with Section 7.09;</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the Trustee is adjudged bankrupt or insolvent or an order for relief entered with respect to the Trustee under Bankruptcy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a receiver or other public officer takes charge of the Trustee or its property; or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the Trustee otherwise becomes incapable of acting.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If the Trustee resigns or is removed or if a vacancy exists in the office of Trustee for any reason, the Company shall promptly appoint a successor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If a successor Trustee does not take office within 30 days after the retiring Trustee resigns or is removed, the retiring Trustee, the Company or the Holders of at least 10% in principal amount of the outstanding Securities may petition at the expense of the Company any court of competent jurisdiction, in the case of the Trustee, for the appointment of a successor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If the Trustee fails to comply with Section 7.09, any Holder may petition any court of competent jurisdiction for the removal of the Trustee and the appointment of a successor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A successor Trustee shall deliver a written acceptance of its appointment to the retiring Trustee and to the Company. Immediately following such delivery, the retiring Trustee shall, subject to the lien and its rights under Section 7.06, transfer all property held by it as Trustee to the successor Trustee, the resignation or removal of the retiring Trustee shall become effective, and the successor Trustee shall have all the rights, powers and duties of the Trustee under this Indenture. A successor Trustee shall transmit notice of its succession to each Holder. Notwithstanding replacement of the Trustee pursuant to this Section 7.07, the lien and Company’s obligations under Section 7.06 shall continue for the benefit of the retiring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46" w:name="z_Toc232522588"/>
      <w:bookmarkEnd w:id="146"/>
      <w:r>
        <w:rPr>
          <w:rFonts w:ascii="Times New Roman" w:hAnsi="Times New Roman"/>
          <w:i/>
          <w:color w:val="000000"/>
          <w:sz w:val="20"/>
        </w:rPr>
        <w:t>Section 7.08. Successor Trustee by Consolidation, Merger, etc.</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Times New Roman" w:hAnsi="Times New Roman"/>
          <w:i/>
          <w:color w:val="000000"/>
          <w:sz w:val="20"/>
        </w:rPr>
        <w:t xml:space="preserve">provided </w:t>
      </w:r>
      <w:r>
        <w:rPr>
          <w:rFonts w:ascii="Times New Roman" w:hAnsi="Times New Roman"/>
          <w:color w:val="000000"/>
          <w:sz w:val="20"/>
        </w:rPr>
        <w:t xml:space="preserve">that such Person shall be otherwise qualified and eligible under this Article VII. In case at the time such successor to the Trustee shall succeed to the trusts created by this Indenture with respect to one or more series of Securities and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right to adopt the certificate of authentication of any predecessor Trustee or authenticate Securities in the name of any predecessor Trustee shall apply only to its successor or successors by merger, conversion or consolidation.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47" w:name="z_Toc232522589"/>
      <w:bookmarkStart w:id="148" w:name="z_Toc98161708"/>
      <w:bookmarkEnd w:id="147"/>
      <w:bookmarkEnd w:id="148"/>
      <w:r>
        <w:rPr>
          <w:rFonts w:ascii="Times New Roman" w:hAnsi="Times New Roman"/>
          <w:i/>
          <w:color w:val="000000"/>
          <w:sz w:val="20"/>
        </w:rPr>
        <w:t>Section 7.09. Eligibility; Disqualification.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The Trustee shall at all times satisfy the requirements of TIA § 310(a). The Trustee (together with its corporate parent) shall have a combined capital and surplus of at least $100.0 million as set forth in its most recent published annual report of condition. The Trustee shall comply with TIA § 310(b);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there shall be excluded from the operation of TIA § 310(b)(1) any indenture or indentures under which other securities or certificates of interest or participation in other securities of the Company are outstanding if the requirements for such exclusion set forth in TIA §310(b)(1) are met, other than the fact that such indentures are not described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49" w:name="z_Toc232522590"/>
      <w:bookmarkStart w:id="150" w:name="z_Toc98161709"/>
      <w:bookmarkEnd w:id="149"/>
      <w:bookmarkEnd w:id="150"/>
      <w:r>
        <w:rPr>
          <w:rFonts w:ascii="Times New Roman" w:hAnsi="Times New Roman"/>
          <w:i/>
          <w:color w:val="000000"/>
          <w:sz w:val="20"/>
        </w:rPr>
        <w:t>Section 7.10. Reports by Trustee to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required by TIA § 313(a), within 60 days after June 15 of any year, commencing on the first June 15 after the issuance of Securities pursuant to this Indenture, for so long as Securities of any series remain outstanding, the Trustee shall send to the Holders a brief report dated as of such reporting date that complies with TIA § 313(a) (but if no event described in TIA § 313(a) has occurred within the 12 months preceding the reporting date, no report need be transmitted). The Trustee also shall comply with TIA § 313(b). The Trustee shall also transmit all reports as required by TIA § 313(c) and comply with TIA § 313(d).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7.11. Preferential Collection of Claims Against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Trustee is subject to TIA § 311(a), excluding any creditor relationship listed in TIA § 311(b). A Trustee who has resigned or been removed shall be subject to TIA § 311(a) to the extent indicated therein.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51" w:name="z_Toc232522592"/>
      <w:bookmarkEnd w:id="151"/>
      <w:r>
        <w:rPr>
          <w:rFonts w:ascii="Times New Roman" w:hAnsi="Times New Roman"/>
          <w:i/>
          <w:color w:val="000000"/>
          <w:sz w:val="20"/>
        </w:rPr>
        <w:t>Section 7.12. Appointment of Authenticating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Trustee may appoint an agent (the “</w:t>
      </w:r>
      <w:r>
        <w:rPr>
          <w:rFonts w:ascii="Times New Roman" w:hAnsi="Times New Roman"/>
          <w:i/>
          <w:color w:val="000000"/>
          <w:sz w:val="20"/>
        </w:rPr>
        <w:t>Authenticating Agent</w:t>
      </w:r>
      <w:r>
        <w:rPr>
          <w:rFonts w:ascii="Times New Roman" w:hAnsi="Times New Roman"/>
          <w:color w:val="000000"/>
          <w:sz w:val="20"/>
        </w:rPr>
        <w:t>”) reasonably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Authenticating Agent shall at all times be a corporation organized and doing business and in good standing under the laws of the United States or any state thereof, authorized under such laws to act as Authenticating Agent, having a combined capital and surplus of not less than $100.0 million (together with its corporate parent) as set forth in the most recent applicable published annual report of condition and subject to supervision or examination by federal or state authorities. If at any time an Authenticating Agent shall cease to be eligible in accordance with the provisions of this Article VII, it shall resign immediately in the manner and with the effect specified in this Article VII.</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of the corporate agency or corporate trust business of an Authenticating Agent, shall continue to be an Authenticating Agent, provided such corporation shall be otherwise eligible under this Article VII, without the execution or filing of any paper or any further act on the part of the Trustee or the Authenticating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7.12,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7.12.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agrees to pay to each Authenticating Agent from time to time reasonable compensation for its services under this Section 7.12.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bookmarkStart w:id="152" w:name="z_Toc232522593"/>
      <w:bookmarkStart w:id="153" w:name="z_Toc98161712"/>
      <w:bookmarkStart w:id="154" w:name="z_Toc97680689"/>
      <w:bookmarkEnd w:id="152"/>
      <w:bookmarkEnd w:id="153"/>
      <w:bookmarkEnd w:id="154"/>
      <w:r>
        <w:rPr>
          <w:rFonts w:ascii="Times New Roman" w:hAnsi="Times New Roman"/>
          <w:color w:val="000000"/>
          <w:sz w:val="20"/>
        </w:rPr>
        <w:t>ARTICLE VIII</w:t>
        <w:br/>
        <w:t>AMENDMENT, SUPPLEMENT AND WAIVER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55" w:name="z_Toc232522594"/>
      <w:bookmarkStart w:id="156" w:name="z_Toc98161713"/>
      <w:bookmarkEnd w:id="155"/>
      <w:bookmarkEnd w:id="156"/>
      <w:r>
        <w:rPr>
          <w:rFonts w:ascii="Times New Roman" w:hAnsi="Times New Roman"/>
          <w:i/>
          <w:color w:val="000000"/>
          <w:sz w:val="20"/>
        </w:rPr>
        <w:t>Section 8.01. Without Consent of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Except as otherwise provided as contemplated by Section 2.02 with respect to any series of Securities, the Company, the Guarantors and the Trustee may modify or amend this Indenture without the consent of any Holder of a Security of any series to:</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cure any ambiguity, defect, mistake or inconsistency in this Indenture;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provide for uncertificated Securities in addition to or in place of certificated Securities;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comply with the provisions of Section 4.04 or 5.01, including to provide for or evidence the release of any Guarantor in accordance with Section 10.07;</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evidence and provide for the acceptance of appointment by a successor Trustee and add to or change any provisions of this Indenture as shall be necessary for or facilitate the administration of the trusts hereunder by more than one Trustee, pursuant to the requirements of Section 7.07(f);</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bookmarkStart w:id="157" w:name="z_Hlk98249421"/>
      <w:bookmarkEnd w:id="157"/>
      <w:r>
        <w:rPr>
          <w:rFonts w:ascii="Times New Roman" w:hAnsi="Times New Roman"/>
          <w:color w:val="000000"/>
          <w:sz w:val="20"/>
        </w:rPr>
        <w:t>(5)  comply with requirements of the Commission in order to effect or maintain the qualification of this Indenture or any supplemental indenture under the TIA;</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(6)  make any change that would provide any additional rights or benefits to the Holders of the Securities of such series or that does not adversely affect in any material respect the legal rights under this Indenture of any such Holder;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(7)  secure any series of Securities;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(8)  establish the form and terms of Securities of any series as permitted in Section 2.02, or authorize the issuance of Additional Securities of a series previously authorized or add to the conditions, limitations or restrictions on the authorized amount, terms or purposes of issue, authentication or delivery of the Securities of any series, as herein set forth, or other conditions, limitations or restrictions thereafter to be observed;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(9)  add covenants for the benefit of the Holders or to surrender any right or power conferred upon the Company or any Guarantor;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(10)  conform the text of this Indenture, any supplemental indenture, the Securities or the Guarantees to the extent a provision hereof or thereof was intended to be a substantially verbatim recitation of the applicable provision under the caption “Description of Debt Securities” or “Description of Notes” (or comparable section) contained in the applicable registration statement, prospectus, prospectus supplement, free-writing prospectus or offering memorandum;</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(11)  allow any Guarantor to execute a supplemental indenture and/or Guarantee with respect to the Securities of any series;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(12)   </w:t>
      </w:r>
      <w:bookmarkStart w:id="158" w:name="z_Ref500692871"/>
      <w:bookmarkEnd w:id="158"/>
      <w:r>
        <w:rPr>
          <w:rFonts w:ascii="Times New Roman" w:hAnsi="Times New Roman"/>
          <w:color w:val="000000"/>
          <w:sz w:val="20"/>
        </w:rPr>
        <w:t>add to, change or eliminate any of the provisions of this Indenture with respect to one or more series of Securities, so long as any such addition, change or elimination not otherwise permitted under this Indenture shall (A) neither apply to any Security of any series created prior to the execution of such supplemental indenture and entitled to the benefit of such provision nor modify the rights of the Holders of any such Security with respect to the benefit of such provision or (B) become effective only when there is no such Security outstanding;</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 xml:space="preserve">(13)   supplement any of the provisions of this Indenture to such extent as shall be necessary to permit or facilitate the defeasance and discharge of any series of Securities; </w:t>
      </w:r>
      <w:r>
        <w:rPr>
          <w:rFonts w:ascii="Times New Roman" w:hAnsi="Times New Roman"/>
          <w:i/>
          <w:color w:val="000000"/>
          <w:sz w:val="20"/>
        </w:rPr>
        <w:t>provided</w:t>
      </w:r>
      <w:r>
        <w:rPr>
          <w:rFonts w:ascii="Times New Roman" w:hAnsi="Times New Roman"/>
          <w:color w:val="000000"/>
          <w:sz w:val="20"/>
        </w:rPr>
        <w:t xml:space="preserve"> that any such action shall not adversely affect the interests of the Holders of Securities of such series or any other series of Securities;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(14)   prohibit the authentication and delivery of additional series of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Upon the written request of the Company accompanied by a board resolution of the Board of Directors authorizing the execution of any such supplemental indenture and upon receipt by the Trustee of the documents described in Section 8.05, the Trustee shall join with the Company and the Guarantors in the execution of such supplemental indenture unless such supplemental indenture affects the Trustee’s own rights, duties or immunities under this Indenture, in which case the Trustee may, but shall not be obligated to, enter into such supplemental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59" w:name="z_Toc232522595"/>
      <w:bookmarkStart w:id="160" w:name="z_Toc98161714"/>
      <w:bookmarkEnd w:id="159"/>
      <w:bookmarkEnd w:id="160"/>
      <w:r>
        <w:rPr>
          <w:rFonts w:ascii="Times New Roman" w:hAnsi="Times New Roman"/>
          <w:i/>
          <w:color w:val="000000"/>
          <w:sz w:val="20"/>
        </w:rPr>
        <w:t>Section 8.02. With Consent of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Company, the Guarantors and the Trustee may modify or amend this Indenture as it applies to a series of Securities with the consent of the Holders of a majority in aggregate principal amount of the then outstanding Securities of such series affected by the modification or amendment (including consents obtained in connection with a tender offer or exchange offer for Securities of such series), and any past default or compliance with any provisions of this Indenture relating to a series of Securities may also be waived (except a default in the payment of principal, premium or interest and a default under clause (b) of this Section 8.02) with the consent of the Holders of a majority in aggregate principal amount of the then outstanding Securities of such series.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However, no such modification or amendment may, without the consent of each Holder of Securities of a series affected thereby:</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extend the due date of the principal of, or any installment of principal of or interest on, the Securities of such series, or reduce the amount of the principal of an Original Issue Discount Security that would be due and payable upon a declaration of acceleration of the maturity thereof pursuant to Section 6.02;</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materially adversely affect the economic terms of any right to convert or exchange any Security as may be provided pursuant to Section 2.02;</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reduce the principal amount of, or any premium or interest rate on, the Securities of such series;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change the place or currency of payment of principal of, or any premium or interest on, the Securities of such series;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(5)  reduce the amount payable upon the redemption of any Security of such series;</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(6)  impair the right to institute suit for the enforcement of any payment on or with respect to the Securities of such series after the due date thereof; or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(7)  reduce the percentage in principal amount of the then outstanding Securities of such series, the consent of whose Holders is required for modification or amendment of this Indenture, for waiver of compliance with certain provisions of this Indenture or for waiver of certain defaults.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The Holders of a majority of the principal amount of then outstanding Securities of any series may waive future compliance with certain restrictive covenants of this Indenture applicable to such series of Securities. The Holders of at least a majority in principal amount of then outstanding Securities of a series may waive any past default under this Indenture with respect to such series, except a failure by the Company to pay the principal of, or any premium or interest on, any Securities of such series or a provision that cannot be modified or amended without the consent of the Holders of all outstanding Securities of such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In determining whether the Holders of the required principal amount of a series of Securities have concurred in any direction, notice, waiver or consent, Securities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Securities that a Responsible Officer of the Trustee actually knows are so owned will be so disregarded.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It is not necessary for the consent of the Holders under this Section 8.02 to approve the particular form of any proposed amendment, supplement or waiver, but it is sufficient if such consent approves the substance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After an amendment that requires the consent of the Holders of the affected Securities becomes effective, the Company shall transmit to each registered Holder of the affected Securities at such Holder’s address appearing in the security register a notice briefly describing such amendment. However, the failure to give such notice to all Holders of such Securities, or any defect therein, shall not impair or affect the validity of the amendment.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Upon the written request of the Company accompanied by a board resolution of the Board of Directors authorizing the execution of any such supplemental indenture, and upon the receipt by the Trustee of evidence reasonably satisfactory to the Trustee of the consent of the Holders as aforesaid and upon receipt by the Trustee of the documents described in Section 8.05, the Trustee shall join with the Company and the Guarantors in the execution of such supplemental indenture unless such supplemental indenture affects the Trustee’s own rights, duties or immunities under this Indenture, in which case the Trustee may, but shall not be obligated to, enter into such supplemental indenture.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8.03. Revocation and Effect of Consents.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After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 unless the consent of the requisite number of Holders has been obtained.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61" w:name="z_Toc232522597"/>
      <w:bookmarkEnd w:id="161"/>
      <w:r>
        <w:rPr>
          <w:rFonts w:ascii="Times New Roman" w:hAnsi="Times New Roman"/>
          <w:i/>
          <w:color w:val="000000"/>
          <w:sz w:val="20"/>
        </w:rPr>
        <w:t>Section 8.04. Notation on or Exchange of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an amendment, supplement, or waiver changes the terms of a Security, the Trustee (in accordance with the specific written direction of the Company) shall request the Holder of the Security (in accordance with the specific written direction of the Company) to deliver it to the Trustee. In such case, the Trustee shall place an appropriate notation on the Security about the changed terms and return it to the Holder. Alternatively, if the Company or the Trustee so determines, the Company, in exchange for the Security, shall issue, and the Trustee shall authenticate, a new Security that reflects the changed terms. Failure to make the appropriate notation or issue a new Security shall not affect the validity and effect of such amendment, supplement or waiver.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62" w:name="z_Toc232522598"/>
      <w:bookmarkEnd w:id="162"/>
      <w:r>
        <w:rPr>
          <w:rFonts w:ascii="Times New Roman" w:hAnsi="Times New Roman"/>
          <w:i/>
          <w:color w:val="000000"/>
          <w:sz w:val="20"/>
        </w:rPr>
        <w:t>Section 8.05. Trustee To Sign Amendments, etc.</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Trustee shall sign any amendment, supplement or waiver authorized pursuant to this Article VIII if the amendment, supplement or waiver does not affect the rights, duties, liabilities or immunities of the Trustee. If it does affect the rights, duties, liabilities or immunities of the Trustee, the Trustee may, but need not, sign such amendment, supplement or waiver. In signing or refusing to sign such amendment, supplement or waiver the Trustee shall be entitled to receive and, subject to Section 7.01, shall be fully protected in relying upon an Officer’s Certificate and an Opinion of Counsel stating, in addition to the matters required by Section 12.03, that such amendment, supplement or waiver is authorized or permitted by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63" w:name="z_Toc232522599"/>
      <w:bookmarkStart w:id="164" w:name="z_Toc98161718"/>
      <w:bookmarkEnd w:id="163"/>
      <w:bookmarkEnd w:id="164"/>
      <w:r>
        <w:rPr>
          <w:rFonts w:ascii="Times New Roman" w:hAnsi="Times New Roman"/>
          <w:i/>
          <w:color w:val="000000"/>
          <w:sz w:val="20"/>
        </w:rPr>
        <w:t>Section 8.06. Compliance with Trust Indenture 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65" w:name="z_Toc499058440"/>
      <w:bookmarkEnd w:id="165"/>
      <w:r>
        <w:rPr>
          <w:rFonts w:ascii="Times New Roman" w:hAnsi="Times New Roman"/>
          <w:color w:val="000000"/>
          <w:sz w:val="20"/>
        </w:rPr>
        <w:t>Every amendment or supplement to this Indenture or the Securities shall comply with the TIA as then in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66" w:name="z_Toc232522600"/>
      <w:bookmarkStart w:id="167" w:name="z_Toc98161719"/>
      <w:bookmarkEnd w:id="166"/>
      <w:bookmarkEnd w:id="167"/>
      <w:r>
        <w:rPr>
          <w:rFonts w:ascii="Times New Roman" w:hAnsi="Times New Roman"/>
          <w:i/>
          <w:color w:val="000000"/>
          <w:sz w:val="20"/>
        </w:rPr>
        <w:t>Section 8.07. Effect of Execution of Supplemental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68" w:name="z_Toc499795961"/>
      <w:bookmarkEnd w:id="168"/>
      <w:r>
        <w:rPr>
          <w:rFonts w:ascii="Times New Roman" w:hAnsi="Times New Roman"/>
          <w:color w:val="000000"/>
          <w:sz w:val="20"/>
        </w:rPr>
        <w:t>Upon the execution of any supplemental indenture pursuant to the provisions of this Article VIII,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IX</w:t>
        <w:br/>
        <w:t>SATISFACTION AND DISCHARGE OF INDENTURE; DEFEASANCE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69" w:name="z_Toc232522602"/>
      <w:bookmarkEnd w:id="169"/>
      <w:r>
        <w:rPr>
          <w:rFonts w:ascii="Times New Roman" w:hAnsi="Times New Roman"/>
          <w:i/>
          <w:color w:val="000000"/>
          <w:sz w:val="20"/>
        </w:rPr>
        <w:t>Section 9.01. Applicability of Article.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Except as otherwise contemplated by Section 2.02 with respect to any series of Securities, if provision is made for the defeasance of Securities of a series and if the Securities of such series are denominated and payable only in U.S. Dollars, then the provisions of this Article IX shall be applicable. Defeasance provisions, if any, for Securities denominated in a Foreign Currency may be specified pursuant to Section 2.02.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70" w:name="z_Toc232522603"/>
      <w:bookmarkEnd w:id="170"/>
      <w:r>
        <w:rPr>
          <w:rFonts w:ascii="Times New Roman" w:hAnsi="Times New Roman"/>
          <w:i/>
          <w:color w:val="000000"/>
          <w:sz w:val="20"/>
        </w:rPr>
        <w:t>Section 9.02. Satisfaction and Discharge of Liability on Securities; Defeasance.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This Indenture will be discharged and will cease to be of further effect with respect to any series of Securities (except as to rights of registration of transfer or exchange of Securities and rights to receive principal of and premium, if any, and interest on such Securities) as to all outstanding Securities of such series issued hereunder when: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either:</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(A)  all the Securities of such series that have been authenticated and delivered (except lost, stolen or destroyed Securities which have been replaced or paid and Securities for whose payment money has been deposited in trust or segregated and held in trust by the Company and thereafter repaid to the Company or discharged from this trust) have been delivered to the Trustee for cancellation, or</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(B)  all Securities of such series not delivered to the Trustee for cancellation otherwise (i) have become due and payable, (ii) will become due and payable, or are to be called for redemption, within one year or (iii) have been called for redemption as otherwise specified pursuant to Section 2.02 for Securities of such series, and, in any case, the Company or any Guarantor has irrevocably deposited or caused to be deposited with the Trustee as trust funds, in trust solely for the benefit of the Holders of such Securities, U.S. legal tender, U.S. Government Obligations or a combination thereof, in such amounts as will be sufficient (without consideration of any reinvestment of interest) to pay and discharge the entire Indebtedness (including all principal and accrued interest) on the Securities of such series not theretofore delivered to the Trustee for cancellation,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the Company or any Guarantor has paid all sums payable by it under this Indenture,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the Company has delivered irrevocable instructions to the Trustee to apply the deposited money toward the payment of the Securities of such series at maturity or on the Redemption Date, as the case may be.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addition, the Company must deliver to the Trustee an Officer’s Certificate and an Opinion of Counsel stating that all conditions precedent to satisfaction and discharge have been complied with.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Subject to clause (c) of this Section 9.02 and Section 9.03, the Company may, at its option and at any time, elect to have its obligations and the obligations of the Guarantors discharged with respect to the outstanding Securities of a series (“</w:t>
      </w:r>
      <w:r>
        <w:rPr>
          <w:rFonts w:ascii="Times New Roman" w:hAnsi="Times New Roman"/>
          <w:i/>
          <w:color w:val="000000"/>
          <w:sz w:val="20"/>
        </w:rPr>
        <w:t>Legal Defeasance</w:t>
      </w:r>
      <w:r>
        <w:rPr>
          <w:rFonts w:ascii="Times New Roman" w:hAnsi="Times New Roman"/>
          <w:color w:val="000000"/>
          <w:sz w:val="20"/>
        </w:rPr>
        <w:t>”). Legal Defeasance means that the Company and the Guarantors shall be deemed to have paid and discharged the entire indebtedness represented by the Securities of such series and the related Guarantees, and this Indenture shall cease to be of further effect as to all outstanding Securities of such series and the related Guarantees, except as to:</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the rights of Holders of such series of Securities issued under this Indenture to receive payments in respect of the principal of, premium, if any, and interest on such Securities when such payments are due solely out of the trust created pursuant to this Indenture;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the Company’s obligations with respect to such series of Securities concerning issuing temporary Securities under Section 2.12, registration of Securities under Section 2.05, mutilated, destroyed, lost or stolen Securities under Section 2.09, and the maintenance of an office or agency for payment under Section 2.05 and money for security payments held in trust under Section 2.06;</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the rights, powers, trust, duties, and immunities of the Trustee, and the Company’s obligation in connection therewith;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the applicable provisions of this Article IX.</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addition, the Company may, at its option and at any time, elect to have its obligations and the obligations of the Guarantors released with respect to (A) their respective obligations under Sections 4.03 through 4.05 with respect to the outstanding Securities of a series, (B) the operation of Sections 6.01(5), (6), (7) or (8) (only as such clauses (7) or (8) apply to Significant Subsidiaries) and (C) if so specified pursuant to Section 2.02 with respect to Securities of a series, any other restrictive covenant added for the benefit of such series pursuant to Section 2.02 (“</w:t>
      </w:r>
      <w:r>
        <w:rPr>
          <w:rFonts w:ascii="Times New Roman" w:hAnsi="Times New Roman"/>
          <w:i/>
          <w:color w:val="000000"/>
          <w:sz w:val="20"/>
        </w:rPr>
        <w:t>Covenant Defeasance</w:t>
      </w:r>
      <w:r>
        <w:rPr>
          <w:rFonts w:ascii="Times New Roman" w:hAnsi="Times New Roman"/>
          <w:color w:val="000000"/>
          <w:sz w:val="20"/>
        </w:rPr>
        <w:t>”) on and after the conditions in Section 9.03 with respect to Covenant Defeasance are satisfied, and thereafter any omission to comply with such obligations shall not constitute a Default or Event of Default with respect to such Securities. The Company may exercise its Legal Defeasance option regardless of whether it previously exercised Covenant Defeasance.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If the Company exercises its Legal Defeasance option, payment of the Securities of such series may not be accelerated because of an Event of Default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Upon satisfaction of the conditions set forth herein and upon request of the Company, the Trustee shall acknowledge in writing the discharge of those obligations that the Company terminates.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Notwithstanding clauses (a) and (b) of this Section 9.02, the Company’s obligations in Sections 2.05, 2.07, 2.08, 2.09, 2.17, 7.06, 9.06 and 9.07 shall survive with respect to such series of Securities until such time as the Securities of such series have been paid in full. Thereafter, the Company’s obligations in Sections 7.06, 9.06 and 9.07 shall survive.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71" w:name="z_Toc232522604"/>
      <w:bookmarkEnd w:id="171"/>
      <w:r>
        <w:rPr>
          <w:rFonts w:ascii="Times New Roman" w:hAnsi="Times New Roman"/>
          <w:i/>
          <w:color w:val="000000"/>
          <w:sz w:val="20"/>
        </w:rPr>
        <w:t>Section 9.03. Conditions to Defeasance.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order to exercise either Legal Defeasance or Covenant Defeasance with respect to the Securities of any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Company must irrevocably deposit with the Trustee or other agent, as trust funds, in trust solely for the benefit of the Holders of the Securities of such series U.S. legal tender, U.S. Government Obligations or a combination thereof, in such amounts as will be sufficient (without consideration of any reinvestment of interest) in the opinion of a nationally recognized firm of independent public accountants selected by the Company, to pay the principal (including any mandatory sinking fund payments) of, premium, if any, and interest on the Securities of such series on the stated date for payment or on the Redemption Date of the principal or installment of principal of, premium, if any, or interest on such series of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in the case of Legal Defeasance, the Company shall have delivered to the Trustee an Opinion of Counsel to the effect that the beneficial owners of Securities of such series will not recognize income, gain or loss for U.S. federal income tax purposes solely as a result of the Legal Defeasance and will be subject to 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Issue Date, or the Company having received a ruling from, or published by, the Internal Revenue Service to that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in the case of Covenant Defeasance, the Company shall have delivered to the Trustee an Opinion of Counsel to the effect that the beneficial owners of Securities of such series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the Company shall have delivered to the Trustee an Officer’s Certificate and an Opinion of Counsel each stating that all conditions precedent provided for or relating to the Legal Defeasance or the Covenant Defeasance, as the case may be, have been complied with.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Notwithstanding the foregoing provisions of this Section 9.03, the conditions set forth in the foregoing subsections (b), (c), (d) and (e) need not be satisfied so long as, at the time the Company makes the deposit described in subsection (a), (i) no Default under clauses (1), (2), (8) and (9) under Section 6.01 has occurred and is continuing on the date of such deposit and after giving effect thereto, and (ii) either (x) a notice of redemption has been transmitted providing for redemption of all the Securities of such series not more than 60 days after such transmission and the requirements for such redemption shall have been complied with or (y) the Stated Maturity of the Securities of such series will occur within 60 days. If the conditions in the preceding sentence are satisfied, the Company shall be deemed to have exercised its Covenant Defeasance option.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the funds deposited with the Trustee or other agent to effect Covenant Defeasance are insufficient to pay the principal of and interest on the Securities of the applicable series when due, then the Company’s obligations and the obligations of the Guarantors under this Indenture will be revived with respect to such series and no such defeasance will be deemed to have occurred.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72" w:name="z_Toc232522605"/>
      <w:bookmarkEnd w:id="172"/>
      <w:r>
        <w:rPr>
          <w:rFonts w:ascii="Times New Roman" w:hAnsi="Times New Roman"/>
          <w:i/>
          <w:color w:val="000000"/>
          <w:sz w:val="20"/>
        </w:rPr>
        <w:t>Section 9.04. Deposited Money and U.S. Government Obligations To Be Held in Trust; Other Miscellaneous Provisions.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All money and U.S. Government Obligations (including the proceeds thereof) deposited with the Trustee or other agent pursuant to Section 9.03(a) in respect of the outstanding Securities of a series shall be held in trust and applied by the Trustee or other agent, in accordance with the provisions of such Securities and this Indenture, to the payment, either directly or through any Paying Agent, to the Holders of such Securities, of all sums due and to become due thereon in respect of principal, premium, if any, and accrued interest, but such money need not be segregated from other funds except to the extent required by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shall pay and indemnify the Trustee or other agent against any tax, fee or other charge imposed on or assessed against the U.S. Government Obligations deposited pursuant to Section 9.03(a) or the principal, premium, if any, and interest received in respect thereof other than any such tax, fee or other charge which by law is for the account of the Holders of the outstanding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Anything in this Article IX to the contrary notwithstanding, the Trustee or other agent shall deliver or pay to the Company from time to time upon a request of the Company any money or U.S. Government Obligations held by it as provided in Section 9.03(a) which, in the opinion of a nationally recognized firm of independent public accountants expressed in a written certification thereof delivered to the Trustee or other agent, are in excess of the amount thereof which would then be required to be deposited to effect an equivalent Legal Defeasance or Covenant Defeasance.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73" w:name="z_Toc232522606"/>
      <w:bookmarkStart w:id="174" w:name="z_Toc98161725"/>
      <w:bookmarkEnd w:id="173"/>
      <w:bookmarkEnd w:id="174"/>
      <w:r>
        <w:rPr>
          <w:rFonts w:ascii="Times New Roman" w:hAnsi="Times New Roman"/>
          <w:i/>
          <w:color w:val="000000"/>
          <w:sz w:val="20"/>
        </w:rPr>
        <w:t>Section 9.05. Reinstatement.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If the Trustee or Paying Agent is unable to apply any money or U.S. Government Obligations in accordance with Section 9.02 by reason of any legal proceeding or by reason of any order or judgment of any court or U.S. Governmental Authority enjoining, restraining or otherwise prohibiting such application, the Company’s obligations under this Indenture and the applicable Securities shall be revived and reinstated as though no deposit had occurred pursuant to this Article IX until such time as the Trustee or Paying Agent is permitted to apply all such money or U.S. Government Obligations in accordance with Section 9.02; </w:t>
      </w:r>
      <w:r>
        <w:rPr>
          <w:rFonts w:ascii="Times New Roman" w:hAnsi="Times New Roman"/>
          <w:i/>
          <w:color w:val="000000"/>
          <w:sz w:val="20"/>
        </w:rPr>
        <w:t xml:space="preserve">provided </w:t>
      </w:r>
      <w:r>
        <w:rPr>
          <w:rFonts w:ascii="Times New Roman" w:hAnsi="Times New Roman"/>
          <w:color w:val="000000"/>
          <w:sz w:val="20"/>
        </w:rPr>
        <w:t>that if the Company has made any payment of principal of, premium, if any, or accrued interest on any Securities because of the reinstatement of its obligations, the Company shall be subrogated to the rights of the Holders of such Securities to receive such payment from the money or U.S. Government Obligations held by the Trustee or Paying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75" w:name="z_Toc232522607"/>
      <w:bookmarkStart w:id="176" w:name="z_Toc98161726"/>
      <w:bookmarkEnd w:id="175"/>
      <w:bookmarkEnd w:id="176"/>
      <w:r>
        <w:rPr>
          <w:rFonts w:ascii="Times New Roman" w:hAnsi="Times New Roman"/>
          <w:i/>
          <w:color w:val="000000"/>
          <w:sz w:val="20"/>
        </w:rPr>
        <w:t>Section 9.06. Moneys Held by Paying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connection with the satisfaction and discharge of this Indenture, all moneys then held by any Paying Agent under the provisions of this Indenture shall, upon written demand of the Company, be paid to the Trustee, or if sufficient moneys have been deposited pursuant to Section 9.03(a), to the Company upon a request of the Company, and thereupon the Paying Agent shall be released from all further liability with respect to such moneys.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9.07. Moneys Held by Trustee.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Any moneys deposited with the Trustee or any Paying Agent or then held by the Company in trust for the payment of the principal of, or premium, if any, or interest on any Security that are not applied but remain unclaimed by the Holder of such Security for two years after the date upon which the principal of, or premium, if any, or interest on such Security shall have respectively become due and payable shall be repaid to the Company upon a request of the Company,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the Paying Agent with respect to such trust money shall thereupon cease; </w:t>
      </w:r>
      <w:r>
        <w:rPr>
          <w:rFonts w:ascii="Times New Roman" w:hAnsi="Times New Roman"/>
          <w:i/>
          <w:color w:val="000000"/>
          <w:sz w:val="20"/>
        </w:rPr>
        <w:t xml:space="preserve">provided </w:t>
      </w:r>
      <w:r>
        <w:rPr>
          <w:rFonts w:ascii="Times New Roman" w:hAnsi="Times New Roman"/>
          <w:color w:val="000000"/>
          <w:sz w:val="20"/>
        </w:rPr>
        <w:t>that the Trustee or the Paying Agent, before being required to make any such repayment, may, at the expense of the Company either transmit to each Holder affected, at the address shown in the register of the Securities maintained by the Registrar pursuant to Section 2.05,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transmission or publication, any unclaimed balance of such moneys then remaining will be repaid to the Company. After payment to the Company or the release of any money held in trust by the Company, Holders entitled to the money must look only to the Company for payment as general creditors unless applicable abandoned property law designates another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77" w:name="z_Toc232522609"/>
      <w:bookmarkEnd w:id="177"/>
      <w:r>
        <w:rPr>
          <w:rFonts w:ascii="Times New Roman" w:hAnsi="Times New Roman"/>
          <w:i/>
          <w:color w:val="000000"/>
          <w:sz w:val="20"/>
        </w:rPr>
        <w:t>Section 9.08. Deposits of Non-U.S. Currencies.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Notwithstanding the foregoing provisions of this Article IX, if the Securities of any series are payable in a Currency other than U.S. Dollars, the Currency or the nature of the government obligations to be deposited with the Trustee under the foregoing provisions of this Article IX shall be as set forth in the Company Order or established in the supplemental indenture under which the Securities of such series are issued.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bookmarkStart w:id="178" w:name="z_Toc232522610"/>
      <w:bookmarkStart w:id="179" w:name="z_Toc98161729"/>
      <w:bookmarkStart w:id="180" w:name="z_Toc97680706"/>
      <w:bookmarkEnd w:id="178"/>
      <w:bookmarkEnd w:id="179"/>
      <w:bookmarkEnd w:id="180"/>
      <w:r>
        <w:rPr>
          <w:rFonts w:ascii="Times New Roman" w:hAnsi="Times New Roman"/>
          <w:color w:val="000000"/>
          <w:sz w:val="20"/>
        </w:rPr>
        <w:t>ARTICLE X</w:t>
        <w:br/>
        <w:t>GUARANTEES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81" w:name="z_Toc232522611"/>
      <w:bookmarkEnd w:id="181"/>
      <w:r>
        <w:rPr>
          <w:rFonts w:ascii="Times New Roman" w:hAnsi="Times New Roman"/>
          <w:i/>
          <w:color w:val="000000"/>
          <w:sz w:val="20"/>
        </w:rPr>
        <w:t>Section 10.01. Guarantees.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82" w:name="T12"/>
      <w:bookmarkEnd w:id="182"/>
      <w:r>
        <w:rPr>
          <w:rFonts w:ascii="Times New Roman" w:hAnsi="Times New Roman"/>
          <w:color w:val="000000"/>
          <w:sz w:val="20"/>
        </w:rPr>
        <w:t>(a)  Except as otherwise contemplated by Section 2.02 with respect to any series of Securities, if any series of Securities is issued with the benefit of Guarantees, then the provisions of this Article X will be applicable to such Securities. Each reference in this Article X to a “Security” or the “Securities” refers to the Securities of the particular series as to which provision has been made for such Guarantees. If more than one series of Securities as to which such provision has been made are outstanding at any time, the provisions of this Article X shall be applied separately to each series.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Each Guarantor, hereby jointly and severally, absolutely, unconditionally and irrevocably guarantees the Securities and obligations of the Company hereunder and thereunder, and guarantees to each Holder of a Security authenticated and delivered by the Trustee, and to the Trustee on behalf of such Holder, that (i) the principal of (and premium, if any) and interest on the Securities will be paid in full when due, whether at Stated Maturity, by acceleration or otherwise (including, without limitation, the amount that would become due but for the operation of any automatic stay provision of any Bankruptcy Law), together with interest on the overdue principal, if any, and interest on any overdue interest, to the extent lawful, and all other obligations of the Company to the Holders or the Trustee hereunder or thereunder will be paid in full or performed, all in accordance with the terms hereof and thereof; and (ii) in case of any extension of time of payment or renewal of any Securities or of any such other obligations, the same will be paid in full when due or performed in accordance with the terms of the extension or renewal, whether at Stated Maturity, by acceleration or otherwise, subject, however, in the case of clauses (i) and (ii) above, to the limitations set forth in Section 10.03.</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Guarantor hereby agrees that its obligations hereunder shall be unconditional, irrespective of the validity, regularity or enforceability of the Securities or this Indenture, the absence of any action to enforce the same, any waiver or consent by any Holder of Securities with respect to any provisions hereof or thereof, any release of any other Guarantor, the recovery of any judgment against the Company, any action to enforce the same or any other circumstance which might otherwise constitute a legal or equitable discharge or defense of a Guarantor.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Each Guarantor hereby waives (to the extent permitted by law) the benefits of diligence, presentment, demand for payment, filing of claims with a court in the event of insolvency or bankruptcy of the Company, any right to require a proceeding first against the Company or any other Person, protest, notice and all demands whatsoever and covenants that the Guarantee of such Guarantor shall not be discharged as to any series of Securities, as the case may be, except by complete performance of the obligations contained in such Securities, this Indenture and such Guarantee. Each Guarantor acknowledges that the Guarantee is a guarantee of payment and not of collection. Each of the Guarantors hereby agrees that, in the event of a default in payment of principal (or premium, if any) or interest on such Security, whether at its Stated Maturity, by acceleration, purchase or otherwise, legal proceedings may be instituted by the Trustee on behalf of, or by, the Holder of such Security, subject to the terms and conditions set forth in this Indenture, directly against each of the Guarantors to enforce such Guarantor’s Guarantee without first proceeding against the Company or any other Guarantor. Each Guarantor agrees that if, after the occurrence and during the continuance of an Event of Default, the Trustee or any of the Holders are prevented by applicable law from exercising their respective rights to accelerate the maturity of the Securities, to collect interest on the Securities, or to enforce or exercise any other right or remedy with respect to the Securities, such Guarantor will pay to the Trustee for the account of the Holders, upon demand therefor, the amount that would otherwise have been due and payable had such rights and remedies been permitted to be exercised by the Trustee or any of the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If any Holder or the Trustee is required by any court or otherwise to return to the Company or any Guarantor, or any custodian, trustee, liquidator or other similar official acting in relation to either the Company or any Guarantor, any amount paid by any of them to the Trustee or such Holder, the Guarantee of each of the Guarantors, to the extent theretofore discharged, shall be reinstated in full force and effect. Each Guarantor further agrees that, as between each Guarantor, on the one hand, and the Holders and the Trustee, on the other hand, (x) subject to this Article X, the maturity of the obligations guaranteed hereby may be accelerated as provided in Article VI for the purposes of the Guarantee of such Guarantor, notwithstanding any stay, injunction or other prohibition preventing such acceleration in respect of the obligations guaranteed hereby, and (y) in the event of any acceleration of such obligations as provided in Article VI, such obligations (whether or not due and payable) shall forthwith become due and payable by each Guarantor for the purpose of the Guarantee of such Guarantor.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Each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Securities are, pursuant to applicable law, rescinded or reduced in amount, or must otherwise be restored or returned by any obligee on the Securities, whether as a “voidable preference,” “fraudulent transfer” or otherwise, all as though such payment or performance had not been made. In the event that any payment, or any part thereof, is rescinded, reduced, restored or returned, the Securities shall, to the fullest extent permitted by law, be reinstated and deemed reduced only by such amount paid and not so rescinded, reduced, restored or returned.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83" w:name="z_Toc232522612"/>
      <w:bookmarkStart w:id="184" w:name="z_Toc98161731"/>
      <w:bookmarkEnd w:id="183"/>
      <w:bookmarkEnd w:id="184"/>
      <w:r>
        <w:rPr>
          <w:rFonts w:ascii="Times New Roman" w:hAnsi="Times New Roman"/>
          <w:i/>
          <w:color w:val="000000"/>
          <w:sz w:val="20"/>
        </w:rPr>
        <w:t>Section 10.02. Severability.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case any provision of any Guarantee shall be invalid, illegal or unenforceable, the validity, legality, and enforceability of the remaining provisions shall not in any way be affected or impaired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85" w:name="z_Toc232522613"/>
      <w:bookmarkEnd w:id="185"/>
      <w:r>
        <w:rPr>
          <w:rFonts w:ascii="Times New Roman" w:hAnsi="Times New Roman"/>
          <w:i/>
          <w:color w:val="000000"/>
          <w:sz w:val="20"/>
        </w:rPr>
        <w:t>Section 10.03. Limitation of Liability.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Guarantor and by its acceptance hereof each Holder confirms that it is the intention of all such parties that the guarantee by each such Guarantor pursuant to its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Guarantee shall be limited to the maximum amount that will not, after giving effect to all other contingent and fixed liabilities of such Guarantor and after giving effect to any collections from or payments made by or on behalf of any other Guarantor in respect of the obligations of such other Guarantor under its Guarantee or pursuant to this Article X, result in the obligations of such Guarantor under its Guarantee constituting such fraudulent transfer or conveyance.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10.04. Contribution.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In order to provide for just and equitable contribution among the Guarantors, the Guarantors agree, </w:t>
      </w:r>
      <w:r>
        <w:rPr>
          <w:rFonts w:ascii="Times New Roman" w:hAnsi="Times New Roman"/>
          <w:i/>
          <w:color w:val="000000"/>
          <w:sz w:val="20"/>
        </w:rPr>
        <w:t>inter se</w:t>
      </w:r>
      <w:r>
        <w:rPr>
          <w:rFonts w:ascii="Times New Roman" w:hAnsi="Times New Roman"/>
          <w:color w:val="000000"/>
          <w:sz w:val="20"/>
        </w:rPr>
        <w:t xml:space="preserve">, that in the event any payment or distribution is made by any Guarantor under a Guarantee, such Guarantor will be entitled to a contribution from any other Guarantor in a </w:t>
      </w:r>
      <w:r>
        <w:rPr>
          <w:rFonts w:ascii="Times New Roman" w:hAnsi="Times New Roman"/>
          <w:i/>
          <w:color w:val="000000"/>
          <w:sz w:val="20"/>
        </w:rPr>
        <w:t xml:space="preserve">pro rata </w:t>
      </w:r>
      <w:r>
        <w:rPr>
          <w:rFonts w:ascii="Times New Roman" w:hAnsi="Times New Roman"/>
          <w:color w:val="000000"/>
          <w:sz w:val="20"/>
        </w:rPr>
        <w:t>amount based on the net assets of each Guarantor determined in accordance with GAAP.</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86" w:name="z_Toc232522615"/>
      <w:bookmarkEnd w:id="186"/>
      <w:r>
        <w:rPr>
          <w:rFonts w:ascii="Times New Roman" w:hAnsi="Times New Roman"/>
          <w:i/>
          <w:color w:val="000000"/>
          <w:sz w:val="20"/>
        </w:rPr>
        <w:t>Section 10.05. Subrogation.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Each Guarantor shall be subrogated to all rights of Holders against the Company in respect of any amounts paid by any Guarantor pursuant to the provisions of Section 10.01;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an Event of Default has occurred and is continuing, no Guarantor shall be entitled to enforce or receive any payments arising out of, or based upon, such right of subrogation until all amounts then due and payable by the Company under this Indenture or the Securities shall have been paid in full.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87" w:name="z_Toc232522616"/>
      <w:bookmarkEnd w:id="187"/>
      <w:r>
        <w:rPr>
          <w:rFonts w:ascii="Times New Roman" w:hAnsi="Times New Roman"/>
          <w:i/>
          <w:color w:val="000000"/>
          <w:sz w:val="20"/>
        </w:rPr>
        <w:t>Section 10.06. Reinstatement.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Guarantor hereby agrees (and each Person who becomes a Guarantor shall agree) that the Guarantee provided for in Section 10.01 shall continue to be effective or be reinstated, as the case may be, if at any time, payment, or any part thereof, of any obligations or interest thereon is rescinded or must otherwise be restored by a Holder to the Company upon the bankruptcy or insolvency of the Company or any Guarantor.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88" w:name="z_Toc232522617"/>
      <w:bookmarkEnd w:id="188"/>
      <w:r>
        <w:rPr>
          <w:rFonts w:ascii="Times New Roman" w:hAnsi="Times New Roman"/>
          <w:i/>
          <w:color w:val="000000"/>
          <w:sz w:val="20"/>
        </w:rPr>
        <w:t>Section 10.07. Release of a Guarantor.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Any Guarantee issued by any Guarantor under this Indenture shall be automatically and unconditionally terminated and released, without any action on the part of the Trustee, any Holder of the Securities or any other person, upon: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a sale or disposition of such Guarantor in a transaction that complies with this Indenture such that such Guarantor ceases to be a Subsidiary of the Company;</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with respect to any series of Securities, if the Company exercises its Legal Defeasance option or its Covenant Defeasance option with respect to such series of Securities or if the Company’s obligations under this Indenture are discharged with respect to such series of Securities in accordance with the terms of this Indenture;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upon such Guarantor no longer being an issuer or guarantor in respect of (i) Mylan Notes that have an aggregate principal amount in excess of $500.0 million or (ii) any Triggering Indebtedness, in each case, other than in respect of Indebtedness or Guarantees, as applicable, that are being concurrently released; or</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with respect to any series of Securities, upon receipt of the consent of the Holders of a majority of the aggregate principal amount of the outstanding Securities of such series in accordance with Section 8.02.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89" w:name="z_Toc232522618"/>
      <w:bookmarkEnd w:id="189"/>
      <w:r>
        <w:rPr>
          <w:rFonts w:ascii="Times New Roman" w:hAnsi="Times New Roman"/>
          <w:i/>
          <w:color w:val="000000"/>
          <w:sz w:val="20"/>
        </w:rPr>
        <w:t>Section 10.08. Benefits Acknowledged.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Guarantor acknowledges that it will receive direct and indirect benefits from the financing arrangements contemplated by this Indenture and that its respective Guarantee is knowingly made in contemplation of such benefits.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bookmarkStart w:id="190" w:name="z_Toc232522619"/>
      <w:bookmarkStart w:id="191" w:name="z_Toc98161738"/>
      <w:bookmarkStart w:id="192" w:name="z_Toc97680715"/>
      <w:bookmarkEnd w:id="190"/>
      <w:bookmarkEnd w:id="191"/>
      <w:bookmarkEnd w:id="192"/>
      <w:r>
        <w:rPr>
          <w:rFonts w:ascii="Times New Roman" w:hAnsi="Times New Roman"/>
          <w:color w:val="000000"/>
          <w:sz w:val="20"/>
        </w:rPr>
        <w:t>ARTICLE XI</w:t>
        <w:br/>
        <w:t>SINKING FUNDS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93" w:name="z_Toc232522620"/>
      <w:bookmarkEnd w:id="193"/>
      <w:r>
        <w:rPr>
          <w:rFonts w:ascii="Times New Roman" w:hAnsi="Times New Roman"/>
          <w:i/>
          <w:color w:val="000000"/>
          <w:sz w:val="20"/>
        </w:rPr>
        <w:t>Section 11.01. Applicability of Sinking Fund.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Except as otherwise contemplated by Section 2.02 with respect to any series of Securities, redemption of Securities permitted or required pursuant to a sinking fund for the retirement of Securities of a series by the terms of such series of Securities shall be made in accordance with such terms of such series of Securities and this Article XI.</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The minimum amount of any sinking fund payment provided for by the terms of Securities of any series is herein referred to as a “</w:t>
      </w:r>
      <w:r>
        <w:rPr>
          <w:rFonts w:ascii="Times New Roman" w:hAnsi="Times New Roman"/>
          <w:i/>
          <w:color w:val="000000"/>
          <w:sz w:val="20"/>
        </w:rPr>
        <w:t>Mandatory Sinking Fund Payment</w:t>
      </w:r>
      <w:r>
        <w:rPr>
          <w:rFonts w:ascii="Times New Roman" w:hAnsi="Times New Roman"/>
          <w:color w:val="000000"/>
          <w:sz w:val="20"/>
        </w:rPr>
        <w:t>,” and any payment in excess of such minimum amount provided for by the terms of Securities of any series is herein referred to as an “</w:t>
      </w:r>
      <w:r>
        <w:rPr>
          <w:rFonts w:ascii="Times New Roman" w:hAnsi="Times New Roman"/>
          <w:i/>
          <w:color w:val="000000"/>
          <w:sz w:val="20"/>
        </w:rPr>
        <w:t>Optional Sinking Fund Payment</w:t>
      </w:r>
      <w:r>
        <w:rPr>
          <w:rFonts w:ascii="Times New Roman" w:hAnsi="Times New Roman"/>
          <w:color w:val="000000"/>
          <w:sz w:val="20"/>
        </w:rPr>
        <w:t>.” If provided for by the terms of Securities of any series, the cash amount of any Mandatory Sinking Fund Payment may be subject to reduction as provided in Section 11.02.</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94" w:name="z_Toc232522621"/>
      <w:bookmarkEnd w:id="194"/>
      <w:r>
        <w:rPr>
          <w:rFonts w:ascii="Times New Roman" w:hAnsi="Times New Roman"/>
          <w:i/>
          <w:color w:val="000000"/>
          <w:sz w:val="20"/>
        </w:rPr>
        <w:t>Section 11.02. Mandatory Sinking Fund Obligation.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Section 3.04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95" w:name="z_Toc232522622"/>
      <w:bookmarkEnd w:id="195"/>
      <w:r>
        <w:rPr>
          <w:rFonts w:ascii="Times New Roman" w:hAnsi="Times New Roman"/>
          <w:i/>
          <w:color w:val="000000"/>
          <w:sz w:val="20"/>
        </w:rPr>
        <w:t>Section 11.03. Optional Redemption at Sinking Fund Redemption Price.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addition to the sinking fund requirements of Section 11.02,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196" w:name="z_Toc232522623"/>
      <w:bookmarkStart w:id="197" w:name="z_Toc98161742"/>
      <w:bookmarkEnd w:id="196"/>
      <w:bookmarkEnd w:id="197"/>
      <w:r>
        <w:rPr>
          <w:rFonts w:ascii="Times New Roman" w:hAnsi="Times New Roman"/>
          <w:i/>
          <w:color w:val="000000"/>
          <w:sz w:val="20"/>
        </w:rPr>
        <w:t>Section 11.04. Application of Sinking Fund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If the sinking fund payment or payments made in funds pursuant to either Section 11.02 or 11.03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3.04. Upon written direction from the Company (which direction shall confirm the amount to be redeemed), the Trustee shall select, in the manner provided in Section 3.03,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3.04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11.04.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on the Maturity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On or prior to each sinking fund payment date, the Company shall pay to the Trustee a sum equal to all interest accrued to but not including the date fixed for redemption on Securities to be redeemed on such sinking fund payment date pursuant to this Section 11.04.</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The Trustee shall not redeem any Securities of a series with sinking fund moneys or send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received written notice, except that if the notice of redemption of any Securities of such series shall theretofore have been sent in accordance with the provisions hereof, the Trustee shall redeem such Securities if funds sufficient for that purpose shall be deposited with the Trustee in accordance with the terms of this Article XI. Except as aforesaid, any moneys in the sinking fund at the time any such Default or Event of Default shall occur and any moneys thereafter paid into the sinking fund shall, during the continuance of such Event of Default, be held as security for the payment of all the Securities of such series;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 case such Default or Event of Default shall have been cured or waived as provided herein, such moneys shall thereafter be applied on the next sinking fund payment date on which such moneys are required to be applied pursuant to the provisions of this Section 11.04.</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bookmarkStart w:id="198" w:name="z_Toc232522624"/>
      <w:bookmarkStart w:id="199" w:name="z_Toc98161743"/>
      <w:bookmarkStart w:id="200" w:name="z_Toc97680720"/>
      <w:bookmarkEnd w:id="198"/>
      <w:bookmarkEnd w:id="199"/>
      <w:bookmarkEnd w:id="200"/>
      <w:r>
        <w:rPr>
          <w:rFonts w:ascii="Times New Roman" w:hAnsi="Times New Roman"/>
          <w:color w:val="000000"/>
          <w:sz w:val="20"/>
        </w:rPr>
        <w:t>ARTICLE XII</w:t>
        <w:br/>
        <w:t>MISCELLANEOUS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01" w:name="z_Toc232522625"/>
      <w:bookmarkStart w:id="202" w:name="z_Toc516656297"/>
      <w:bookmarkEnd w:id="201"/>
      <w:bookmarkEnd w:id="202"/>
      <w:r>
        <w:rPr>
          <w:rFonts w:ascii="Times New Roman" w:hAnsi="Times New Roman"/>
          <w:i/>
          <w:color w:val="000000"/>
          <w:sz w:val="20"/>
        </w:rPr>
        <w:t>Section 12.01. Trust Indenture Act Controls.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any provision of this Indenture limits, qualifies or conflicts with another provision which is required to be included in this Indenture by the TIA, the required provision shall control.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03" w:name="z_Toc232522626"/>
      <w:bookmarkStart w:id="204" w:name="z_Toc98161745"/>
      <w:bookmarkEnd w:id="203"/>
      <w:bookmarkEnd w:id="204"/>
      <w:r>
        <w:rPr>
          <w:rFonts w:ascii="Times New Roman" w:hAnsi="Times New Roman"/>
          <w:i/>
          <w:color w:val="000000"/>
          <w:sz w:val="20"/>
        </w:rPr>
        <w:t>Section 12.02. Notices.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Except for notice or communications to Holders, any notice or communication shall be given in writing and is duly given when received if delivered in person, when receipt is acknowledged if sent electronically, on the next Business Day if timely delivered by a nationally recognized courier service that guarantees overnight delivery or two Business Days after deposit if mailed by first-class mail, postage prepaid, addressed as follows:</w:t>
      </w:r>
    </w:p>
    <w:p>
      <w:pPr>
        <w:pStyle w:val="TextBody"/>
        <w:bidi w:val="0"/>
        <w:spacing w:before="0" w:after="0"/>
        <w:jc w:val="left"/>
        <w:rPr>
          <w:color w:val="000000"/>
        </w:rPr>
      </w:pPr>
      <w:r>
        <w:rPr>
          <w:color w:val="000000"/>
        </w:rPr>
        <w:t> </w:t>
      </w:r>
    </w:p>
    <w:p>
      <w:pPr>
        <w:pStyle w:val="TextBody"/>
        <w:bidi w:val="0"/>
        <w:spacing w:before="0" w:after="0"/>
        <w:ind w:left="1440" w:right="1440" w:hanging="0"/>
        <w:jc w:val="left"/>
        <w:rPr>
          <w:rFonts w:ascii="Times New Roman" w:hAnsi="Times New Roman"/>
          <w:color w:val="000000"/>
          <w:sz w:val="20"/>
        </w:rPr>
      </w:pPr>
      <w:r>
        <w:rPr>
          <w:rFonts w:ascii="Times New Roman" w:hAnsi="Times New Roman"/>
          <w:color w:val="000000"/>
          <w:sz w:val="20"/>
        </w:rPr>
        <w:t>If to the Company or any Guarantor: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1440" w:hanging="0"/>
        <w:jc w:val="left"/>
        <w:rPr>
          <w:rFonts w:ascii="Times New Roman" w:hAnsi="Times New Roman"/>
          <w:color w:val="000000"/>
          <w:sz w:val="20"/>
        </w:rPr>
      </w:pPr>
      <w:r>
        <w:rPr>
          <w:rFonts w:ascii="Times New Roman" w:hAnsi="Times New Roman"/>
          <w:color w:val="000000"/>
          <w:sz w:val="20"/>
        </w:rPr>
        <w:t>Viatris Inc.</w:t>
      </w:r>
    </w:p>
    <w:p>
      <w:pPr>
        <w:pStyle w:val="TextBody"/>
        <w:bidi w:val="0"/>
        <w:spacing w:before="0" w:after="0"/>
        <w:ind w:left="1440" w:right="1440" w:hanging="0"/>
        <w:jc w:val="left"/>
        <w:rPr>
          <w:rFonts w:ascii="Times New Roman" w:hAnsi="Times New Roman"/>
          <w:color w:val="000000"/>
          <w:sz w:val="20"/>
        </w:rPr>
      </w:pPr>
      <w:r>
        <w:rPr>
          <w:rFonts w:ascii="Times New Roman" w:hAnsi="Times New Roman"/>
          <w:color w:val="000000"/>
          <w:sz w:val="20"/>
        </w:rPr>
        <w:t>1000 Mylan Boulevard</w:t>
      </w:r>
    </w:p>
    <w:p>
      <w:pPr>
        <w:pStyle w:val="TextBody"/>
        <w:bidi w:val="0"/>
        <w:spacing w:before="0" w:after="0"/>
        <w:ind w:left="1440" w:right="1440" w:hanging="0"/>
        <w:jc w:val="left"/>
        <w:rPr>
          <w:rFonts w:ascii="Times New Roman" w:hAnsi="Times New Roman"/>
          <w:color w:val="000000"/>
          <w:sz w:val="20"/>
        </w:rPr>
      </w:pPr>
      <w:r>
        <w:rPr>
          <w:rFonts w:ascii="Times New Roman" w:hAnsi="Times New Roman"/>
          <w:color w:val="000000"/>
          <w:sz w:val="20"/>
        </w:rPr>
        <w:t>Canonsburg, PA 15317</w:t>
      </w:r>
    </w:p>
    <w:p>
      <w:pPr>
        <w:pStyle w:val="TextBody"/>
        <w:bidi w:val="0"/>
        <w:spacing w:before="0" w:after="0"/>
        <w:ind w:left="1800" w:right="1440" w:hanging="360"/>
        <w:jc w:val="left"/>
        <w:rPr>
          <w:rFonts w:ascii="Times New Roman" w:hAnsi="Times New Roman"/>
          <w:color w:val="000000"/>
          <w:sz w:val="20"/>
        </w:rPr>
      </w:pPr>
      <w:r>
        <w:rPr>
          <w:rFonts w:ascii="Times New Roman" w:hAnsi="Times New Roman"/>
          <w:color w:val="000000"/>
          <w:sz w:val="20"/>
        </w:rPr>
        <w:t>Attn: Chief Financial Officer, Treasurer and Assistant Secretary</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144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Cravath, Swaine &amp; Moore LLP</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375 Ninth Avenue</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New York, NY 10001</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Attn: Ryan J. Patrone</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rpatrone@cravath.com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If to the Trustee: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1440" w:hanging="0"/>
        <w:jc w:val="left"/>
        <w:rPr>
          <w:rFonts w:ascii="Times New Roman" w:hAnsi="Times New Roman"/>
          <w:color w:val="000000"/>
          <w:sz w:val="20"/>
        </w:rPr>
      </w:pPr>
      <w:r>
        <w:rPr>
          <w:rFonts w:ascii="Times New Roman" w:hAnsi="Times New Roman"/>
          <w:color w:val="000000"/>
          <w:sz w:val="20"/>
        </w:rPr>
        <w:t>Mailing Address:</w:t>
      </w:r>
    </w:p>
    <w:p>
      <w:pPr>
        <w:pStyle w:val="TextBody"/>
        <w:bidi w:val="0"/>
        <w:spacing w:before="0" w:after="0"/>
        <w:ind w:left="1440" w:right="1440" w:hanging="0"/>
        <w:jc w:val="left"/>
        <w:rPr>
          <w:rFonts w:ascii="Times New Roman" w:hAnsi="Times New Roman"/>
          <w:color w:val="000000"/>
          <w:sz w:val="20"/>
        </w:rPr>
      </w:pPr>
      <w:r>
        <w:rPr>
          <w:rFonts w:ascii="Times New Roman" w:hAnsi="Times New Roman"/>
          <w:color w:val="000000"/>
          <w:sz w:val="20"/>
        </w:rPr>
        <w:t>The Bank of New York Mellon</w:t>
      </w:r>
    </w:p>
    <w:p>
      <w:pPr>
        <w:pStyle w:val="TextBody"/>
        <w:bidi w:val="0"/>
        <w:spacing w:before="0" w:after="0"/>
        <w:ind w:left="1440" w:right="1440" w:hanging="0"/>
        <w:jc w:val="left"/>
        <w:rPr>
          <w:rFonts w:ascii="Times New Roman" w:hAnsi="Times New Roman"/>
          <w:color w:val="000000"/>
          <w:sz w:val="20"/>
        </w:rPr>
      </w:pPr>
      <w:r>
        <w:rPr>
          <w:rFonts w:ascii="Times New Roman" w:hAnsi="Times New Roman"/>
          <w:color w:val="000000"/>
          <w:sz w:val="20"/>
        </w:rPr>
        <w:t>500 Ross Street, 12th Floor</w:t>
      </w:r>
    </w:p>
    <w:p>
      <w:pPr>
        <w:pStyle w:val="TextBody"/>
        <w:bidi w:val="0"/>
        <w:spacing w:before="0" w:after="0"/>
        <w:ind w:left="1440" w:right="1440" w:hanging="0"/>
        <w:jc w:val="left"/>
        <w:rPr>
          <w:rFonts w:ascii="Times New Roman" w:hAnsi="Times New Roman"/>
          <w:color w:val="000000"/>
          <w:sz w:val="20"/>
        </w:rPr>
      </w:pPr>
      <w:r>
        <w:rPr>
          <w:rFonts w:ascii="Times New Roman" w:hAnsi="Times New Roman"/>
          <w:color w:val="000000"/>
          <w:sz w:val="20"/>
        </w:rPr>
        <w:t>Pittsburgh, PA 15262</w:t>
      </w:r>
    </w:p>
    <w:p>
      <w:pPr>
        <w:pStyle w:val="TextBody"/>
        <w:bidi w:val="0"/>
        <w:spacing w:before="0" w:after="0"/>
        <w:ind w:left="1440" w:right="1440" w:hanging="0"/>
        <w:jc w:val="left"/>
        <w:rPr>
          <w:rFonts w:ascii="Times New Roman" w:hAnsi="Times New Roman"/>
          <w:color w:val="000000"/>
          <w:sz w:val="20"/>
        </w:rPr>
      </w:pPr>
      <w:r>
        <w:rPr>
          <w:rFonts w:ascii="Times New Roman" w:hAnsi="Times New Roman"/>
          <w:color w:val="000000"/>
          <w:sz w:val="20"/>
        </w:rPr>
        <w:t>Attn: Corporate Trust Administration</w:t>
      </w:r>
    </w:p>
    <w:p>
      <w:pPr>
        <w:pStyle w:val="TextBody"/>
        <w:bidi w:val="0"/>
        <w:spacing w:before="0" w:after="0"/>
        <w:ind w:left="1440" w:right="1440" w:hanging="0"/>
        <w:jc w:val="left"/>
        <w:rPr>
          <w:rFonts w:ascii="Times New Roman" w:hAnsi="Times New Roman"/>
          <w:color w:val="000000"/>
          <w:sz w:val="20"/>
        </w:rPr>
      </w:pPr>
      <w:r>
        <w:rPr>
          <w:rFonts w:ascii="Times New Roman" w:hAnsi="Times New Roman"/>
          <w:color w:val="000000"/>
          <w:sz w:val="20"/>
        </w:rPr>
        <w:t>Email: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Such notices or communications shall be effective when actually received and shall be sufficiently given if so given within the time prescribed in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the Guarantors or the Trustee by written notice to the others may designate additional or different addresses for subsequent notices or communications.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Trustee in any of its capacities hereunder shall have the right to accept and act upon instructions, including funds transfer instructions (“</w:t>
      </w:r>
      <w:r>
        <w:rPr>
          <w:rFonts w:ascii="Times New Roman" w:hAnsi="Times New Roman"/>
          <w:i/>
          <w:color w:val="000000"/>
          <w:sz w:val="20"/>
        </w:rPr>
        <w:t>Instructions</w:t>
      </w:r>
      <w:r>
        <w:rPr>
          <w:rFonts w:ascii="Times New Roman" w:hAnsi="Times New Roman"/>
          <w:color w:val="000000"/>
          <w:sz w:val="20"/>
        </w:rPr>
        <w:t xml:space="preserve">”) given pursuant to this Indenture and delivered using Electronic Means;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Company and/or any Guarantor, as applicable, shall provide to the Trustee an incumbency certificate listing officers with the authority to provide such Instructions (“</w:t>
      </w:r>
      <w:r>
        <w:rPr>
          <w:rFonts w:ascii="Times New Roman" w:hAnsi="Times New Roman"/>
          <w:i/>
          <w:color w:val="000000"/>
          <w:sz w:val="20"/>
        </w:rPr>
        <w:t>Authorized Officers</w:t>
      </w:r>
      <w:r>
        <w:rPr>
          <w:rFonts w:ascii="Times New Roman" w:hAnsi="Times New Roman"/>
          <w:color w:val="000000"/>
          <w:sz w:val="20"/>
        </w:rPr>
        <w:t>”) and containing specimen signatures of such Authorized Officers, which incumbency certificate shall be amended by the Company and/or such Guarantor, as applicable, whenever a person is to be added or deleted from the listing. If the Company and/or any Guarantor, as applicable, elects to give the Trustee Instructions using Electronic Means and the Trustee in its discretion elects to act upon such Instructions, the Trustee’s understanding of such Instructions shall be deemed controlling. The Company and any Guarantor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and any Guarantor shall be responsible for ensuring that only Authorized Officers transmit such Instructions to the Trustee and that the Company, any Guarantor and all Authorized Officers are solely responsible to safeguard the use and confidentiality of applicable user and authorization codes, passwords and/or authentication keys upon receipt by the Company and/or such Guarantor, as applicable.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and any Guarantor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and/or such Guarantor,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Any notice or communication transmitted to a Holder shall be transmitted to him or her at his or her address shown on the register kept by the Registrar.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Failure to transmit a notice or communication to a Holder or any defect in it shall not affect its sufficiency with respect to other Holders. If a notice or communication to a Holder is transmitted in the manner provided above, it shall be deemed duly given, whether or not the addressee receives it.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the Company transmits a notice or communication to Holders, it will transmit a copy to the Trustee and each Agent at the same time.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Notwithstanding anything to the contrary contained herein, as long as the Securities of a series are in the form of a Global Security, notice to the Holders of such series may be made electronically in accordance with the applicable procedures of the Depositary.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05" w:name="z_Toc232522627"/>
      <w:bookmarkEnd w:id="205"/>
      <w:r>
        <w:rPr>
          <w:rFonts w:ascii="Times New Roman" w:hAnsi="Times New Roman"/>
          <w:i/>
          <w:color w:val="000000"/>
          <w:sz w:val="20"/>
        </w:rPr>
        <w:t>Section 12.03. Certificate and Opinion as to Conditions Precedent.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Upon any request or application by the Company to the Trustee to take any action under this Indenture, if so requested by the Trustee, the Company shall furnish to the Trustee: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an Officer’s Certificate (which must include the statements set forth in Section 12.04) stating that, in the opinion of the signer, all conditions precedent, if any, provided for in this Indenture relating to the proposed action have been complied with;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an Opinion of Counsel (which must include the statements set forth in Section 12.04) stating that, in the opinion of such counsel, all such conditions precedent have been complied with.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06" w:name="z_Toc232522628"/>
      <w:bookmarkStart w:id="207" w:name="z_Toc98161747"/>
      <w:bookmarkEnd w:id="206"/>
      <w:bookmarkEnd w:id="207"/>
      <w:r>
        <w:rPr>
          <w:rFonts w:ascii="Times New Roman" w:hAnsi="Times New Roman"/>
          <w:i/>
          <w:color w:val="000000"/>
          <w:sz w:val="20"/>
        </w:rPr>
        <w:t>Section 12.04. Statements Required in Certificate and Opinion.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certificate or opinion with respect to compliance with a condition or covenant provided for in this Indenture must include:</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(1)  a statement that the Person making such certificate or opinion has read such covenant or condition;</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(2)  a brief statement as to the nature and scope of the examination or investigation upon which the statements or opinions contained in such certificate or opinion are based;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(3)  a statement that, in the opinion of such Person, he or she has made such examination or investigation as is necessary to enable him or her to express an informed opinion as to whether or not such covenant or condition has been complied with;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left"/>
        <w:rPr>
          <w:rFonts w:ascii="Times New Roman" w:hAnsi="Times New Roman"/>
          <w:color w:val="000000"/>
          <w:sz w:val="20"/>
        </w:rPr>
      </w:pPr>
      <w:r>
        <w:rPr>
          <w:rFonts w:ascii="Times New Roman" w:hAnsi="Times New Roman"/>
          <w:color w:val="000000"/>
          <w:sz w:val="20"/>
        </w:rPr>
        <w:t>(4)  a statement as to whether or not, in the opinion of such Person, such condition or covenant has been complied with.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08" w:name="z_Toc232522629"/>
      <w:bookmarkEnd w:id="208"/>
      <w:r>
        <w:rPr>
          <w:rFonts w:ascii="Times New Roman" w:hAnsi="Times New Roman"/>
          <w:i/>
          <w:color w:val="000000"/>
          <w:sz w:val="20"/>
        </w:rPr>
        <w:t>Section 12.05. Communications by Holders with Other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Holders may communicate pursuant to TIA § 312(b) with other Holders with respect to their rights under this Indenture or the Securities. The Company, the Trustee, the Registrar and anyone else shall have the protection of TIA § 312(c).</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12.06. Rules by Trustee and Agents.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Trustee may make reasonable rules for action by or at a meeting of Holders. The Registrar or Paying Agent may make reasonable rules and set reasonable requirements for its functions.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09" w:name="z_Toc232522631"/>
      <w:bookmarkEnd w:id="209"/>
      <w:r>
        <w:rPr>
          <w:rFonts w:ascii="Times New Roman" w:hAnsi="Times New Roman"/>
          <w:i/>
          <w:color w:val="000000"/>
          <w:sz w:val="20"/>
        </w:rPr>
        <w:t>Section 12.07. No Personal Liability of Directors, Officers, Employees and Stockholders.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 past, present or future director, board member, member, partner, officer, employee or equityholder of the Company, any Guarantor or any of their respective Subsidiaries will have any liability for any of the Company’s or such Guarantor’s obligations under the Securities or this Indenture or for any claim based on, in respect of, or by reason of, such obligations or their creation (other than the Guarantors in respect of their respective Guarantees and the Company in respect of the Securities). Each Holder of Securities by accepting a Security waives and releases all such liability. The waiver and release are part of the consideration for issuance of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10" w:name="z_Toc232522632"/>
      <w:bookmarkEnd w:id="210"/>
      <w:r>
        <w:rPr>
          <w:rFonts w:ascii="Times New Roman" w:hAnsi="Times New Roman"/>
          <w:i/>
          <w:color w:val="000000"/>
          <w:sz w:val="20"/>
        </w:rPr>
        <w:t>Section 12.08. Governing Law; Waiver of Jury Trial; Jurisdiction.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INTERNAL LAW OF THE STATE OF NEW YORK (INCLUDING, WITHOUT LIMITATION, SECTION 5-1401 OF THE NEW YORK GENERAL OBLIGATIONS LAW OR ANY SUCCESSOR TO SUCH STATUTE) WILL GOVERN AND BE USED TO CONSTRUE THIS INDENTURE, THE SECURITIES AND THE GUARANTEES WITHOUT GIVING EFFECT TO APPLICABLE PRINCIPLES OF CONFLICTS OF LAW TO THE EXTENT THAT THE APPLICATION OF THE LAWS OF ANOTHER JURISDICTION WOULD BE REQUIRED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PARTY HEREBY, AND EACH HOLDER OF A SECURITY BY ITS ACCEPTANCE THEREOF, WAIVES, TO THE FULLEST EXTENT PERMITTED BY APPLICABLE LAW, ANY RIGHT IT MAY HAVE TO A TRIAL BY JURY IN RESPECT OF ANY LITIGATION DIRECTLY OR INDIRECTLY ARISING OUT OF, OR IN CONNECTION WITH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THE COMPANY HEREBY IRREVOCABLY CONSENTS TO THE SERVICE OF PROCESS OUT OF ANY OF THE AFOREMENTIONED COURTS IN ANY SUCH ACTION OR PROCEEDING BY THE MAILING OF COPIES THEREOF BY REGISTERED OR CERTIFIED MAIL, POSTAGE PREPAID, TO THE COMPANY AT ITS ADDRESS REFERRED TO IN SECTION 12.02.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 OR TO COMMENCE LEGAL PROCEEDINGS OR OTHERWISE PROCEED IN ANY OTHER JURISDICTION.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11" w:name="z_Toc232522633"/>
      <w:bookmarkEnd w:id="211"/>
      <w:r>
        <w:rPr>
          <w:rFonts w:ascii="Times New Roman" w:hAnsi="Times New Roman"/>
          <w:i/>
          <w:color w:val="000000"/>
          <w:sz w:val="20"/>
        </w:rPr>
        <w:t>Section 12.09. No Adverse Interpretation of Other Agreements.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Indenture may not be used to interpret any other indenture, loan or debt agreement of the Company or its Subsidiaries or of any other Person. Any such indenture, loan or debt agreement may not be used to interpret this Indenture.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12.10. Successors.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All agreements of the Company in this Indenture and the Securities will bind its successors. All agreements of the Trustee in this Indenture will bind its successors. All agreements of each Guarantor in this Indenture will bind its successors, except as otherwise provided in Section 10.07.</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12" w:name="z_Toc232522635"/>
      <w:bookmarkEnd w:id="212"/>
      <w:r>
        <w:rPr>
          <w:rFonts w:ascii="Times New Roman" w:hAnsi="Times New Roman"/>
          <w:i/>
          <w:color w:val="000000"/>
          <w:sz w:val="20"/>
        </w:rPr>
        <w:t>Section 12.11. Separability.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case any provision in this Indenture or in the Securities is invalid, illegal or unenforceable, the validity, legality and enforceability of the remaining provisions will not in any way be affected or impaired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13" w:name="z_Toc232522636"/>
      <w:bookmarkEnd w:id="213"/>
      <w:r>
        <w:rPr>
          <w:rFonts w:ascii="Times New Roman" w:hAnsi="Times New Roman"/>
          <w:i/>
          <w:color w:val="000000"/>
          <w:sz w:val="20"/>
        </w:rPr>
        <w:t>Section 12.12. Counterpart Originals.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parties may sign any number of copies of this Indenture. Each signed copy will be an original, but all of them together represent the same agreement. The exchange of copies of this Indenture and of signature pages by electronic format (</w:t>
      </w:r>
      <w:r>
        <w:rPr>
          <w:rFonts w:ascii="Times New Roman" w:hAnsi="Times New Roman"/>
          <w:i/>
          <w:color w:val="000000"/>
          <w:sz w:val="20"/>
        </w:rPr>
        <w:t>i.e</w:t>
      </w:r>
      <w:r>
        <w:rPr>
          <w:rFonts w:ascii="Times New Roman" w:hAnsi="Times New Roman"/>
          <w:color w:val="000000"/>
          <w:sz w:val="20"/>
        </w:rPr>
        <w:t>., “pdf” or “tif”) transmission shall constitute effective execution and delivery of this Indenture as to the parties hereto and may be used in lieu of the original Indenture for all purposes. Signatures of the parties hereto transmitted by electronic format (</w:t>
      </w:r>
      <w:r>
        <w:rPr>
          <w:rFonts w:ascii="Times New Roman" w:hAnsi="Times New Roman"/>
          <w:i/>
          <w:color w:val="000000"/>
          <w:sz w:val="20"/>
        </w:rPr>
        <w:t>i.e</w:t>
      </w:r>
      <w:r>
        <w:rPr>
          <w:rFonts w:ascii="Times New Roman" w:hAnsi="Times New Roman"/>
          <w:color w:val="000000"/>
          <w:sz w:val="20"/>
        </w:rPr>
        <w:t>., “pdf” or “tif”) shall be deemed to be their original signatures for all purposes.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14" w:name="z_Toc232522637"/>
      <w:bookmarkEnd w:id="214"/>
      <w:r>
        <w:rPr>
          <w:rFonts w:ascii="Times New Roman" w:hAnsi="Times New Roman"/>
          <w:i/>
          <w:color w:val="000000"/>
          <w:sz w:val="20"/>
        </w:rPr>
        <w:t>Section 12.13. Table of Contents, Headings, etc.</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15" w:name="z_Toc232522638"/>
      <w:bookmarkStart w:id="216" w:name="z_Toc98161757"/>
      <w:bookmarkEnd w:id="215"/>
      <w:bookmarkEnd w:id="216"/>
      <w:r>
        <w:rPr>
          <w:rFonts w:ascii="Times New Roman" w:hAnsi="Times New Roman"/>
          <w:i/>
          <w:color w:val="000000"/>
          <w:sz w:val="20"/>
        </w:rPr>
        <w:t>Section 12.14. Benefits of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Nothing in this Indenture expressed and nothing that may be implied from any of the provisions hereof is intended, or shall be construed, to confer upon, or to give to, any Person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17" w:name="z_Toc232522639"/>
      <w:bookmarkStart w:id="218" w:name="z_Toc98161758"/>
      <w:bookmarkEnd w:id="217"/>
      <w:bookmarkEnd w:id="218"/>
      <w:r>
        <w:rPr>
          <w:rFonts w:ascii="Times New Roman" w:hAnsi="Times New Roman"/>
          <w:i/>
          <w:color w:val="000000"/>
          <w:sz w:val="20"/>
        </w:rPr>
        <w:t>Section 12.15. Electronic Delivery.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parties acknowledge and agree that they may execute this Indenture, and any variation or amendment to the same, and all documents required to be delivered in connection with this Indenture, by electronic instrument. The parties agree that the electronic signatures appearing on this Indenture and on all documents required to be delivered in connection with this Indenture shall have the same effect as handwritten signatures and the use of an electronic signature on this Indenture and on all documents required to be delivered in connection with this Indenture shall have the same validity and legal effect as the use of a signature affixed by hand and is made with the intention of authenticating this Indenture and on all documents required to be delivered in connection with this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bookmarkStart w:id="219" w:name="z_Toc232522640"/>
      <w:bookmarkEnd w:id="219"/>
      <w:r>
        <w:rPr>
          <w:rFonts w:ascii="Times New Roman" w:hAnsi="Times New Roman"/>
          <w:i/>
          <w:color w:val="000000"/>
          <w:sz w:val="20"/>
        </w:rPr>
        <w:t>Section 12.16. Office of Foreign Assets Control Sanctions Representations.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w:t>
      </w:r>
      <w:bookmarkStart w:id="220" w:name="z_Hlk164868040"/>
      <w:bookmarkStart w:id="221" w:name="z_Hlk121492577"/>
      <w:bookmarkEnd w:id="220"/>
      <w:bookmarkEnd w:id="221"/>
      <w:r>
        <w:rPr>
          <w:rFonts w:ascii="Times New Roman" w:hAnsi="Times New Roman"/>
          <w:color w:val="000000"/>
          <w:sz w:val="20"/>
        </w:rPr>
        <w:t>The Company represents that neither it nor any of its affiliates, subsidiaries, directors or officers are the target or subject of any sanctions enforced by the U.S. government (including, without limitation, the Office of Foreign Assets Control of the U.S. Department of the Treasury or the U.S. Department of State), the United Nations Security Council, the European Union, His Majesty’s Treasury, or other relevant sanctions authority (collectively “</w:t>
      </w:r>
      <w:r>
        <w:rPr>
          <w:rFonts w:ascii="Times New Roman" w:hAnsi="Times New Roman"/>
          <w:i/>
          <w:color w:val="000000"/>
          <w:sz w:val="20"/>
        </w:rPr>
        <w:t>Sanctions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t>
      </w:r>
      <w:bookmarkStart w:id="222" w:name="z_Hlk121492605"/>
      <w:bookmarkEnd w:id="222"/>
      <w:r>
        <w:rPr>
          <w:rFonts w:ascii="Times New Roman" w:hAnsi="Times New Roman"/>
          <w:color w:val="000000"/>
          <w:sz w:val="20"/>
        </w:rPr>
        <w:t>The Company covenants that, other than pursuant to a valid and applicable license, neither it nor any of its affiliates, subsidiaries, directors or officers will directly or indirectly use any payments made pursuant to this agreement,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Section 12.17. Foreign Account Tax Compliance Act (FACTA).</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23" w:name="z_Hlk164867978"/>
      <w:bookmarkEnd w:id="223"/>
      <w:r>
        <w:rPr>
          <w:rFonts w:ascii="Times New Roman" w:hAnsi="Times New Roman"/>
          <w:color w:val="000000"/>
          <w:sz w:val="20"/>
        </w:rPr>
        <w:t>In order to comply with applicable tax laws, rules and regulations (inclusive of directives, guidelines and interpretations promulgated by competent authorities) in effect from time to time (“</w:t>
      </w:r>
      <w:r>
        <w:rPr>
          <w:rFonts w:ascii="Times New Roman" w:hAnsi="Times New Roman"/>
          <w:i/>
          <w:color w:val="000000"/>
          <w:sz w:val="20"/>
        </w:rPr>
        <w:t>Applicable Law</w:t>
      </w:r>
      <w:r>
        <w:rPr>
          <w:rFonts w:ascii="Times New Roman" w:hAnsi="Times New Roman"/>
          <w:color w:val="000000"/>
          <w:sz w:val="20"/>
        </w:rPr>
        <w:t>”), the Company agrees (i) to provide to The Bank of New York Mellon sufficient information about Holders or other applicable parties and/or transactions (including any modification to the terms of such transactions), to the extent such information is directly available to the Company, so The Bank of New York Mellon can determine whether it has tax-related obligations under Applicable Law, (ii) that The Bank of New York Mellon shall be entitled to make any withholding or deduction from payments under the Indenture to the extent necessary to comply with Applicable Law for which The Bank of New York Mellon shall not have any liability, and (iii) to hold harmless The Bank of New York Mellon for any losses it may suffer due to the actions it takes to comply with such Applicable Law.  The terms of this section shall survive the termination of this Indenture.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[Signatures on following page]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the parties have caused this Indenture to be duly executed as of the date first written above.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4" w:name="zb7a82105750d4cfe9d540c99035575e9"/>
      <w:bookmarkStart w:id="225" w:name="zb7a82105750d4cfe9d540c99035575e9"/>
      <w:bookmarkEnd w:id="225"/>
    </w:p>
    <w:tbl>
      <w:tblPr>
        <w:tblW w:w="3490" w:type="dxa"/>
        <w:jc w:val="left"/>
        <w:tblInd w:w="0" w:type="dxa"/>
        <w:tblLayout w:type="fixed"/>
        <w:tblCellMar>
          <w:top w:w="0" w:type="dxa"/>
          <w:left w:w="0" w:type="dxa"/>
          <w:bottom w:w="0" w:type="dxa"/>
          <w:right w:w="0" w:type="dxa"/>
        </w:tblCellMar>
      </w:tblPr>
      <w:tblGrid>
        <w:gridCol w:w="60"/>
        <w:gridCol w:w="365"/>
        <w:gridCol w:w="3065"/>
      </w:tblGrid>
      <w:tr>
        <w:trPr/>
        <w:tc>
          <w:tcPr>
            <w:tcW w:w="60" w:type="dxa"/>
            <w:tcBorders/>
            <w:vAlign w:val="center"/>
          </w:tcPr>
          <w:p>
            <w:pPr>
              <w:pStyle w:val="TableContents"/>
              <w:bidi w:val="0"/>
              <w:spacing w:before="0" w:after="283"/>
              <w:jc w:val="left"/>
              <w:rPr/>
            </w:pPr>
            <w:r>
              <w:rPr/>
              <w:t> </w:t>
            </w:r>
          </w:p>
        </w:tc>
        <w:tc>
          <w:tcPr>
            <w:tcW w:w="3430" w:type="dxa"/>
            <w:gridSpan w:val="2"/>
            <w:tcBorders/>
            <w:vAlign w:val="center"/>
          </w:tcPr>
          <w:p>
            <w:pPr>
              <w:pStyle w:val="TableContents"/>
              <w:bidi w:val="0"/>
              <w:spacing w:before="0" w:after="0"/>
              <w:jc w:val="left"/>
              <w:rPr/>
            </w:pPr>
            <w:r>
              <w:rPr/>
              <w:t>VIATRIS INC.</w:t>
            </w:r>
          </w:p>
        </w:tc>
      </w:tr>
      <w:tr>
        <w:trPr/>
        <w:tc>
          <w:tcPr>
            <w:tcW w:w="60" w:type="dxa"/>
            <w:tcBorders/>
            <w:vAlign w:val="center"/>
          </w:tcPr>
          <w:p>
            <w:pPr>
              <w:pStyle w:val="TableContents"/>
              <w:bidi w:val="0"/>
              <w:spacing w:before="0" w:after="283"/>
              <w:jc w:val="left"/>
              <w:rPr/>
            </w:pPr>
            <w:r>
              <w:rPr/>
              <w:t> </w:t>
            </w:r>
          </w:p>
        </w:tc>
        <w:tc>
          <w:tcPr>
            <w:tcW w:w="343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3065" w:type="dxa"/>
            <w:tcBorders>
              <w:bottom w:val="single" w:sz="12" w:space="0" w:color="000000"/>
            </w:tcBorders>
            <w:tcMar>
              <w:bottom w:w="28" w:type="dxa"/>
            </w:tcMar>
            <w:vAlign w:val="center"/>
          </w:tcPr>
          <w:p>
            <w:pPr>
              <w:pStyle w:val="TableContents"/>
              <w:bidi w:val="0"/>
              <w:spacing w:before="0" w:after="0"/>
              <w:jc w:val="left"/>
              <w:rPr/>
            </w:pPr>
            <w:r>
              <w:rPr/>
              <w:t>/s/ John Miraglia</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pPr>
            <w:r>
              <w:rPr/>
              <w:t>Name: John Miraglia</w:t>
              <w:br/>
              <w:t>Title:   Head of Global Treasury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26" w:name="z94663ceb1b0d4725b0757981cea77845"/>
      <w:bookmarkStart w:id="227" w:name="z94663ceb1b0d4725b0757981cea77845"/>
      <w:bookmarkEnd w:id="227"/>
    </w:p>
    <w:tbl>
      <w:tblPr>
        <w:tblW w:w="4909" w:type="dxa"/>
        <w:jc w:val="left"/>
        <w:tblInd w:w="0" w:type="dxa"/>
        <w:tblLayout w:type="fixed"/>
        <w:tblCellMar>
          <w:top w:w="0" w:type="dxa"/>
          <w:left w:w="0" w:type="dxa"/>
          <w:bottom w:w="0" w:type="dxa"/>
          <w:right w:w="0" w:type="dxa"/>
        </w:tblCellMar>
      </w:tblPr>
      <w:tblGrid>
        <w:gridCol w:w="75"/>
        <w:gridCol w:w="458"/>
        <w:gridCol w:w="4376"/>
      </w:tblGrid>
      <w:tr>
        <w:trPr/>
        <w:tc>
          <w:tcPr>
            <w:tcW w:w="75" w:type="dxa"/>
            <w:tcBorders/>
            <w:vAlign w:val="center"/>
          </w:tcPr>
          <w:p>
            <w:pPr>
              <w:pStyle w:val="TableContents"/>
              <w:bidi w:val="0"/>
              <w:spacing w:before="0" w:after="283"/>
              <w:jc w:val="left"/>
              <w:rPr/>
            </w:pPr>
            <w:r>
              <w:rPr/>
              <w:t> </w:t>
            </w:r>
          </w:p>
        </w:tc>
        <w:tc>
          <w:tcPr>
            <w:tcW w:w="4834" w:type="dxa"/>
            <w:gridSpan w:val="2"/>
            <w:tcBorders/>
            <w:vAlign w:val="center"/>
          </w:tcPr>
          <w:p>
            <w:pPr>
              <w:pStyle w:val="TableContents"/>
              <w:bidi w:val="0"/>
              <w:spacing w:before="0" w:after="0"/>
              <w:jc w:val="left"/>
              <w:rPr/>
            </w:pPr>
            <w:r>
              <w:rPr/>
              <w:t>UTAH ACQUISITION SUB INC.</w:t>
            </w:r>
            <w:r>
              <w:rPr>
                <w:color w:val="000000"/>
              </w:rPr>
              <w:t>, as Guarantor,</w:t>
            </w:r>
          </w:p>
        </w:tc>
      </w:tr>
      <w:tr>
        <w:trPr/>
        <w:tc>
          <w:tcPr>
            <w:tcW w:w="75" w:type="dxa"/>
            <w:tcBorders/>
            <w:vAlign w:val="center"/>
          </w:tcPr>
          <w:p>
            <w:pPr>
              <w:pStyle w:val="TableContents"/>
              <w:bidi w:val="0"/>
              <w:spacing w:before="0" w:after="283"/>
              <w:jc w:val="left"/>
              <w:rPr/>
            </w:pPr>
            <w:r>
              <w:rPr/>
              <w:t> </w:t>
            </w:r>
          </w:p>
        </w:tc>
        <w:tc>
          <w:tcPr>
            <w:tcW w:w="48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0"/>
              <w:jc w:val="left"/>
              <w:rPr/>
            </w:pPr>
            <w:r>
              <w:rPr/>
              <w:t>By:</w:t>
            </w:r>
          </w:p>
        </w:tc>
        <w:tc>
          <w:tcPr>
            <w:tcW w:w="4376" w:type="dxa"/>
            <w:tcBorders>
              <w:bottom w:val="single" w:sz="12" w:space="0" w:color="000000"/>
            </w:tcBorders>
            <w:tcMar>
              <w:bottom w:w="28" w:type="dxa"/>
            </w:tcMar>
            <w:vAlign w:val="center"/>
          </w:tcPr>
          <w:p>
            <w:pPr>
              <w:pStyle w:val="TableContents"/>
              <w:bidi w:val="0"/>
              <w:spacing w:before="0" w:after="0"/>
              <w:jc w:val="left"/>
              <w:rPr/>
            </w:pPr>
            <w:r>
              <w:rPr/>
              <w:t>/s/ Michael Rainerman</w:t>
            </w:r>
          </w:p>
        </w:tc>
      </w:tr>
      <w:tr>
        <w:trPr/>
        <w:tc>
          <w:tcPr>
            <w:tcW w:w="75"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4376" w:type="dxa"/>
            <w:tcBorders/>
            <w:vAlign w:val="center"/>
          </w:tcPr>
          <w:p>
            <w:pPr>
              <w:pStyle w:val="TableContents"/>
              <w:bidi w:val="0"/>
              <w:spacing w:before="0" w:after="0"/>
              <w:jc w:val="left"/>
              <w:rPr/>
            </w:pPr>
            <w:r>
              <w:rPr/>
              <w:t>Name: Michael Rainerman</w:t>
              <w:br/>
              <w:t>Title:   Director, President, Secretary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28" w:name="z49873f6cf19948cda43603a7144ae2d3"/>
      <w:bookmarkStart w:id="229" w:name="z49873f6cf19948cda43603a7144ae2d3"/>
      <w:bookmarkEnd w:id="229"/>
    </w:p>
    <w:tbl>
      <w:tblPr>
        <w:tblW w:w="3295" w:type="dxa"/>
        <w:jc w:val="left"/>
        <w:tblInd w:w="0" w:type="dxa"/>
        <w:tblLayout w:type="fixed"/>
        <w:tblCellMar>
          <w:top w:w="0" w:type="dxa"/>
          <w:left w:w="0" w:type="dxa"/>
          <w:bottom w:w="0" w:type="dxa"/>
          <w:right w:w="0" w:type="dxa"/>
        </w:tblCellMar>
      </w:tblPr>
      <w:tblGrid>
        <w:gridCol w:w="75"/>
        <w:gridCol w:w="365"/>
        <w:gridCol w:w="2855"/>
      </w:tblGrid>
      <w:tr>
        <w:trPr/>
        <w:tc>
          <w:tcPr>
            <w:tcW w:w="75" w:type="dxa"/>
            <w:tcBorders/>
            <w:vAlign w:val="center"/>
          </w:tcPr>
          <w:p>
            <w:pPr>
              <w:pStyle w:val="TableContents"/>
              <w:bidi w:val="0"/>
              <w:spacing w:before="0" w:after="283"/>
              <w:jc w:val="left"/>
              <w:rPr/>
            </w:pPr>
            <w:r>
              <w:rPr/>
              <w:t> </w:t>
            </w:r>
          </w:p>
        </w:tc>
        <w:tc>
          <w:tcPr>
            <w:tcW w:w="3220" w:type="dxa"/>
            <w:gridSpan w:val="2"/>
            <w:tcBorders/>
            <w:vAlign w:val="center"/>
          </w:tcPr>
          <w:p>
            <w:pPr>
              <w:pStyle w:val="TableContents"/>
              <w:bidi w:val="0"/>
              <w:spacing w:before="0" w:after="0"/>
              <w:jc w:val="left"/>
              <w:rPr/>
            </w:pPr>
            <w:r>
              <w:rPr/>
              <w:t>MYLAN INC</w:t>
            </w:r>
            <w:r>
              <w:rPr>
                <w:color w:val="000000"/>
              </w:rPr>
              <w:t>, as Guarantor,</w:t>
            </w:r>
          </w:p>
        </w:tc>
      </w:tr>
      <w:tr>
        <w:trPr/>
        <w:tc>
          <w:tcPr>
            <w:tcW w:w="75" w:type="dxa"/>
            <w:tcBorders/>
            <w:vAlign w:val="center"/>
          </w:tcPr>
          <w:p>
            <w:pPr>
              <w:pStyle w:val="TableContents"/>
              <w:bidi w:val="0"/>
              <w:spacing w:before="0" w:after="283"/>
              <w:jc w:val="left"/>
              <w:rPr/>
            </w:pPr>
            <w:r>
              <w:rPr/>
              <w:t> </w:t>
            </w:r>
          </w:p>
        </w:tc>
        <w:tc>
          <w:tcPr>
            <w:tcW w:w="32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2855" w:type="dxa"/>
            <w:tcBorders>
              <w:bottom w:val="single" w:sz="12" w:space="0" w:color="000000"/>
            </w:tcBorders>
            <w:tcMar>
              <w:bottom w:w="28" w:type="dxa"/>
            </w:tcMar>
            <w:vAlign w:val="center"/>
          </w:tcPr>
          <w:p>
            <w:pPr>
              <w:pStyle w:val="TableContents"/>
              <w:bidi w:val="0"/>
              <w:spacing w:before="0" w:after="0"/>
              <w:jc w:val="left"/>
              <w:rPr/>
            </w:pPr>
            <w:r>
              <w:rPr/>
              <w:t>/s/ John Miraglia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pPr>
            <w:r>
              <w:rPr/>
              <w:t>Name: John Miraglia</w:t>
              <w:br/>
              <w:t>Title:   Director and Treasurer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30" w:name="zf97501615ad046f2ab22989b9c42431b"/>
      <w:bookmarkStart w:id="231" w:name="zf97501615ad046f2ab22989b9c42431b"/>
      <w:bookmarkEnd w:id="231"/>
    </w:p>
    <w:tbl>
      <w:tblPr>
        <w:tblW w:w="3139" w:type="dxa"/>
        <w:jc w:val="left"/>
        <w:tblInd w:w="0" w:type="dxa"/>
        <w:tblLayout w:type="fixed"/>
        <w:tblCellMar>
          <w:top w:w="0" w:type="dxa"/>
          <w:left w:w="0" w:type="dxa"/>
          <w:bottom w:w="0" w:type="dxa"/>
          <w:right w:w="0" w:type="dxa"/>
        </w:tblCellMar>
      </w:tblPr>
      <w:tblGrid>
        <w:gridCol w:w="75"/>
        <w:gridCol w:w="467"/>
        <w:gridCol w:w="2597"/>
      </w:tblGrid>
      <w:tr>
        <w:trPr/>
        <w:tc>
          <w:tcPr>
            <w:tcW w:w="75" w:type="dxa"/>
            <w:tcBorders/>
            <w:vAlign w:val="center"/>
          </w:tcPr>
          <w:p>
            <w:pPr>
              <w:pStyle w:val="TableContents"/>
              <w:bidi w:val="0"/>
              <w:spacing w:before="0" w:after="283"/>
              <w:jc w:val="left"/>
              <w:rPr/>
            </w:pPr>
            <w:r>
              <w:rPr/>
              <w:t> </w:t>
            </w:r>
          </w:p>
        </w:tc>
        <w:tc>
          <w:tcPr>
            <w:tcW w:w="3064" w:type="dxa"/>
            <w:gridSpan w:val="2"/>
            <w:tcBorders/>
            <w:vAlign w:val="center"/>
          </w:tcPr>
          <w:p>
            <w:pPr>
              <w:pStyle w:val="TableContents"/>
              <w:bidi w:val="0"/>
              <w:spacing w:before="0" w:after="0"/>
              <w:jc w:val="left"/>
              <w:rPr/>
            </w:pPr>
            <w:r>
              <w:rPr/>
              <w:t>MYLAN II B.V.</w:t>
            </w:r>
            <w:r>
              <w:rPr>
                <w:color w:val="000000"/>
              </w:rPr>
              <w:t>, as Guarantor,</w:t>
            </w:r>
          </w:p>
        </w:tc>
      </w:tr>
      <w:tr>
        <w:trPr/>
        <w:tc>
          <w:tcPr>
            <w:tcW w:w="75" w:type="dxa"/>
            <w:tcBorders/>
            <w:vAlign w:val="center"/>
          </w:tcPr>
          <w:p>
            <w:pPr>
              <w:pStyle w:val="TableContents"/>
              <w:bidi w:val="0"/>
              <w:spacing w:before="0" w:after="283"/>
              <w:jc w:val="left"/>
              <w:rPr/>
            </w:pPr>
            <w:r>
              <w:rPr/>
              <w:t> </w:t>
            </w:r>
          </w:p>
        </w:tc>
        <w:tc>
          <w:tcPr>
            <w:tcW w:w="30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0"/>
              <w:jc w:val="left"/>
              <w:rPr/>
            </w:pPr>
            <w:r>
              <w:rPr/>
              <w:t>By:</w:t>
            </w:r>
          </w:p>
        </w:tc>
        <w:tc>
          <w:tcPr>
            <w:tcW w:w="2597" w:type="dxa"/>
            <w:tcBorders>
              <w:bottom w:val="single" w:sz="12" w:space="0" w:color="000000"/>
            </w:tcBorders>
            <w:tcMar>
              <w:bottom w:w="28" w:type="dxa"/>
            </w:tcMar>
            <w:vAlign w:val="center"/>
          </w:tcPr>
          <w:p>
            <w:pPr>
              <w:pStyle w:val="TableContents"/>
              <w:bidi w:val="0"/>
              <w:spacing w:before="0" w:after="0"/>
              <w:jc w:val="left"/>
              <w:rPr/>
            </w:pPr>
            <w:r>
              <w:rPr/>
              <w:t>/s/ John Miraglia</w:t>
            </w:r>
          </w:p>
        </w:tc>
      </w:tr>
      <w:tr>
        <w:trPr/>
        <w:tc>
          <w:tcPr>
            <w:tcW w:w="75"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2597" w:type="dxa"/>
            <w:tcBorders/>
            <w:vAlign w:val="center"/>
          </w:tcPr>
          <w:p>
            <w:pPr>
              <w:pStyle w:val="TableContents"/>
              <w:bidi w:val="0"/>
              <w:spacing w:before="0" w:after="0"/>
              <w:jc w:val="left"/>
              <w:rPr/>
            </w:pPr>
            <w:r>
              <w:rPr/>
              <w:t>Name: John Miraglia</w:t>
              <w:br/>
              <w:t>Title:   Director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32" w:name="z7f48ca7cf63b4a9abb1d609620090efc"/>
      <w:bookmarkStart w:id="233" w:name="z7f48ca7cf63b4a9abb1d609620090efc"/>
      <w:bookmarkEnd w:id="233"/>
    </w:p>
    <w:tbl>
      <w:tblPr>
        <w:tblW w:w="4249" w:type="dxa"/>
        <w:jc w:val="left"/>
        <w:tblInd w:w="0" w:type="dxa"/>
        <w:tblLayout w:type="fixed"/>
        <w:tblCellMar>
          <w:top w:w="0" w:type="dxa"/>
          <w:left w:w="0" w:type="dxa"/>
          <w:bottom w:w="0" w:type="dxa"/>
          <w:right w:w="0" w:type="dxa"/>
        </w:tblCellMar>
      </w:tblPr>
      <w:tblGrid>
        <w:gridCol w:w="75"/>
        <w:gridCol w:w="640"/>
        <w:gridCol w:w="3534"/>
      </w:tblGrid>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0"/>
              <w:jc w:val="left"/>
              <w:rPr>
                <w:color w:val="000000"/>
              </w:rPr>
            </w:pPr>
            <w:r>
              <w:rPr>
                <w:color w:val="000000"/>
              </w:rPr>
              <w:t>THE BANK OF NEW YORK MELLON,</w:t>
              <w:br/>
              <w:t>as Trustee</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0"/>
              <w:jc w:val="left"/>
              <w:rPr/>
            </w:pPr>
            <w:r>
              <w:rPr/>
              <w:t>By:</w:t>
            </w:r>
          </w:p>
        </w:tc>
        <w:tc>
          <w:tcPr>
            <w:tcW w:w="3534" w:type="dxa"/>
            <w:tcBorders>
              <w:bottom w:val="single" w:sz="12" w:space="0" w:color="000000"/>
            </w:tcBorders>
            <w:tcMar>
              <w:bottom w:w="28" w:type="dxa"/>
            </w:tcMar>
            <w:vAlign w:val="center"/>
          </w:tcPr>
          <w:p>
            <w:pPr>
              <w:pStyle w:val="TableContents"/>
              <w:bidi w:val="0"/>
              <w:spacing w:before="0" w:after="0"/>
              <w:jc w:val="left"/>
              <w:rPr/>
            </w:pPr>
            <w:r>
              <w:rPr/>
              <w:t>/s/ Nathan Hodd</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534" w:type="dxa"/>
            <w:tcBorders/>
            <w:vAlign w:val="center"/>
          </w:tcPr>
          <w:p>
            <w:pPr>
              <w:pStyle w:val="TableContents"/>
              <w:bidi w:val="0"/>
              <w:spacing w:before="0" w:after="0"/>
              <w:jc w:val="left"/>
              <w:rPr/>
            </w:pPr>
            <w:r>
              <w:rPr/>
              <w:t>Name: Nathan Hodd</w:t>
              <w:br/>
              <w:t>Title:    Agent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to Senior Indenture]</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SCHEDULE A</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4" w:name="zee8e22c9957d4da68dc9281b72683ae2"/>
      <w:bookmarkStart w:id="235" w:name="zee8e22c9957d4da68dc9281b72683ae2"/>
      <w:bookmarkEnd w:id="235"/>
    </w:p>
    <w:tbl>
      <w:tblPr>
        <w:tblW w:w="8430" w:type="dxa"/>
        <w:jc w:val="left"/>
        <w:tblInd w:w="-15" w:type="dxa"/>
        <w:tblLayout w:type="fixed"/>
        <w:tblCellMar>
          <w:top w:w="28" w:type="dxa"/>
          <w:left w:w="28" w:type="dxa"/>
          <w:bottom w:w="28" w:type="dxa"/>
          <w:right w:w="28" w:type="dxa"/>
        </w:tblCellMar>
      </w:tblPr>
      <w:tblGrid>
        <w:gridCol w:w="2495"/>
        <w:gridCol w:w="2615"/>
        <w:gridCol w:w="3320"/>
      </w:tblGrid>
      <w:tr>
        <w:trPr/>
        <w:tc>
          <w:tcPr>
            <w:tcW w:w="24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Guarantor Name</w:t>
            </w:r>
          </w:p>
        </w:tc>
        <w:tc>
          <w:tcPr>
            <w:tcW w:w="261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Jurisdiction of Formation</w:t>
            </w:r>
          </w:p>
        </w:tc>
        <w:tc>
          <w:tcPr>
            <w:tcW w:w="33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Type of Entity</w:t>
            </w:r>
          </w:p>
        </w:tc>
      </w:tr>
      <w:tr>
        <w:trPr/>
        <w:tc>
          <w:tcPr>
            <w:tcW w:w="24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Utah Acquisition Sub Inc.</w:t>
            </w:r>
          </w:p>
        </w:tc>
        <w:tc>
          <w:tcPr>
            <w:tcW w:w="26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Delaware</w:t>
            </w:r>
          </w:p>
        </w:tc>
        <w:tc>
          <w:tcPr>
            <w:tcW w:w="33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Corporation</w:t>
            </w:r>
          </w:p>
        </w:tc>
      </w:tr>
      <w:tr>
        <w:trPr/>
        <w:tc>
          <w:tcPr>
            <w:tcW w:w="24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Mylan Inc.</w:t>
            </w:r>
          </w:p>
        </w:tc>
        <w:tc>
          <w:tcPr>
            <w:tcW w:w="26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Pennsylvania</w:t>
            </w:r>
          </w:p>
        </w:tc>
        <w:tc>
          <w:tcPr>
            <w:tcW w:w="33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Corporation</w:t>
            </w:r>
          </w:p>
        </w:tc>
      </w:tr>
      <w:tr>
        <w:trPr/>
        <w:tc>
          <w:tcPr>
            <w:tcW w:w="24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180" w:right="0" w:hanging="0"/>
              <w:jc w:val="left"/>
              <w:rPr/>
            </w:pPr>
            <w:r>
              <w:rPr/>
              <w:t>Mylan II B.V.</w:t>
            </w:r>
          </w:p>
        </w:tc>
        <w:tc>
          <w:tcPr>
            <w:tcW w:w="26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Netherlands</w:t>
            </w:r>
          </w:p>
        </w:tc>
        <w:tc>
          <w:tcPr>
            <w:tcW w:w="33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Private Limited Liability Company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36" w:name="ef20076340_ex4-2.htm"/>
      <w:bookmarkStart w:id="237" w:name="ksef20076340_ex42"/>
      <w:bookmarkStart w:id="238" w:name="ef20076340_ex4-2.htm"/>
      <w:bookmarkStart w:id="239" w:name="ksef20076340_ex42"/>
      <w:bookmarkEnd w:id="238"/>
      <w:bookmarkEnd w:id="23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0"/>
        <w:jc w:val="left"/>
        <w:rPr>
          <w:color w:val="000000"/>
        </w:rPr>
      </w:pPr>
      <w:r>
        <w:rPr>
          <w:color w:val="000000"/>
        </w:rPr>
        <w:t> </w:t>
      </w:r>
    </w:p>
    <w:p>
      <w:pPr>
        <w:pStyle w:val="TextBody"/>
        <w:bidi w:val="0"/>
        <w:spacing w:before="0" w:after="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VIATRIS INC.</w:t>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t>€</w:t>
      </w:r>
      <w:r>
        <w:rPr>
          <w:rFonts w:ascii="Times New Roman" w:hAnsi="Times New Roman"/>
          <w:b/>
          <w:color w:val="000000"/>
          <w:sz w:val="20"/>
        </w:rPr>
        <w:t>650,000,000</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4.250% SENIOR NOTES DUE 2033</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FIRST SUPPLEMENTAL INDENTURE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Dated as of June 17, 2026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INDENTURE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Dated as of June 17, 2026</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GUARANTORS from time to time party hereto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BANK OF NEW YORK MELLON,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Trustee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0" w:name="z788f82b61aef4b229b41cb068e18a166"/>
      <w:bookmarkStart w:id="241" w:name="z788f82b61aef4b229b41cb068e18a166"/>
      <w:bookmarkEnd w:id="241"/>
    </w:p>
    <w:tbl>
      <w:tblPr>
        <w:tblW w:w="8970" w:type="dxa"/>
        <w:jc w:val="left"/>
        <w:tblInd w:w="0" w:type="dxa"/>
        <w:tblLayout w:type="fixed"/>
        <w:tblCellMar>
          <w:top w:w="0" w:type="dxa"/>
          <w:left w:w="0" w:type="dxa"/>
          <w:bottom w:w="0" w:type="dxa"/>
          <w:right w:w="0" w:type="dxa"/>
        </w:tblCellMar>
      </w:tblPr>
      <w:tblGrid>
        <w:gridCol w:w="1265"/>
        <w:gridCol w:w="7190"/>
        <w:gridCol w:w="515"/>
      </w:tblGrid>
      <w:tr>
        <w:trPr/>
        <w:tc>
          <w:tcPr>
            <w:tcW w:w="1265"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right"/>
              <w:rPr>
                <w:b/>
              </w:rPr>
            </w:pPr>
            <w:r>
              <w:rPr>
                <w:b/>
              </w:rPr>
              <w:t>Page</w:t>
            </w:r>
          </w:p>
        </w:tc>
      </w:tr>
      <w:tr>
        <w:trPr/>
        <w:tc>
          <w:tcPr>
            <w:tcW w:w="8970" w:type="dxa"/>
            <w:gridSpan w:val="3"/>
            <w:tcBorders/>
            <w:vAlign w:val="center"/>
          </w:tcPr>
          <w:p>
            <w:pPr>
              <w:pStyle w:val="TableContents"/>
              <w:bidi w:val="0"/>
              <w:spacing w:before="0" w:after="0"/>
              <w:jc w:val="center"/>
              <w:rPr/>
            </w:pPr>
            <w:r>
              <w:rPr/>
              <w:t>ARTICLE 1</w:t>
            </w:r>
          </w:p>
        </w:tc>
      </w:tr>
      <w:tr>
        <w:trPr/>
        <w:tc>
          <w:tcPr>
            <w:tcW w:w="8970" w:type="dxa"/>
            <w:gridSpan w:val="3"/>
            <w:tcBorders/>
            <w:vAlign w:val="center"/>
          </w:tcPr>
          <w:p>
            <w:pPr>
              <w:pStyle w:val="TableContents"/>
              <w:bidi w:val="0"/>
              <w:spacing w:before="0" w:after="283"/>
              <w:jc w:val="left"/>
              <w:rPr/>
            </w:pPr>
            <w:r>
              <w:rPr/>
              <w:t> </w:t>
            </w:r>
          </w:p>
        </w:tc>
      </w:tr>
      <w:tr>
        <w:trPr/>
        <w:tc>
          <w:tcPr>
            <w:tcW w:w="8970" w:type="dxa"/>
            <w:gridSpan w:val="3"/>
            <w:tcBorders/>
            <w:vAlign w:val="center"/>
          </w:tcPr>
          <w:p>
            <w:pPr>
              <w:pStyle w:val="TableContents"/>
              <w:bidi w:val="0"/>
              <w:spacing w:before="0" w:after="0"/>
              <w:jc w:val="center"/>
              <w:rPr/>
            </w:pPr>
            <w:r>
              <w:rPr/>
              <w:t>Definitions and Other Provisions of General Application</w:t>
            </w:r>
          </w:p>
        </w:tc>
      </w:tr>
      <w:tr>
        <w:trPr/>
        <w:tc>
          <w:tcPr>
            <w:tcW w:w="8970" w:type="dxa"/>
            <w:gridSpan w:val="3"/>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pPr>
            <w:r>
              <w:rPr/>
              <w:t>Section 1.01.</w:t>
            </w:r>
          </w:p>
        </w:tc>
        <w:tc>
          <w:tcPr>
            <w:tcW w:w="7190" w:type="dxa"/>
            <w:tcBorders/>
            <w:shd w:fill="CCEEFF" w:val="clear"/>
            <w:vAlign w:val="center"/>
          </w:tcPr>
          <w:p>
            <w:pPr>
              <w:pStyle w:val="TableContents"/>
              <w:bidi w:val="0"/>
              <w:spacing w:before="0" w:after="0"/>
              <w:jc w:val="left"/>
              <w:rPr/>
            </w:pPr>
            <w:r>
              <w:rPr/>
              <w:t>Definitions</w:t>
            </w:r>
          </w:p>
        </w:tc>
        <w:tc>
          <w:tcPr>
            <w:tcW w:w="515" w:type="dxa"/>
            <w:tcBorders/>
            <w:shd w:fill="CCEEFF" w:val="clear"/>
            <w:vAlign w:val="center"/>
          </w:tcPr>
          <w:p>
            <w:pPr>
              <w:pStyle w:val="TableContents"/>
              <w:bidi w:val="0"/>
              <w:spacing w:before="0" w:after="0"/>
              <w:jc w:val="right"/>
              <w:rPr/>
            </w:pPr>
            <w:r>
              <w:rPr/>
              <w:t>1</w:t>
            </w:r>
          </w:p>
        </w:tc>
      </w:tr>
      <w:tr>
        <w:trPr/>
        <w:tc>
          <w:tcPr>
            <w:tcW w:w="1265" w:type="dxa"/>
            <w:tcBorders/>
            <w:vAlign w:val="center"/>
          </w:tcPr>
          <w:p>
            <w:pPr>
              <w:pStyle w:val="TableContents"/>
              <w:bidi w:val="0"/>
              <w:spacing w:before="0" w:after="0"/>
              <w:jc w:val="left"/>
              <w:rPr/>
            </w:pPr>
            <w:r>
              <w:rPr/>
              <w:t>Section 1.02.</w:t>
            </w:r>
          </w:p>
        </w:tc>
        <w:tc>
          <w:tcPr>
            <w:tcW w:w="7190" w:type="dxa"/>
            <w:tcBorders/>
            <w:vAlign w:val="center"/>
          </w:tcPr>
          <w:p>
            <w:pPr>
              <w:pStyle w:val="TableContents"/>
              <w:bidi w:val="0"/>
              <w:spacing w:before="0" w:after="0"/>
              <w:jc w:val="left"/>
              <w:rPr/>
            </w:pPr>
            <w:r>
              <w:rPr/>
              <w:t>Notices, etc., to Trustee, Agents and Company</w:t>
            </w:r>
          </w:p>
        </w:tc>
        <w:tc>
          <w:tcPr>
            <w:tcW w:w="515" w:type="dxa"/>
            <w:tcBorders/>
            <w:vAlign w:val="center"/>
          </w:tcPr>
          <w:p>
            <w:pPr>
              <w:pStyle w:val="TableContents"/>
              <w:bidi w:val="0"/>
              <w:spacing w:before="0" w:after="0"/>
              <w:jc w:val="right"/>
              <w:rPr/>
            </w:pPr>
            <w:r>
              <w:rPr/>
              <w:t>10</w:t>
            </w:r>
          </w:p>
        </w:tc>
      </w:tr>
      <w:tr>
        <w:trPr/>
        <w:tc>
          <w:tcPr>
            <w:tcW w:w="1265" w:type="dxa"/>
            <w:tcBorders/>
            <w:shd w:fill="CCEEFF" w:val="clear"/>
            <w:vAlign w:val="center"/>
          </w:tcPr>
          <w:p>
            <w:pPr>
              <w:pStyle w:val="TableContents"/>
              <w:bidi w:val="0"/>
              <w:spacing w:before="0" w:after="0"/>
              <w:jc w:val="left"/>
              <w:rPr/>
            </w:pPr>
            <w:r>
              <w:rPr/>
              <w:t>Section 1.03.</w:t>
            </w:r>
          </w:p>
        </w:tc>
        <w:tc>
          <w:tcPr>
            <w:tcW w:w="7190" w:type="dxa"/>
            <w:tcBorders/>
            <w:shd w:fill="CCEEFF" w:val="clear"/>
            <w:vAlign w:val="center"/>
          </w:tcPr>
          <w:p>
            <w:pPr>
              <w:pStyle w:val="TableContents"/>
              <w:bidi w:val="0"/>
              <w:spacing w:before="0" w:after="0"/>
              <w:jc w:val="left"/>
              <w:rPr/>
            </w:pPr>
            <w:r>
              <w:rPr/>
              <w:t>Provisions of General Application</w:t>
            </w:r>
          </w:p>
        </w:tc>
        <w:tc>
          <w:tcPr>
            <w:tcW w:w="515" w:type="dxa"/>
            <w:tcBorders/>
            <w:shd w:fill="CCEEFF" w:val="clear"/>
            <w:vAlign w:val="center"/>
          </w:tcPr>
          <w:p>
            <w:pPr>
              <w:pStyle w:val="TableContents"/>
              <w:bidi w:val="0"/>
              <w:spacing w:before="0" w:after="0"/>
              <w:jc w:val="right"/>
              <w:rPr/>
            </w:pPr>
            <w:r>
              <w:rPr/>
              <w:t>11</w:t>
            </w:r>
          </w:p>
        </w:tc>
      </w:tr>
      <w:tr>
        <w:trPr/>
        <w:tc>
          <w:tcPr>
            <w:tcW w:w="1265" w:type="dxa"/>
            <w:tcBorders/>
            <w:vAlign w:val="center"/>
          </w:tcPr>
          <w:p>
            <w:pPr>
              <w:pStyle w:val="TableContents"/>
              <w:bidi w:val="0"/>
              <w:spacing w:before="0" w:after="0"/>
              <w:jc w:val="left"/>
              <w:rPr/>
            </w:pPr>
            <w:r>
              <w:rPr/>
              <w:t>Section 1.04.</w:t>
            </w:r>
          </w:p>
        </w:tc>
        <w:tc>
          <w:tcPr>
            <w:tcW w:w="7190" w:type="dxa"/>
            <w:tcBorders/>
            <w:vAlign w:val="center"/>
          </w:tcPr>
          <w:p>
            <w:pPr>
              <w:pStyle w:val="TableContents"/>
              <w:bidi w:val="0"/>
              <w:spacing w:before="0" w:after="0"/>
              <w:jc w:val="left"/>
              <w:rPr/>
            </w:pPr>
            <w:r>
              <w:rPr/>
              <w:t>Acknowledgement and Consent to Bail-In of Affected Financial Institutions</w:t>
            </w:r>
          </w:p>
        </w:tc>
        <w:tc>
          <w:tcPr>
            <w:tcW w:w="515" w:type="dxa"/>
            <w:tcBorders/>
            <w:vAlign w:val="center"/>
          </w:tcPr>
          <w:p>
            <w:pPr>
              <w:pStyle w:val="TableContents"/>
              <w:bidi w:val="0"/>
              <w:spacing w:before="0" w:after="0"/>
              <w:jc w:val="right"/>
              <w:rPr/>
            </w:pPr>
            <w:r>
              <w:rPr/>
              <w:t>11</w:t>
            </w:r>
          </w:p>
        </w:tc>
      </w:tr>
      <w:tr>
        <w:trPr/>
        <w:tc>
          <w:tcPr>
            <w:tcW w:w="1265" w:type="dxa"/>
            <w:tcBorders/>
            <w:shd w:fill="CCEEFF" w:val="clear"/>
            <w:vAlign w:val="center"/>
          </w:tcPr>
          <w:p>
            <w:pPr>
              <w:pStyle w:val="TableContents"/>
              <w:bidi w:val="0"/>
              <w:spacing w:before="0" w:after="0"/>
              <w:jc w:val="left"/>
              <w:rPr/>
            </w:pPr>
            <w:r>
              <w:rPr/>
              <w:t>Section 1.05.</w:t>
            </w:r>
          </w:p>
        </w:tc>
        <w:tc>
          <w:tcPr>
            <w:tcW w:w="7190" w:type="dxa"/>
            <w:tcBorders/>
            <w:shd w:fill="CCEEFF" w:val="clear"/>
            <w:vAlign w:val="center"/>
          </w:tcPr>
          <w:p>
            <w:pPr>
              <w:pStyle w:val="TableContents"/>
              <w:bidi w:val="0"/>
              <w:spacing w:before="0" w:after="0"/>
              <w:jc w:val="left"/>
              <w:rPr/>
            </w:pPr>
            <w:r>
              <w:rPr/>
              <w:t>Immunity of Directors, Officers, Employees and Equityholders</w:t>
            </w:r>
          </w:p>
        </w:tc>
        <w:tc>
          <w:tcPr>
            <w:tcW w:w="515" w:type="dxa"/>
            <w:tcBorders/>
            <w:shd w:fill="CCEEFF" w:val="clear"/>
            <w:vAlign w:val="center"/>
          </w:tcPr>
          <w:p>
            <w:pPr>
              <w:pStyle w:val="TableContents"/>
              <w:bidi w:val="0"/>
              <w:spacing w:before="0" w:after="0"/>
              <w:jc w:val="right"/>
              <w:rPr/>
            </w:pPr>
            <w:r>
              <w:rPr/>
              <w:t>13</w:t>
            </w:r>
          </w:p>
        </w:tc>
      </w:tr>
      <w:tr>
        <w:trPr/>
        <w:tc>
          <w:tcPr>
            <w:tcW w:w="1265" w:type="dxa"/>
            <w:tcBorders/>
            <w:vAlign w:val="center"/>
          </w:tcPr>
          <w:p>
            <w:pPr>
              <w:pStyle w:val="TableContents"/>
              <w:bidi w:val="0"/>
              <w:spacing w:before="0" w:after="0"/>
              <w:jc w:val="left"/>
              <w:rPr/>
            </w:pPr>
            <w:r>
              <w:rPr/>
              <w:t>Section 1.06.</w:t>
            </w:r>
          </w:p>
        </w:tc>
        <w:tc>
          <w:tcPr>
            <w:tcW w:w="7190" w:type="dxa"/>
            <w:tcBorders/>
            <w:vAlign w:val="center"/>
          </w:tcPr>
          <w:p>
            <w:pPr>
              <w:pStyle w:val="TableContents"/>
              <w:bidi w:val="0"/>
              <w:spacing w:before="0" w:after="0"/>
              <w:jc w:val="left"/>
              <w:rPr/>
            </w:pPr>
            <w:r>
              <w:rPr/>
              <w:t>Qualification of Indenture</w:t>
            </w:r>
          </w:p>
        </w:tc>
        <w:tc>
          <w:tcPr>
            <w:tcW w:w="515" w:type="dxa"/>
            <w:tcBorders/>
            <w:vAlign w:val="center"/>
          </w:tcPr>
          <w:p>
            <w:pPr>
              <w:pStyle w:val="TableContents"/>
              <w:bidi w:val="0"/>
              <w:spacing w:before="0" w:after="0"/>
              <w:jc w:val="right"/>
              <w:rPr/>
            </w:pPr>
            <w:r>
              <w:rPr/>
              <w:t>13</w:t>
            </w:r>
          </w:p>
        </w:tc>
      </w:tr>
      <w:tr>
        <w:trPr/>
        <w:tc>
          <w:tcPr>
            <w:tcW w:w="1265" w:type="dxa"/>
            <w:tcBorders/>
            <w:shd w:fill="CCEEFF" w:val="clear"/>
            <w:vAlign w:val="center"/>
          </w:tcPr>
          <w:p>
            <w:pPr>
              <w:pStyle w:val="TableContents"/>
              <w:bidi w:val="0"/>
              <w:spacing w:before="0" w:after="0"/>
              <w:jc w:val="left"/>
              <w:rPr/>
            </w:pPr>
            <w:r>
              <w:rPr/>
              <w:t>Section 1.07.</w:t>
            </w:r>
          </w:p>
        </w:tc>
        <w:tc>
          <w:tcPr>
            <w:tcW w:w="7190" w:type="dxa"/>
            <w:tcBorders/>
            <w:shd w:fill="CCEEFF" w:val="clear"/>
            <w:vAlign w:val="center"/>
          </w:tcPr>
          <w:p>
            <w:pPr>
              <w:pStyle w:val="TableContents"/>
              <w:bidi w:val="0"/>
              <w:spacing w:before="0" w:after="0"/>
              <w:jc w:val="left"/>
              <w:rPr/>
            </w:pPr>
            <w:r>
              <w:rPr/>
              <w:t>Relationship with Base Indenture</w:t>
            </w:r>
          </w:p>
        </w:tc>
        <w:tc>
          <w:tcPr>
            <w:tcW w:w="515" w:type="dxa"/>
            <w:tcBorders/>
            <w:shd w:fill="CCEEFF" w:val="clear"/>
            <w:vAlign w:val="center"/>
          </w:tcPr>
          <w:p>
            <w:pPr>
              <w:pStyle w:val="TableContents"/>
              <w:bidi w:val="0"/>
              <w:spacing w:before="0" w:after="0"/>
              <w:jc w:val="right"/>
              <w:rPr/>
            </w:pPr>
            <w:r>
              <w:rPr/>
              <w:t>13</w:t>
            </w:r>
          </w:p>
        </w:tc>
      </w:tr>
      <w:tr>
        <w:trPr/>
        <w:tc>
          <w:tcPr>
            <w:tcW w:w="8970" w:type="dxa"/>
            <w:gridSpan w:val="3"/>
            <w:tcBorders/>
            <w:vAlign w:val="center"/>
          </w:tcPr>
          <w:p>
            <w:pPr>
              <w:pStyle w:val="TableContents"/>
              <w:bidi w:val="0"/>
              <w:spacing w:before="0" w:after="283"/>
              <w:jc w:val="left"/>
              <w:rPr/>
            </w:pPr>
            <w:r>
              <w:rPr/>
              <w:t> </w:t>
            </w:r>
          </w:p>
        </w:tc>
      </w:tr>
      <w:tr>
        <w:trPr/>
        <w:tc>
          <w:tcPr>
            <w:tcW w:w="8970" w:type="dxa"/>
            <w:gridSpan w:val="3"/>
            <w:tcBorders/>
            <w:vAlign w:val="center"/>
          </w:tcPr>
          <w:p>
            <w:pPr>
              <w:pStyle w:val="TableContents"/>
              <w:bidi w:val="0"/>
              <w:spacing w:before="0" w:after="0"/>
              <w:jc w:val="center"/>
              <w:rPr/>
            </w:pPr>
            <w:r>
              <w:rPr/>
              <w:t>ARTICLE 2</w:t>
            </w:r>
          </w:p>
        </w:tc>
      </w:tr>
      <w:tr>
        <w:trPr/>
        <w:tc>
          <w:tcPr>
            <w:tcW w:w="8970" w:type="dxa"/>
            <w:gridSpan w:val="3"/>
            <w:tcBorders/>
            <w:vAlign w:val="center"/>
          </w:tcPr>
          <w:p>
            <w:pPr>
              <w:pStyle w:val="TableContents"/>
              <w:bidi w:val="0"/>
              <w:spacing w:before="0" w:after="283"/>
              <w:jc w:val="left"/>
              <w:rPr/>
            </w:pPr>
            <w:r>
              <w:rPr/>
              <w:t> </w:t>
            </w:r>
          </w:p>
        </w:tc>
      </w:tr>
      <w:tr>
        <w:trPr/>
        <w:tc>
          <w:tcPr>
            <w:tcW w:w="8970" w:type="dxa"/>
            <w:gridSpan w:val="3"/>
            <w:tcBorders/>
            <w:vAlign w:val="center"/>
          </w:tcPr>
          <w:p>
            <w:pPr>
              <w:pStyle w:val="TableContents"/>
              <w:bidi w:val="0"/>
              <w:spacing w:before="0" w:after="0"/>
              <w:jc w:val="center"/>
              <w:rPr/>
            </w:pPr>
            <w:r>
              <w:rPr/>
              <w:t>The 2033 Notes</w:t>
            </w:r>
          </w:p>
        </w:tc>
      </w:tr>
      <w:tr>
        <w:trPr/>
        <w:tc>
          <w:tcPr>
            <w:tcW w:w="8970" w:type="dxa"/>
            <w:gridSpan w:val="3"/>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pPr>
            <w:r>
              <w:rPr/>
              <w:t>Section 2.01.</w:t>
            </w:r>
          </w:p>
        </w:tc>
        <w:tc>
          <w:tcPr>
            <w:tcW w:w="7190" w:type="dxa"/>
            <w:tcBorders/>
            <w:shd w:fill="CCEEFF" w:val="clear"/>
            <w:vAlign w:val="center"/>
          </w:tcPr>
          <w:p>
            <w:pPr>
              <w:pStyle w:val="TableContents"/>
              <w:bidi w:val="0"/>
              <w:spacing w:before="0" w:after="0"/>
              <w:jc w:val="left"/>
              <w:rPr/>
            </w:pPr>
            <w:r>
              <w:rPr/>
              <w:t>Form of 2033 Note and Dating</w:t>
            </w:r>
          </w:p>
        </w:tc>
        <w:tc>
          <w:tcPr>
            <w:tcW w:w="515" w:type="dxa"/>
            <w:tcBorders/>
            <w:shd w:fill="CCEEFF" w:val="clear"/>
            <w:vAlign w:val="center"/>
          </w:tcPr>
          <w:p>
            <w:pPr>
              <w:pStyle w:val="TableContents"/>
              <w:bidi w:val="0"/>
              <w:spacing w:before="0" w:after="0"/>
              <w:jc w:val="right"/>
              <w:rPr/>
            </w:pPr>
            <w:r>
              <w:rPr/>
              <w:t>13</w:t>
            </w:r>
          </w:p>
        </w:tc>
      </w:tr>
      <w:tr>
        <w:trPr/>
        <w:tc>
          <w:tcPr>
            <w:tcW w:w="1265" w:type="dxa"/>
            <w:tcBorders/>
            <w:vAlign w:val="center"/>
          </w:tcPr>
          <w:p>
            <w:pPr>
              <w:pStyle w:val="TableContents"/>
              <w:bidi w:val="0"/>
              <w:spacing w:before="0" w:after="0"/>
              <w:jc w:val="left"/>
              <w:rPr/>
            </w:pPr>
            <w:r>
              <w:rPr/>
              <w:t>Section 2.02.</w:t>
            </w:r>
          </w:p>
        </w:tc>
        <w:tc>
          <w:tcPr>
            <w:tcW w:w="7190" w:type="dxa"/>
            <w:tcBorders/>
            <w:vAlign w:val="center"/>
          </w:tcPr>
          <w:p>
            <w:pPr>
              <w:pStyle w:val="TableContents"/>
              <w:bidi w:val="0"/>
              <w:spacing w:before="0" w:after="0"/>
              <w:jc w:val="left"/>
              <w:rPr/>
            </w:pPr>
            <w:r>
              <w:rPr/>
              <w:t>Designation and Principal Terms</w:t>
            </w:r>
          </w:p>
        </w:tc>
        <w:tc>
          <w:tcPr>
            <w:tcW w:w="515" w:type="dxa"/>
            <w:tcBorders/>
            <w:vAlign w:val="center"/>
          </w:tcPr>
          <w:p>
            <w:pPr>
              <w:pStyle w:val="TableContents"/>
              <w:bidi w:val="0"/>
              <w:spacing w:before="0" w:after="0"/>
              <w:jc w:val="right"/>
              <w:rPr/>
            </w:pPr>
            <w:r>
              <w:rPr/>
              <w:t>14</w:t>
            </w:r>
          </w:p>
        </w:tc>
      </w:tr>
      <w:tr>
        <w:trPr/>
        <w:tc>
          <w:tcPr>
            <w:tcW w:w="1265" w:type="dxa"/>
            <w:tcBorders/>
            <w:shd w:fill="CCEEFF" w:val="clear"/>
            <w:vAlign w:val="center"/>
          </w:tcPr>
          <w:p>
            <w:pPr>
              <w:pStyle w:val="TableContents"/>
              <w:bidi w:val="0"/>
              <w:spacing w:before="0" w:after="0"/>
              <w:jc w:val="left"/>
              <w:rPr/>
            </w:pPr>
            <w:r>
              <w:rPr/>
              <w:t>Section 2.03.</w:t>
            </w:r>
          </w:p>
        </w:tc>
        <w:tc>
          <w:tcPr>
            <w:tcW w:w="7190" w:type="dxa"/>
            <w:tcBorders/>
            <w:shd w:fill="CCEEFF" w:val="clear"/>
            <w:vAlign w:val="center"/>
          </w:tcPr>
          <w:p>
            <w:pPr>
              <w:pStyle w:val="TableContents"/>
              <w:bidi w:val="0"/>
              <w:spacing w:before="0" w:after="0"/>
              <w:jc w:val="left"/>
              <w:rPr/>
            </w:pPr>
            <w:r>
              <w:rPr/>
              <w:t>Denominations</w:t>
            </w:r>
          </w:p>
        </w:tc>
        <w:tc>
          <w:tcPr>
            <w:tcW w:w="515" w:type="dxa"/>
            <w:tcBorders/>
            <w:shd w:fill="CCEEFF" w:val="clear"/>
            <w:vAlign w:val="center"/>
          </w:tcPr>
          <w:p>
            <w:pPr>
              <w:pStyle w:val="TableContents"/>
              <w:bidi w:val="0"/>
              <w:spacing w:before="0" w:after="0"/>
              <w:jc w:val="right"/>
              <w:rPr/>
            </w:pPr>
            <w:r>
              <w:rPr/>
              <w:t>14</w:t>
            </w:r>
          </w:p>
        </w:tc>
      </w:tr>
      <w:tr>
        <w:trPr/>
        <w:tc>
          <w:tcPr>
            <w:tcW w:w="1265" w:type="dxa"/>
            <w:tcBorders/>
            <w:vAlign w:val="center"/>
          </w:tcPr>
          <w:p>
            <w:pPr>
              <w:pStyle w:val="TableContents"/>
              <w:bidi w:val="0"/>
              <w:spacing w:before="0" w:after="0"/>
              <w:jc w:val="left"/>
              <w:rPr/>
            </w:pPr>
            <w:r>
              <w:rPr/>
              <w:t>Section 2.04.</w:t>
            </w:r>
          </w:p>
        </w:tc>
        <w:tc>
          <w:tcPr>
            <w:tcW w:w="7190" w:type="dxa"/>
            <w:tcBorders/>
            <w:vAlign w:val="center"/>
          </w:tcPr>
          <w:p>
            <w:pPr>
              <w:pStyle w:val="TableContents"/>
              <w:bidi w:val="0"/>
              <w:spacing w:before="0" w:after="0"/>
              <w:jc w:val="left"/>
              <w:rPr/>
            </w:pPr>
            <w:r>
              <w:rPr/>
              <w:t>Global Form</w:t>
            </w:r>
          </w:p>
        </w:tc>
        <w:tc>
          <w:tcPr>
            <w:tcW w:w="515" w:type="dxa"/>
            <w:tcBorders/>
            <w:vAlign w:val="center"/>
          </w:tcPr>
          <w:p>
            <w:pPr>
              <w:pStyle w:val="TableContents"/>
              <w:bidi w:val="0"/>
              <w:spacing w:before="0" w:after="0"/>
              <w:jc w:val="right"/>
              <w:rPr/>
            </w:pPr>
            <w:r>
              <w:rPr/>
              <w:t>14</w:t>
            </w:r>
          </w:p>
        </w:tc>
      </w:tr>
      <w:tr>
        <w:trPr/>
        <w:tc>
          <w:tcPr>
            <w:tcW w:w="1265" w:type="dxa"/>
            <w:tcBorders/>
            <w:shd w:fill="CCEEFF" w:val="clear"/>
            <w:vAlign w:val="center"/>
          </w:tcPr>
          <w:p>
            <w:pPr>
              <w:pStyle w:val="TableContents"/>
              <w:bidi w:val="0"/>
              <w:spacing w:before="0" w:after="0"/>
              <w:jc w:val="left"/>
              <w:rPr/>
            </w:pPr>
            <w:r>
              <w:rPr/>
              <w:t>Section 2.05.</w:t>
            </w:r>
          </w:p>
        </w:tc>
        <w:tc>
          <w:tcPr>
            <w:tcW w:w="7190" w:type="dxa"/>
            <w:tcBorders/>
            <w:shd w:fill="CCEEFF" w:val="clear"/>
            <w:vAlign w:val="center"/>
          </w:tcPr>
          <w:p>
            <w:pPr>
              <w:pStyle w:val="TableContents"/>
              <w:bidi w:val="0"/>
              <w:spacing w:before="0" w:after="0"/>
              <w:jc w:val="left"/>
              <w:rPr/>
            </w:pPr>
            <w:r>
              <w:rPr/>
              <w:t>Depositary</w:t>
            </w:r>
          </w:p>
        </w:tc>
        <w:tc>
          <w:tcPr>
            <w:tcW w:w="515" w:type="dxa"/>
            <w:tcBorders/>
            <w:shd w:fill="CCEEFF" w:val="clear"/>
            <w:vAlign w:val="center"/>
          </w:tcPr>
          <w:p>
            <w:pPr>
              <w:pStyle w:val="TableContents"/>
              <w:bidi w:val="0"/>
              <w:spacing w:before="0" w:after="0"/>
              <w:jc w:val="right"/>
              <w:rPr/>
            </w:pPr>
            <w:r>
              <w:rPr/>
              <w:t>15</w:t>
            </w:r>
          </w:p>
        </w:tc>
      </w:tr>
      <w:tr>
        <w:trPr/>
        <w:tc>
          <w:tcPr>
            <w:tcW w:w="1265" w:type="dxa"/>
            <w:tcBorders/>
            <w:vAlign w:val="center"/>
          </w:tcPr>
          <w:p>
            <w:pPr>
              <w:pStyle w:val="TableContents"/>
              <w:bidi w:val="0"/>
              <w:spacing w:before="0" w:after="0"/>
              <w:jc w:val="left"/>
              <w:rPr/>
            </w:pPr>
            <w:r>
              <w:rPr/>
              <w:t>Section 2.06.</w:t>
            </w:r>
          </w:p>
        </w:tc>
        <w:tc>
          <w:tcPr>
            <w:tcW w:w="7190" w:type="dxa"/>
            <w:tcBorders/>
            <w:vAlign w:val="center"/>
          </w:tcPr>
          <w:p>
            <w:pPr>
              <w:pStyle w:val="TableContents"/>
              <w:bidi w:val="0"/>
              <w:spacing w:before="0" w:after="0"/>
              <w:jc w:val="left"/>
              <w:rPr/>
            </w:pPr>
            <w:r>
              <w:rPr/>
              <w:t>[Reserved.]</w:t>
            </w:r>
          </w:p>
        </w:tc>
        <w:tc>
          <w:tcPr>
            <w:tcW w:w="515" w:type="dxa"/>
            <w:tcBorders/>
            <w:vAlign w:val="center"/>
          </w:tcPr>
          <w:p>
            <w:pPr>
              <w:pStyle w:val="TableContents"/>
              <w:bidi w:val="0"/>
              <w:spacing w:before="0" w:after="0"/>
              <w:jc w:val="right"/>
              <w:rPr/>
            </w:pPr>
            <w:r>
              <w:rPr/>
              <w:t>15</w:t>
            </w:r>
          </w:p>
        </w:tc>
      </w:tr>
      <w:tr>
        <w:trPr/>
        <w:tc>
          <w:tcPr>
            <w:tcW w:w="1265" w:type="dxa"/>
            <w:tcBorders/>
            <w:shd w:fill="CCEEFF" w:val="clear"/>
            <w:vAlign w:val="center"/>
          </w:tcPr>
          <w:p>
            <w:pPr>
              <w:pStyle w:val="TableContents"/>
              <w:bidi w:val="0"/>
              <w:spacing w:before="0" w:after="0"/>
              <w:jc w:val="left"/>
              <w:rPr/>
            </w:pPr>
            <w:r>
              <w:rPr/>
              <w:t>Section 2.07.</w:t>
            </w:r>
          </w:p>
        </w:tc>
        <w:tc>
          <w:tcPr>
            <w:tcW w:w="7190" w:type="dxa"/>
            <w:tcBorders/>
            <w:shd w:fill="CCEEFF" w:val="clear"/>
            <w:vAlign w:val="center"/>
          </w:tcPr>
          <w:p>
            <w:pPr>
              <w:pStyle w:val="TableContents"/>
              <w:bidi w:val="0"/>
              <w:spacing w:before="0" w:after="0"/>
              <w:jc w:val="left"/>
              <w:rPr/>
            </w:pPr>
            <w:r>
              <w:rPr/>
              <w:t>ISIN Number</w:t>
            </w:r>
          </w:p>
        </w:tc>
        <w:tc>
          <w:tcPr>
            <w:tcW w:w="515" w:type="dxa"/>
            <w:tcBorders/>
            <w:shd w:fill="CCEEFF" w:val="clear"/>
            <w:vAlign w:val="center"/>
          </w:tcPr>
          <w:p>
            <w:pPr>
              <w:pStyle w:val="TableContents"/>
              <w:bidi w:val="0"/>
              <w:spacing w:before="0" w:after="0"/>
              <w:jc w:val="right"/>
              <w:rPr/>
            </w:pPr>
            <w:r>
              <w:rPr/>
              <w:t>15</w:t>
            </w:r>
          </w:p>
        </w:tc>
      </w:tr>
      <w:tr>
        <w:trPr/>
        <w:tc>
          <w:tcPr>
            <w:tcW w:w="1265" w:type="dxa"/>
            <w:tcBorders/>
            <w:vAlign w:val="center"/>
          </w:tcPr>
          <w:p>
            <w:pPr>
              <w:pStyle w:val="TableContents"/>
              <w:bidi w:val="0"/>
              <w:spacing w:before="0" w:after="0"/>
              <w:jc w:val="left"/>
              <w:rPr/>
            </w:pPr>
            <w:r>
              <w:rPr/>
              <w:t>Section 2.08.</w:t>
            </w:r>
          </w:p>
        </w:tc>
        <w:tc>
          <w:tcPr>
            <w:tcW w:w="7190" w:type="dxa"/>
            <w:tcBorders/>
            <w:vAlign w:val="center"/>
          </w:tcPr>
          <w:p>
            <w:pPr>
              <w:pStyle w:val="TableContents"/>
              <w:bidi w:val="0"/>
              <w:spacing w:before="0" w:after="0"/>
              <w:jc w:val="left"/>
              <w:rPr/>
            </w:pPr>
            <w:r>
              <w:rPr/>
              <w:t>Issuance of Additional 2033 Notes</w:t>
            </w:r>
          </w:p>
        </w:tc>
        <w:tc>
          <w:tcPr>
            <w:tcW w:w="515" w:type="dxa"/>
            <w:tcBorders/>
            <w:vAlign w:val="center"/>
          </w:tcPr>
          <w:p>
            <w:pPr>
              <w:pStyle w:val="TableContents"/>
              <w:bidi w:val="0"/>
              <w:spacing w:before="0" w:after="0"/>
              <w:jc w:val="right"/>
              <w:rPr/>
            </w:pPr>
            <w:r>
              <w:rPr/>
              <w:t>15</w:t>
            </w:r>
          </w:p>
        </w:tc>
      </w:tr>
      <w:tr>
        <w:trPr/>
        <w:tc>
          <w:tcPr>
            <w:tcW w:w="1265" w:type="dxa"/>
            <w:tcBorders/>
            <w:shd w:fill="CCEEFF" w:val="clear"/>
            <w:vAlign w:val="center"/>
          </w:tcPr>
          <w:p>
            <w:pPr>
              <w:pStyle w:val="TableContents"/>
              <w:bidi w:val="0"/>
              <w:spacing w:before="0" w:after="0"/>
              <w:jc w:val="left"/>
              <w:rPr/>
            </w:pPr>
            <w:r>
              <w:rPr/>
              <w:t>Section 2.09.</w:t>
            </w:r>
          </w:p>
        </w:tc>
        <w:tc>
          <w:tcPr>
            <w:tcW w:w="7190" w:type="dxa"/>
            <w:tcBorders/>
            <w:shd w:fill="CCEEFF" w:val="clear"/>
            <w:vAlign w:val="center"/>
          </w:tcPr>
          <w:p>
            <w:pPr>
              <w:pStyle w:val="TableContents"/>
              <w:bidi w:val="0"/>
              <w:spacing w:before="0" w:after="0"/>
              <w:jc w:val="left"/>
              <w:rPr/>
            </w:pPr>
            <w:r>
              <w:rPr/>
              <w:t>Security Registrar, Paying Agent and Transfer Agent</w:t>
            </w:r>
          </w:p>
        </w:tc>
        <w:tc>
          <w:tcPr>
            <w:tcW w:w="515" w:type="dxa"/>
            <w:tcBorders/>
            <w:shd w:fill="CCEEFF" w:val="clear"/>
            <w:vAlign w:val="center"/>
          </w:tcPr>
          <w:p>
            <w:pPr>
              <w:pStyle w:val="TableContents"/>
              <w:bidi w:val="0"/>
              <w:spacing w:before="0" w:after="0"/>
              <w:jc w:val="right"/>
              <w:rPr/>
            </w:pPr>
            <w:r>
              <w:rPr/>
              <w:t>15</w:t>
            </w:r>
          </w:p>
        </w:tc>
      </w:tr>
      <w:tr>
        <w:trPr/>
        <w:tc>
          <w:tcPr>
            <w:tcW w:w="1265" w:type="dxa"/>
            <w:tcBorders/>
            <w:vAlign w:val="center"/>
          </w:tcPr>
          <w:p>
            <w:pPr>
              <w:pStyle w:val="TableContents"/>
              <w:bidi w:val="0"/>
              <w:spacing w:before="0" w:after="0"/>
              <w:jc w:val="left"/>
              <w:rPr/>
            </w:pPr>
            <w:r>
              <w:rPr/>
              <w:t>Section 2.10.</w:t>
            </w:r>
          </w:p>
        </w:tc>
        <w:tc>
          <w:tcPr>
            <w:tcW w:w="7190" w:type="dxa"/>
            <w:tcBorders/>
            <w:vAlign w:val="center"/>
          </w:tcPr>
          <w:p>
            <w:pPr>
              <w:pStyle w:val="TableContents"/>
              <w:bidi w:val="0"/>
              <w:spacing w:before="0" w:after="0"/>
              <w:jc w:val="left"/>
              <w:rPr/>
            </w:pPr>
            <w:r>
              <w:rPr/>
              <w:t>Payment of Notes</w:t>
            </w:r>
          </w:p>
        </w:tc>
        <w:tc>
          <w:tcPr>
            <w:tcW w:w="515" w:type="dxa"/>
            <w:tcBorders/>
            <w:vAlign w:val="center"/>
          </w:tcPr>
          <w:p>
            <w:pPr>
              <w:pStyle w:val="TableContents"/>
              <w:bidi w:val="0"/>
              <w:spacing w:before="0" w:after="0"/>
              <w:jc w:val="right"/>
              <w:rPr/>
            </w:pPr>
            <w:r>
              <w:rPr/>
              <w:t>16</w:t>
            </w:r>
          </w:p>
        </w:tc>
      </w:tr>
      <w:tr>
        <w:trPr/>
        <w:tc>
          <w:tcPr>
            <w:tcW w:w="8970" w:type="dxa"/>
            <w:gridSpan w:val="3"/>
            <w:tcBorders/>
            <w:vAlign w:val="center"/>
          </w:tcPr>
          <w:p>
            <w:pPr>
              <w:pStyle w:val="TableContents"/>
              <w:bidi w:val="0"/>
              <w:spacing w:before="0" w:after="283"/>
              <w:jc w:val="left"/>
              <w:rPr/>
            </w:pPr>
            <w:r>
              <w:rPr/>
              <w:t> </w:t>
            </w:r>
          </w:p>
        </w:tc>
      </w:tr>
      <w:tr>
        <w:trPr/>
        <w:tc>
          <w:tcPr>
            <w:tcW w:w="8970" w:type="dxa"/>
            <w:gridSpan w:val="3"/>
            <w:tcBorders/>
            <w:vAlign w:val="center"/>
          </w:tcPr>
          <w:p>
            <w:pPr>
              <w:pStyle w:val="TableContents"/>
              <w:bidi w:val="0"/>
              <w:spacing w:before="0" w:after="0"/>
              <w:jc w:val="center"/>
              <w:rPr/>
            </w:pPr>
            <w:r>
              <w:rPr/>
              <w:t>ARTICLE 3</w:t>
            </w:r>
          </w:p>
        </w:tc>
      </w:tr>
      <w:tr>
        <w:trPr/>
        <w:tc>
          <w:tcPr>
            <w:tcW w:w="8970" w:type="dxa"/>
            <w:gridSpan w:val="3"/>
            <w:tcBorders/>
            <w:vAlign w:val="center"/>
          </w:tcPr>
          <w:p>
            <w:pPr>
              <w:pStyle w:val="TableContents"/>
              <w:bidi w:val="0"/>
              <w:spacing w:before="0" w:after="283"/>
              <w:jc w:val="left"/>
              <w:rPr/>
            </w:pPr>
            <w:r>
              <w:rPr/>
              <w:t> </w:t>
            </w:r>
          </w:p>
        </w:tc>
      </w:tr>
      <w:tr>
        <w:trPr/>
        <w:tc>
          <w:tcPr>
            <w:tcW w:w="8970" w:type="dxa"/>
            <w:gridSpan w:val="3"/>
            <w:tcBorders/>
            <w:vAlign w:val="center"/>
          </w:tcPr>
          <w:p>
            <w:pPr>
              <w:pStyle w:val="TableContents"/>
              <w:bidi w:val="0"/>
              <w:spacing w:before="0" w:after="0"/>
              <w:jc w:val="center"/>
              <w:rPr/>
            </w:pPr>
            <w:r>
              <w:rPr/>
              <w:t>Covenants</w:t>
            </w:r>
          </w:p>
        </w:tc>
      </w:tr>
      <w:tr>
        <w:trPr/>
        <w:tc>
          <w:tcPr>
            <w:tcW w:w="8970" w:type="dxa"/>
            <w:gridSpan w:val="3"/>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pPr>
            <w:r>
              <w:rPr/>
              <w:t>Section 3.01.</w:t>
            </w:r>
          </w:p>
        </w:tc>
        <w:tc>
          <w:tcPr>
            <w:tcW w:w="7190" w:type="dxa"/>
            <w:tcBorders/>
            <w:shd w:fill="CCEEFF" w:val="clear"/>
            <w:vAlign w:val="center"/>
          </w:tcPr>
          <w:p>
            <w:pPr>
              <w:pStyle w:val="TableContents"/>
              <w:bidi w:val="0"/>
              <w:spacing w:before="0" w:after="0"/>
              <w:jc w:val="left"/>
              <w:rPr/>
            </w:pPr>
            <w:r>
              <w:rPr/>
              <w:t>Payment of Principal, Premium and Interest</w:t>
            </w:r>
          </w:p>
        </w:tc>
        <w:tc>
          <w:tcPr>
            <w:tcW w:w="515" w:type="dxa"/>
            <w:tcBorders/>
            <w:shd w:fill="CCEEFF" w:val="clear"/>
            <w:vAlign w:val="center"/>
          </w:tcPr>
          <w:p>
            <w:pPr>
              <w:pStyle w:val="TableContents"/>
              <w:bidi w:val="0"/>
              <w:spacing w:before="0" w:after="0"/>
              <w:jc w:val="right"/>
              <w:rPr/>
            </w:pPr>
            <w:r>
              <w:rPr/>
              <w:t>16</w:t>
            </w:r>
          </w:p>
        </w:tc>
      </w:tr>
      <w:tr>
        <w:trPr/>
        <w:tc>
          <w:tcPr>
            <w:tcW w:w="1265" w:type="dxa"/>
            <w:tcBorders/>
            <w:vAlign w:val="center"/>
          </w:tcPr>
          <w:p>
            <w:pPr>
              <w:pStyle w:val="TableContents"/>
              <w:bidi w:val="0"/>
              <w:spacing w:before="0" w:after="0"/>
              <w:jc w:val="left"/>
              <w:rPr/>
            </w:pPr>
            <w:r>
              <w:rPr/>
              <w:t>Section 3.02.</w:t>
            </w:r>
          </w:p>
        </w:tc>
        <w:tc>
          <w:tcPr>
            <w:tcW w:w="7190" w:type="dxa"/>
            <w:tcBorders/>
            <w:vAlign w:val="center"/>
          </w:tcPr>
          <w:p>
            <w:pPr>
              <w:pStyle w:val="TableContents"/>
              <w:bidi w:val="0"/>
              <w:spacing w:before="0" w:after="0"/>
              <w:jc w:val="left"/>
              <w:rPr/>
            </w:pPr>
            <w:r>
              <w:rPr/>
              <w:t>Liens</w:t>
            </w:r>
          </w:p>
        </w:tc>
        <w:tc>
          <w:tcPr>
            <w:tcW w:w="515" w:type="dxa"/>
            <w:tcBorders/>
            <w:vAlign w:val="center"/>
          </w:tcPr>
          <w:p>
            <w:pPr>
              <w:pStyle w:val="TableContents"/>
              <w:bidi w:val="0"/>
              <w:spacing w:before="0" w:after="0"/>
              <w:jc w:val="right"/>
              <w:rPr/>
            </w:pPr>
            <w:r>
              <w:rPr/>
              <w:t>16</w:t>
            </w:r>
          </w:p>
        </w:tc>
      </w:tr>
      <w:tr>
        <w:trPr/>
        <w:tc>
          <w:tcPr>
            <w:tcW w:w="1265" w:type="dxa"/>
            <w:tcBorders/>
            <w:shd w:fill="CCEEFF" w:val="clear"/>
            <w:vAlign w:val="center"/>
          </w:tcPr>
          <w:p>
            <w:pPr>
              <w:pStyle w:val="TableContents"/>
              <w:bidi w:val="0"/>
              <w:spacing w:before="0" w:after="0"/>
              <w:jc w:val="left"/>
              <w:rPr/>
            </w:pPr>
            <w:r>
              <w:rPr/>
              <w:t>Section 3.03.</w:t>
            </w:r>
          </w:p>
        </w:tc>
        <w:tc>
          <w:tcPr>
            <w:tcW w:w="7190" w:type="dxa"/>
            <w:tcBorders/>
            <w:shd w:fill="CCEEFF" w:val="clear"/>
            <w:vAlign w:val="center"/>
          </w:tcPr>
          <w:p>
            <w:pPr>
              <w:pStyle w:val="TableContents"/>
              <w:bidi w:val="0"/>
              <w:spacing w:before="0" w:after="0"/>
              <w:jc w:val="left"/>
              <w:rPr/>
            </w:pPr>
            <w:r>
              <w:rPr/>
              <w:t>Limitation on Sale Leaseback Transactions</w:t>
            </w:r>
          </w:p>
        </w:tc>
        <w:tc>
          <w:tcPr>
            <w:tcW w:w="515" w:type="dxa"/>
            <w:tcBorders/>
            <w:shd w:fill="CCEEFF" w:val="clear"/>
            <w:vAlign w:val="center"/>
          </w:tcPr>
          <w:p>
            <w:pPr>
              <w:pStyle w:val="TableContents"/>
              <w:bidi w:val="0"/>
              <w:spacing w:before="0" w:after="0"/>
              <w:jc w:val="right"/>
              <w:rPr/>
            </w:pPr>
            <w:r>
              <w:rPr/>
              <w:t>17</w:t>
            </w:r>
          </w:p>
        </w:tc>
      </w:tr>
      <w:tr>
        <w:trPr/>
        <w:tc>
          <w:tcPr>
            <w:tcW w:w="1265" w:type="dxa"/>
            <w:tcBorders/>
            <w:vAlign w:val="center"/>
          </w:tcPr>
          <w:p>
            <w:pPr>
              <w:pStyle w:val="TableContents"/>
              <w:bidi w:val="0"/>
              <w:spacing w:before="0" w:after="0"/>
              <w:jc w:val="left"/>
              <w:rPr/>
            </w:pPr>
            <w:r>
              <w:rPr/>
              <w:t>Section 3.04.</w:t>
            </w:r>
          </w:p>
        </w:tc>
        <w:tc>
          <w:tcPr>
            <w:tcW w:w="7190" w:type="dxa"/>
            <w:tcBorders/>
            <w:vAlign w:val="center"/>
          </w:tcPr>
          <w:p>
            <w:pPr>
              <w:pStyle w:val="TableContents"/>
              <w:bidi w:val="0"/>
              <w:spacing w:before="0" w:after="0"/>
              <w:jc w:val="left"/>
              <w:rPr/>
            </w:pPr>
            <w:r>
              <w:rPr/>
              <w:t>Purchase of Notes Upon a Change of Control Repurchase Event</w:t>
            </w:r>
          </w:p>
        </w:tc>
        <w:tc>
          <w:tcPr>
            <w:tcW w:w="515" w:type="dxa"/>
            <w:tcBorders/>
            <w:vAlign w:val="center"/>
          </w:tcPr>
          <w:p>
            <w:pPr>
              <w:pStyle w:val="TableContents"/>
              <w:bidi w:val="0"/>
              <w:spacing w:before="0" w:after="0"/>
              <w:jc w:val="right"/>
              <w:rPr/>
            </w:pPr>
            <w:r>
              <w:rPr/>
              <w:t>17</w:t>
            </w:r>
          </w:p>
        </w:tc>
      </w:tr>
      <w:tr>
        <w:trPr/>
        <w:tc>
          <w:tcPr>
            <w:tcW w:w="1265" w:type="dxa"/>
            <w:tcBorders/>
            <w:shd w:fill="CCEEFF" w:val="clear"/>
            <w:vAlign w:val="center"/>
          </w:tcPr>
          <w:p>
            <w:pPr>
              <w:pStyle w:val="TableContents"/>
              <w:bidi w:val="0"/>
              <w:spacing w:before="0" w:after="0"/>
              <w:jc w:val="left"/>
              <w:rPr/>
            </w:pPr>
            <w:r>
              <w:rPr/>
              <w:t>Section 3.05.</w:t>
            </w:r>
          </w:p>
        </w:tc>
        <w:tc>
          <w:tcPr>
            <w:tcW w:w="7190" w:type="dxa"/>
            <w:tcBorders/>
            <w:shd w:fill="CCEEFF" w:val="clear"/>
            <w:vAlign w:val="center"/>
          </w:tcPr>
          <w:p>
            <w:pPr>
              <w:pStyle w:val="TableContents"/>
              <w:bidi w:val="0"/>
              <w:spacing w:before="0" w:after="0"/>
              <w:jc w:val="left"/>
              <w:rPr/>
            </w:pPr>
            <w:r>
              <w:rPr/>
              <w:t>2033 Note Guarantees</w:t>
            </w:r>
          </w:p>
        </w:tc>
        <w:tc>
          <w:tcPr>
            <w:tcW w:w="515" w:type="dxa"/>
            <w:tcBorders/>
            <w:shd w:fill="CCEEFF" w:val="clear"/>
            <w:vAlign w:val="center"/>
          </w:tcPr>
          <w:p>
            <w:pPr>
              <w:pStyle w:val="TableContents"/>
              <w:bidi w:val="0"/>
              <w:spacing w:before="0" w:after="0"/>
              <w:jc w:val="right"/>
              <w:rPr/>
            </w:pPr>
            <w:r>
              <w:rPr/>
              <w:t>19</w:t>
            </w:r>
          </w:p>
        </w:tc>
      </w:tr>
      <w:tr>
        <w:trPr/>
        <w:tc>
          <w:tcPr>
            <w:tcW w:w="8970" w:type="dxa"/>
            <w:gridSpan w:val="3"/>
            <w:tcBorders/>
            <w:vAlign w:val="center"/>
          </w:tcPr>
          <w:p>
            <w:pPr>
              <w:pStyle w:val="TableContents"/>
              <w:bidi w:val="0"/>
              <w:spacing w:before="0" w:after="283"/>
              <w:jc w:val="left"/>
              <w:rPr/>
            </w:pPr>
            <w:r>
              <w:rPr/>
              <w:t> </w:t>
            </w:r>
          </w:p>
        </w:tc>
      </w:tr>
      <w:tr>
        <w:trPr/>
        <w:tc>
          <w:tcPr>
            <w:tcW w:w="8970" w:type="dxa"/>
            <w:gridSpan w:val="3"/>
            <w:tcBorders/>
            <w:vAlign w:val="center"/>
          </w:tcPr>
          <w:p>
            <w:pPr>
              <w:pStyle w:val="TableContents"/>
              <w:bidi w:val="0"/>
              <w:spacing w:before="0" w:after="0"/>
              <w:jc w:val="center"/>
              <w:rPr/>
            </w:pPr>
            <w:r>
              <w:rPr/>
              <w:t>ARTICLE 4</w:t>
            </w:r>
          </w:p>
        </w:tc>
      </w:tr>
      <w:tr>
        <w:trPr/>
        <w:tc>
          <w:tcPr>
            <w:tcW w:w="8970" w:type="dxa"/>
            <w:gridSpan w:val="3"/>
            <w:tcBorders/>
            <w:vAlign w:val="center"/>
          </w:tcPr>
          <w:p>
            <w:pPr>
              <w:pStyle w:val="TableContents"/>
              <w:bidi w:val="0"/>
              <w:spacing w:before="0" w:after="283"/>
              <w:jc w:val="left"/>
              <w:rPr/>
            </w:pPr>
            <w:r>
              <w:rPr/>
              <w:t> </w:t>
            </w:r>
          </w:p>
        </w:tc>
      </w:tr>
      <w:tr>
        <w:trPr/>
        <w:tc>
          <w:tcPr>
            <w:tcW w:w="8970" w:type="dxa"/>
            <w:gridSpan w:val="3"/>
            <w:tcBorders/>
            <w:vAlign w:val="center"/>
          </w:tcPr>
          <w:p>
            <w:pPr>
              <w:pStyle w:val="TableContents"/>
              <w:bidi w:val="0"/>
              <w:spacing w:before="0" w:after="0"/>
              <w:jc w:val="center"/>
              <w:rPr/>
            </w:pPr>
            <w:r>
              <w:rPr/>
              <w:t>Redemption of 2033 Notes by the Company</w:t>
            </w:r>
          </w:p>
        </w:tc>
      </w:tr>
      <w:tr>
        <w:trPr/>
        <w:tc>
          <w:tcPr>
            <w:tcW w:w="8970" w:type="dxa"/>
            <w:gridSpan w:val="3"/>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pPr>
            <w:r>
              <w:rPr/>
              <w:t>Section 4.01.</w:t>
            </w:r>
          </w:p>
        </w:tc>
        <w:tc>
          <w:tcPr>
            <w:tcW w:w="7190" w:type="dxa"/>
            <w:tcBorders/>
            <w:shd w:fill="CCEEFF" w:val="clear"/>
            <w:vAlign w:val="center"/>
          </w:tcPr>
          <w:p>
            <w:pPr>
              <w:pStyle w:val="TableContents"/>
              <w:bidi w:val="0"/>
              <w:spacing w:before="0" w:after="0"/>
              <w:jc w:val="left"/>
              <w:rPr/>
            </w:pPr>
            <w:r>
              <w:rPr/>
              <w:t>Optional Redemption</w:t>
            </w:r>
          </w:p>
        </w:tc>
        <w:tc>
          <w:tcPr>
            <w:tcW w:w="515" w:type="dxa"/>
            <w:tcBorders/>
            <w:shd w:fill="CCEEFF" w:val="clear"/>
            <w:vAlign w:val="center"/>
          </w:tcPr>
          <w:p>
            <w:pPr>
              <w:pStyle w:val="TableContents"/>
              <w:bidi w:val="0"/>
              <w:spacing w:before="0" w:after="0"/>
              <w:jc w:val="right"/>
              <w:rPr/>
            </w:pPr>
            <w:r>
              <w:rPr/>
              <w:t>20</w:t>
            </w:r>
          </w:p>
        </w:tc>
      </w:tr>
      <w:tr>
        <w:trPr/>
        <w:tc>
          <w:tcPr>
            <w:tcW w:w="1265" w:type="dxa"/>
            <w:tcBorders/>
            <w:vAlign w:val="center"/>
          </w:tcPr>
          <w:p>
            <w:pPr>
              <w:pStyle w:val="TableContents"/>
              <w:bidi w:val="0"/>
              <w:spacing w:before="0" w:after="0"/>
              <w:jc w:val="left"/>
              <w:rPr/>
            </w:pPr>
            <w:r>
              <w:rPr/>
              <w:t>Section 4.02.</w:t>
            </w:r>
          </w:p>
        </w:tc>
        <w:tc>
          <w:tcPr>
            <w:tcW w:w="7190" w:type="dxa"/>
            <w:tcBorders/>
            <w:vAlign w:val="center"/>
          </w:tcPr>
          <w:p>
            <w:pPr>
              <w:pStyle w:val="TableContents"/>
              <w:bidi w:val="0"/>
              <w:spacing w:before="0" w:after="0"/>
              <w:jc w:val="left"/>
              <w:rPr/>
            </w:pPr>
            <w:r>
              <w:rPr/>
              <w:t>Mandatory Redemption</w:t>
            </w:r>
          </w:p>
        </w:tc>
        <w:tc>
          <w:tcPr>
            <w:tcW w:w="515" w:type="dxa"/>
            <w:tcBorders/>
            <w:vAlign w:val="center"/>
          </w:tcPr>
          <w:p>
            <w:pPr>
              <w:pStyle w:val="TableContents"/>
              <w:bidi w:val="0"/>
              <w:spacing w:before="0" w:after="0"/>
              <w:jc w:val="right"/>
              <w:rPr/>
            </w:pPr>
            <w:r>
              <w:rPr/>
              <w:t>22</w:t>
            </w:r>
          </w:p>
        </w:tc>
      </w:tr>
      <w:tr>
        <w:trPr/>
        <w:tc>
          <w:tcPr>
            <w:tcW w:w="1265" w:type="dxa"/>
            <w:tcBorders/>
            <w:shd w:fill="CCEEFF" w:val="clear"/>
            <w:vAlign w:val="center"/>
          </w:tcPr>
          <w:p>
            <w:pPr>
              <w:pStyle w:val="TableContents"/>
              <w:bidi w:val="0"/>
              <w:spacing w:before="0" w:after="0"/>
              <w:jc w:val="left"/>
              <w:rPr/>
            </w:pPr>
            <w:r>
              <w:rPr/>
              <w:t>Section 4.03.</w:t>
            </w:r>
          </w:p>
        </w:tc>
        <w:tc>
          <w:tcPr>
            <w:tcW w:w="7190" w:type="dxa"/>
            <w:tcBorders/>
            <w:shd w:fill="CCEEFF" w:val="clear"/>
            <w:vAlign w:val="center"/>
          </w:tcPr>
          <w:p>
            <w:pPr>
              <w:pStyle w:val="TableContents"/>
              <w:bidi w:val="0"/>
              <w:spacing w:before="0" w:after="0"/>
              <w:jc w:val="left"/>
              <w:rPr/>
            </w:pPr>
            <w:r>
              <w:rPr/>
              <w:t>Deposit of Redemption Price</w:t>
            </w:r>
          </w:p>
        </w:tc>
        <w:tc>
          <w:tcPr>
            <w:tcW w:w="515" w:type="dxa"/>
            <w:tcBorders/>
            <w:shd w:fill="CCEEFF" w:val="clear"/>
            <w:vAlign w:val="center"/>
          </w:tcPr>
          <w:p>
            <w:pPr>
              <w:pStyle w:val="TableContents"/>
              <w:bidi w:val="0"/>
              <w:spacing w:before="0" w:after="0"/>
              <w:jc w:val="right"/>
              <w:rPr/>
            </w:pPr>
            <w:r>
              <w:rPr/>
              <w:t>22</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tbl>
      <w:tblPr>
        <w:tblW w:w="6195" w:type="dxa"/>
        <w:jc w:val="left"/>
        <w:tblInd w:w="0" w:type="dxa"/>
        <w:tblLayout w:type="fixed"/>
        <w:tblCellMar>
          <w:top w:w="0" w:type="dxa"/>
          <w:left w:w="0" w:type="dxa"/>
          <w:bottom w:w="0" w:type="dxa"/>
          <w:right w:w="0" w:type="dxa"/>
        </w:tblCellMar>
      </w:tblPr>
      <w:tblGrid>
        <w:gridCol w:w="1265"/>
        <w:gridCol w:w="4670"/>
        <w:gridCol w:w="260"/>
      </w:tblGrid>
      <w:tr>
        <w:trPr/>
        <w:tc>
          <w:tcPr>
            <w:tcW w:w="6195" w:type="dxa"/>
            <w:gridSpan w:val="3"/>
            <w:tcBorders/>
            <w:vAlign w:val="center"/>
          </w:tcPr>
          <w:p>
            <w:pPr>
              <w:pStyle w:val="TableContents"/>
              <w:bidi w:val="0"/>
              <w:spacing w:before="0" w:after="0"/>
              <w:jc w:val="center"/>
              <w:rPr/>
            </w:pPr>
            <w:r>
              <w:rPr/>
              <w:t>ARTICLE 5</w:t>
            </w:r>
          </w:p>
        </w:tc>
      </w:tr>
      <w:tr>
        <w:trPr/>
        <w:tc>
          <w:tcPr>
            <w:tcW w:w="6195" w:type="dxa"/>
            <w:gridSpan w:val="3"/>
            <w:tcBorders/>
            <w:vAlign w:val="center"/>
          </w:tcPr>
          <w:p>
            <w:pPr>
              <w:pStyle w:val="TableContents"/>
              <w:bidi w:val="0"/>
              <w:spacing w:before="0" w:after="283"/>
              <w:jc w:val="left"/>
              <w:rPr/>
            </w:pPr>
            <w:r>
              <w:rPr/>
              <w:t> </w:t>
            </w:r>
          </w:p>
        </w:tc>
      </w:tr>
      <w:tr>
        <w:trPr/>
        <w:tc>
          <w:tcPr>
            <w:tcW w:w="6195" w:type="dxa"/>
            <w:gridSpan w:val="3"/>
            <w:tcBorders/>
            <w:vAlign w:val="center"/>
          </w:tcPr>
          <w:p>
            <w:pPr>
              <w:pStyle w:val="TableContents"/>
              <w:bidi w:val="0"/>
              <w:spacing w:before="0" w:after="0"/>
              <w:jc w:val="center"/>
              <w:rPr/>
            </w:pPr>
            <w:r>
              <w:rPr/>
              <w:t>Satisfaction and Discharge; Defeasance</w:t>
            </w:r>
          </w:p>
        </w:tc>
      </w:tr>
      <w:tr>
        <w:trPr/>
        <w:tc>
          <w:tcPr>
            <w:tcW w:w="6195" w:type="dxa"/>
            <w:gridSpan w:val="3"/>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pPr>
            <w:r>
              <w:rPr/>
              <w:t>Section 5.01.</w:t>
            </w:r>
          </w:p>
        </w:tc>
        <w:tc>
          <w:tcPr>
            <w:tcW w:w="4670" w:type="dxa"/>
            <w:tcBorders/>
            <w:shd w:fill="CCEEFF" w:val="clear"/>
            <w:vAlign w:val="center"/>
          </w:tcPr>
          <w:p>
            <w:pPr>
              <w:pStyle w:val="TableContents"/>
              <w:bidi w:val="0"/>
              <w:spacing w:before="0" w:after="0"/>
              <w:jc w:val="left"/>
              <w:rPr/>
            </w:pPr>
            <w:r>
              <w:rPr/>
              <w:t>Applicability of Article IX of the Base Indenture.</w:t>
            </w:r>
          </w:p>
        </w:tc>
        <w:tc>
          <w:tcPr>
            <w:tcW w:w="260" w:type="dxa"/>
            <w:tcBorders/>
            <w:shd w:fill="CCEEFF" w:val="clear"/>
            <w:vAlign w:val="center"/>
          </w:tcPr>
          <w:p>
            <w:pPr>
              <w:pStyle w:val="TableContents"/>
              <w:bidi w:val="0"/>
              <w:spacing w:before="0" w:after="0"/>
              <w:jc w:val="right"/>
              <w:rPr/>
            </w:pPr>
            <w:r>
              <w:rPr/>
              <w:t>22</w:t>
            </w:r>
          </w:p>
        </w:tc>
      </w:tr>
      <w:tr>
        <w:trPr/>
        <w:tc>
          <w:tcPr>
            <w:tcW w:w="1265" w:type="dxa"/>
            <w:tcBorders/>
            <w:vAlign w:val="center"/>
          </w:tcPr>
          <w:p>
            <w:pPr>
              <w:pStyle w:val="TableContents"/>
              <w:bidi w:val="0"/>
              <w:spacing w:before="0" w:after="0"/>
              <w:jc w:val="left"/>
              <w:rPr/>
            </w:pPr>
            <w:r>
              <w:rPr/>
              <w:t>Section 5.02.</w:t>
            </w:r>
          </w:p>
        </w:tc>
        <w:tc>
          <w:tcPr>
            <w:tcW w:w="4670" w:type="dxa"/>
            <w:tcBorders/>
            <w:vAlign w:val="center"/>
          </w:tcPr>
          <w:p>
            <w:pPr>
              <w:pStyle w:val="TableContents"/>
              <w:bidi w:val="0"/>
              <w:spacing w:before="0" w:after="0"/>
              <w:jc w:val="left"/>
              <w:rPr/>
            </w:pPr>
            <w:r>
              <w:rPr/>
              <w:t>Satisfaction and Discharge.</w:t>
            </w:r>
          </w:p>
        </w:tc>
        <w:tc>
          <w:tcPr>
            <w:tcW w:w="260" w:type="dxa"/>
            <w:tcBorders/>
            <w:vAlign w:val="center"/>
          </w:tcPr>
          <w:p>
            <w:pPr>
              <w:pStyle w:val="TableContents"/>
              <w:bidi w:val="0"/>
              <w:spacing w:before="0" w:after="0"/>
              <w:jc w:val="right"/>
              <w:rPr/>
            </w:pPr>
            <w:r>
              <w:rPr/>
              <w:t>22</w:t>
            </w:r>
          </w:p>
        </w:tc>
      </w:tr>
      <w:tr>
        <w:trPr/>
        <w:tc>
          <w:tcPr>
            <w:tcW w:w="1265" w:type="dxa"/>
            <w:tcBorders/>
            <w:shd w:fill="CCEEFF" w:val="clear"/>
            <w:vAlign w:val="center"/>
          </w:tcPr>
          <w:p>
            <w:pPr>
              <w:pStyle w:val="TableContents"/>
              <w:bidi w:val="0"/>
              <w:spacing w:before="0" w:after="0"/>
              <w:jc w:val="left"/>
              <w:rPr/>
            </w:pPr>
            <w:r>
              <w:rPr/>
              <w:t>Section 5.03.</w:t>
            </w:r>
          </w:p>
        </w:tc>
        <w:tc>
          <w:tcPr>
            <w:tcW w:w="4670" w:type="dxa"/>
            <w:tcBorders/>
            <w:shd w:fill="CCEEFF" w:val="clear"/>
            <w:vAlign w:val="center"/>
          </w:tcPr>
          <w:p>
            <w:pPr>
              <w:pStyle w:val="TableContents"/>
              <w:bidi w:val="0"/>
              <w:spacing w:before="0" w:after="0"/>
              <w:jc w:val="left"/>
              <w:rPr/>
            </w:pPr>
            <w:r>
              <w:rPr/>
              <w:t>Defeasance.</w:t>
            </w:r>
          </w:p>
        </w:tc>
        <w:tc>
          <w:tcPr>
            <w:tcW w:w="260" w:type="dxa"/>
            <w:tcBorders/>
            <w:shd w:fill="CCEEFF" w:val="clear"/>
            <w:vAlign w:val="center"/>
          </w:tcPr>
          <w:p>
            <w:pPr>
              <w:pStyle w:val="TableContents"/>
              <w:bidi w:val="0"/>
              <w:spacing w:before="0" w:after="0"/>
              <w:jc w:val="right"/>
              <w:rPr/>
            </w:pPr>
            <w:r>
              <w:rPr/>
              <w:t>23</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 xml:space="preserve">THIS FIRST SUPPLEMENTAL INDENTURE </w:t>
      </w:r>
      <w:r>
        <w:rPr>
          <w:rFonts w:ascii="Times New Roman" w:hAnsi="Times New Roman"/>
          <w:color w:val="000000"/>
          <w:sz w:val="20"/>
        </w:rPr>
        <w:t>(this “</w:t>
      </w:r>
      <w:r>
        <w:rPr>
          <w:rFonts w:ascii="Times New Roman" w:hAnsi="Times New Roman"/>
          <w:b/>
          <w:color w:val="000000"/>
          <w:sz w:val="20"/>
        </w:rPr>
        <w:t>Supplemental Indenture</w:t>
      </w:r>
      <w:r>
        <w:rPr>
          <w:rFonts w:ascii="Times New Roman" w:hAnsi="Times New Roman"/>
          <w:color w:val="000000"/>
          <w:sz w:val="20"/>
        </w:rPr>
        <w:t>”), by and among Viatris Inc., a Delaware corporation (the “</w:t>
      </w:r>
      <w:r>
        <w:rPr>
          <w:rFonts w:ascii="Times New Roman" w:hAnsi="Times New Roman"/>
          <w:b/>
          <w:color w:val="000000"/>
          <w:sz w:val="20"/>
        </w:rPr>
        <w:t>Company</w:t>
      </w:r>
      <w:r>
        <w:rPr>
          <w:rFonts w:ascii="Times New Roman" w:hAnsi="Times New Roman"/>
          <w:color w:val="000000"/>
          <w:sz w:val="20"/>
        </w:rPr>
        <w:t>”), the Guarantors (as defined herein) from time to time party hereto, and The Bank of New York Mellon, as trustee (the “</w:t>
      </w:r>
      <w:r>
        <w:rPr>
          <w:rFonts w:ascii="Times New Roman" w:hAnsi="Times New Roman"/>
          <w:b/>
          <w:color w:val="000000"/>
          <w:sz w:val="20"/>
        </w:rPr>
        <w:t>Trustee</w:t>
      </w:r>
      <w:r>
        <w:rPr>
          <w:rFonts w:ascii="Times New Roman" w:hAnsi="Times New Roman"/>
          <w:color w:val="000000"/>
          <w:sz w:val="20"/>
        </w:rPr>
        <w:t>”), is made and entered into as of this 17th day of June, 2026.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and the Guarantors have heretofore executed and delivered to the Trustee an indenture, dated as of June 17, 2026 (as such indenture has been amended, supplemented or otherwise modified prior to the date hereof, the “</w:t>
      </w:r>
      <w:r>
        <w:rPr>
          <w:rFonts w:ascii="Times New Roman" w:hAnsi="Times New Roman"/>
          <w:b/>
          <w:color w:val="000000"/>
          <w:sz w:val="20"/>
        </w:rPr>
        <w:t>Base Indenture</w:t>
      </w:r>
      <w:r>
        <w:rPr>
          <w:rFonts w:ascii="Times New Roman" w:hAnsi="Times New Roman"/>
          <w:color w:val="000000"/>
          <w:sz w:val="20"/>
        </w:rPr>
        <w:t>”), providing for the issuance of the Company’s debentures, notes, bonds, and other evidences of indebtedness, to be issued in one or more series (the “</w:t>
      </w:r>
      <w:r>
        <w:rPr>
          <w:rFonts w:ascii="Times New Roman" w:hAnsi="Times New Roman"/>
          <w:b/>
          <w:color w:val="000000"/>
          <w:sz w:val="20"/>
        </w:rPr>
        <w:t>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Section 2.01 of the Base Indenture, the Company desires to provide for the establishment of a new series of Securities under the Base Indenture to be known as its “4.250% Senior Notes due 2033” (the “</w:t>
      </w:r>
      <w:r>
        <w:rPr>
          <w:rFonts w:ascii="Times New Roman" w:hAnsi="Times New Roman"/>
          <w:b/>
          <w:color w:val="000000"/>
          <w:sz w:val="20"/>
        </w:rPr>
        <w:t>2033 Notes</w:t>
      </w:r>
      <w:r>
        <w:rPr>
          <w:rFonts w:ascii="Times New Roman" w:hAnsi="Times New Roman"/>
          <w:color w:val="000000"/>
          <w:sz w:val="20"/>
        </w:rPr>
        <w:t>”), the form and substance and the terms, provisions and conditions thereof to be set forth as provided in the Base Indenture and this Supplemental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has requested that the Trustee execute and deliver this Supplemental Indenture, which is being entered into pursuant to the provisions of Section 2.02 and 8.01 of the Base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Supplemental Indenture shall modify the Base Indenture only with respect to the 2033 Notes.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Agreements of the Parties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To set forth or to provide for the establishment of the terms and conditions upon which the 2033 Notes are and are to be authenticated, issued, and delivered, and in consideration of the premises thereof, and the purchase of the 2033 Notes by the Holders thereof, the Company, the Guarantors and the Trustee mutually covenant and agree as follows, for the equal and proportionate benefit of all Holders from time to time of the 2033 Notes: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Definitions and Other Provisions of General Application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1.01.</w:t>
      </w:r>
      <w:r>
        <w:rPr>
          <w:rFonts w:ascii="Times New Roman" w:hAnsi="Times New Roman"/>
          <w:color w:val="000000"/>
          <w:sz w:val="20"/>
        </w:rPr>
        <w:t xml:space="preserve">     </w:t>
      </w:r>
      <w:r>
        <w:rPr>
          <w:rFonts w:ascii="Times New Roman" w:hAnsi="Times New Roman"/>
          <w:b/>
          <w:i/>
          <w:color w:val="000000"/>
          <w:sz w:val="20"/>
        </w:rPr>
        <w:t>Definitions</w:t>
      </w:r>
      <w:r>
        <w:rPr>
          <w:rFonts w:ascii="Times New Roman" w:hAnsi="Times New Roman"/>
          <w:color w:val="000000"/>
          <w:sz w:val="20"/>
        </w:rPr>
        <w:t>.  (a) For all purposes of this Supplemental Indenture, except as expressly provided or unless the context otherwise requires: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the terms defined by the Base Indenture and used in this Supplemental Indenture and not otherwise defined in this Supplemental Indenture have the meanings assigned to them in the Base Indenture;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(ii)     for the avoidance of doubt, Sections 1.03 and 1.04 of the Base Indenture shall apply when interpreting this Supplemental Indenture; and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(iii)      all references in this Supplemental Indenture to designated “Articles”, “Sections” and other subdivisions are to the designated Articles, Sections and other subdivisions of this instrument as originally executed. The words “herein”, “hereof”, and “hereunder” and other words of similar import refer to this Supplemental Indenture as a whole and not to any particular Article, Section, or other subdivision.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For all purposes of this Supplemental Indenture, the following terms shall have the following meanings: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2033 Notes</w:t>
      </w:r>
      <w:r>
        <w:rPr>
          <w:rFonts w:ascii="Times New Roman" w:hAnsi="Times New Roman"/>
          <w:color w:val="000000"/>
          <w:sz w:val="20"/>
        </w:rPr>
        <w:t>” has the meaning assigned to it in the preamble to this Supplemental Indenture. The Initial 2033 Notes and the Additional 2033 Notes, if any, shall be treated as a single class as specified in this Supplemental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Additional 2033 Notes</w:t>
      </w:r>
      <w:r>
        <w:rPr>
          <w:rFonts w:ascii="Times New Roman" w:hAnsi="Times New Roman"/>
          <w:color w:val="000000"/>
          <w:sz w:val="20"/>
        </w:rPr>
        <w:t>” means any Securities (other than the Initial 2033 Notes) issued under this Supplemental Indenture in accordance with Section 2.08 hereof, as part of the same series as the Initial 2033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Base Indenture</w:t>
      </w:r>
      <w:r>
        <w:rPr>
          <w:rFonts w:ascii="Times New Roman" w:hAnsi="Times New Roman"/>
          <w:color w:val="000000"/>
          <w:sz w:val="20"/>
        </w:rPr>
        <w:t>” has the meaning set forth in the preamble to this Supplemental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color w:val="000000"/>
          <w:sz w:val="20"/>
        </w:rPr>
        <w:t>Below Investment Grade Rating Event</w:t>
      </w:r>
      <w:r>
        <w:rPr>
          <w:rFonts w:ascii="Times New Roman" w:hAnsi="Times New Roman"/>
          <w:color w:val="000000"/>
          <w:sz w:val="20"/>
        </w:rPr>
        <w:t xml:space="preserve">” means the rating on the 2033 Notes from each of the Rating Agencies that made a rating of the 2033 Notes publicly available prior to the date of the public notice of the arrangement that could result in such Change of Control is both (i) lowered in respect of a Change of Control and (ii) below an Investment Grade Rating, in the case of each of clauses (i) and (ii), on or within 60 days after the earlier of (A) the occurrence of a Change of Control or (B) public notice of the occurrence of the Change of Control or the intention by the Company to effect a Change of Control (which period shall be extended until the ratings are announced if, during such 60-day period, the rating of such notes is under publicly announced consideration for possible downgrade by each of the Rating Agencies); </w:t>
      </w:r>
      <w:r>
        <w:rPr>
          <w:rFonts w:ascii="Times New Roman" w:hAnsi="Times New Roman"/>
          <w:i/>
          <w:color w:val="000000"/>
          <w:sz w:val="20"/>
        </w:rPr>
        <w:t>provided</w:t>
      </w:r>
      <w:r>
        <w:rPr>
          <w:rFonts w:ascii="Times New Roman" w:hAnsi="Times New Roman"/>
          <w:color w:val="000000"/>
          <w:sz w:val="20"/>
        </w:rPr>
        <w:t xml:space="preserve"> that a Below Investment Grade Rating Event otherwise arising by virtue of a particular reduction in rating shall not be deemed to have occurred in respect of a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Company shall request the Rating Agencies to make such confirmation in connection with any Change of Control and shall promptly certify to the Trustee as to whether or not such confirmation has been received or denied.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Change of Control</w:t>
      </w:r>
      <w:r>
        <w:rPr>
          <w:rFonts w:ascii="Times New Roman" w:hAnsi="Times New Roman"/>
          <w:color w:val="000000"/>
          <w:sz w:val="20"/>
        </w:rPr>
        <w:t>” means the occurrence of any of the following events: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any “person” or “group” (as such terms are used in Sections 13(d) and 14(d) of the Exchange Act)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 (other than a Wholly Owned Subsidiary);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Company consolidates with or merges with or into any Person or sells, assigns, conveys, transfers, leases or otherwise disposes of all or substantially all of its assets to any Person (other than a Wholly Owned Subsidiary), or any Person consolidates with or merges with or into the Company, in any such event pursuant to a transaction in which the outstanding Voting Stock of the Company is converted into or exchanged for cash, securities or other property, other than any such transaction where: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the outstanding Voting Stock of the Company is changed into or exchanged for Voting Stock of the surviving corporation,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(ii)        the holders of the Voting Stock of the Company, immediately prior to such transaction own, directly or indirectly, not less than a majority of the Voting Stock of the Company, or the surviving corporation immediately after such transaction and in substantially the same proportion as before the transaction; or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Company is liquidated or dissolved or adopts a plan of liquidation or dissolution other than in a transaction which complies with the provisions described under Section 5.01 of the Base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Change of Control Offer</w:t>
      </w:r>
      <w:r>
        <w:rPr>
          <w:rFonts w:ascii="Times New Roman" w:hAnsi="Times New Roman"/>
          <w:color w:val="000000"/>
          <w:sz w:val="20"/>
        </w:rPr>
        <w:t>” has the meaning specified in Section 3.04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Change of Control Purchase Date</w:t>
      </w:r>
      <w:r>
        <w:rPr>
          <w:rFonts w:ascii="Times New Roman" w:hAnsi="Times New Roman"/>
          <w:color w:val="000000"/>
          <w:sz w:val="20"/>
        </w:rPr>
        <w:t>” has the meaning specified in Section 3.04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Change of Control Purchase Price</w:t>
      </w:r>
      <w:r>
        <w:rPr>
          <w:rFonts w:ascii="Times New Roman" w:hAnsi="Times New Roman"/>
          <w:color w:val="000000"/>
          <w:sz w:val="20"/>
        </w:rPr>
        <w:t>” has the meaning specified in Section 3.04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color w:val="000000"/>
          <w:sz w:val="20"/>
        </w:rPr>
        <w:t>Change of Control Repurchase Event</w:t>
      </w:r>
      <w:r>
        <w:rPr>
          <w:rFonts w:ascii="Times New Roman" w:hAnsi="Times New Roman"/>
          <w:color w:val="000000"/>
          <w:sz w:val="20"/>
        </w:rPr>
        <w:t>” means, with respect to the 2033 Notes, the occurrence of a Change of Control together with a Below Investment Grade Rating Event with respect to the 2033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Comparable Government Bond</w:t>
      </w:r>
      <w:r>
        <w:rPr>
          <w:rFonts w:ascii="Times New Roman" w:hAnsi="Times New Roman"/>
          <w:color w:val="000000"/>
          <w:sz w:val="20"/>
        </w:rPr>
        <w:t>” means, in relation to any Comparable Government Bond Rate calculation, at the discretion of an independent investment bank selected by us, a German government bond whose maturity is closest to the Par Call Date of the 2033 Notes being redeemed,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Comparable Government Bond Rate</w:t>
      </w:r>
      <w:r>
        <w:rPr>
          <w:rFonts w:ascii="Times New Roman" w:hAnsi="Times New Roman"/>
          <w:color w:val="000000"/>
          <w:sz w:val="20"/>
        </w:rPr>
        <w:t>” means the yield to maturity, expressed as a percentage (rounded to three decimal places,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 selected by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color w:val="000000"/>
          <w:sz w:val="20"/>
        </w:rPr>
        <w:t>Consolidated Net Tangible Assets</w:t>
      </w:r>
      <w:r>
        <w:rPr>
          <w:rFonts w:ascii="Times New Roman" w:hAnsi="Times New Roman"/>
          <w:color w:val="000000"/>
          <w:sz w:val="20"/>
        </w:rPr>
        <w:t>” means, with respect to the Company, the total amount of assets (less applicable reserves and other properly deductible items) after deducting (i) all current liabilities (excluding the amount of liabilities which are by their terms extendable or renewable at the option of the obligor to a date more than 12 months after the date as of which the amount is being determined) and (ii) all goodwill, tradenames, trademarks, patents, unamortized debt discount and expense and other like intangible assets, all as set forth on the most recent consolidated balance sheet of the Company and its Subsidiaries.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Finco Indebtedness</w:t>
      </w:r>
      <w:r>
        <w:rPr>
          <w:rFonts w:ascii="Times New Roman" w:hAnsi="Times New Roman"/>
          <w:color w:val="000000"/>
          <w:sz w:val="20"/>
        </w:rPr>
        <w:t>” means indebtedness for borrowed money of Finco owed to a Person, other than the Company or any Subsidiary of the Company, that has an aggregate principal amount or committed amount in excess of $500.0 million.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Fitch</w:t>
      </w:r>
      <w:r>
        <w:rPr>
          <w:rFonts w:ascii="Times New Roman" w:hAnsi="Times New Roman"/>
          <w:color w:val="000000"/>
          <w:sz w:val="20"/>
        </w:rPr>
        <w:t>” means Fitch Ratings, Inc., also known as Fitch Ratings, or any successor to the rating agency business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Global 2033 Note</w:t>
      </w:r>
      <w:r>
        <w:rPr>
          <w:rFonts w:ascii="Times New Roman" w:hAnsi="Times New Roman"/>
          <w:color w:val="000000"/>
          <w:sz w:val="20"/>
        </w:rPr>
        <w:t xml:space="preserve">” means a permanent global 2033 Note substantially in the form of </w:t>
      </w:r>
      <w:r>
        <w:rPr>
          <w:rFonts w:ascii="Times New Roman" w:hAnsi="Times New Roman"/>
          <w:color w:val="000000"/>
          <w:sz w:val="20"/>
          <w:u w:val="single"/>
        </w:rPr>
        <w:t>Exhibit A</w:t>
      </w:r>
      <w:r>
        <w:rPr>
          <w:rFonts w:ascii="Times New Roman" w:hAnsi="Times New Roman"/>
          <w:color w:val="000000"/>
          <w:sz w:val="20"/>
        </w:rPr>
        <w:t xml:space="preserve"> attached hereto that bears the global note legend set forth therein and that has the “Schedule of Exchanges of Interests in the Global Note” attached thereto, and that is deposited with or on behalf of and registered in the name of the Depositary.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color w:val="000000"/>
          <w:sz w:val="20"/>
        </w:rPr>
        <w:t>Incur</w:t>
      </w:r>
      <w:r>
        <w:rPr>
          <w:rFonts w:ascii="Times New Roman" w:hAnsi="Times New Roman"/>
          <w:color w:val="000000"/>
          <w:sz w:val="20"/>
        </w:rPr>
        <w:t>” means issue, assume, Guarantee, incur or otherwise become liable for. The term “Incurrence” when used as a noun has a correlative meaning.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Initial 2033 Notes</w:t>
      </w:r>
      <w:r>
        <w:rPr>
          <w:rFonts w:ascii="Times New Roman" w:hAnsi="Times New Roman"/>
          <w:color w:val="000000"/>
          <w:sz w:val="20"/>
        </w:rPr>
        <w:t>” means the €650,000,000 aggregate principal amount of the 2033 Notes issued under this Supplemental Indenture on the date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Investment Grade Rating</w:t>
      </w:r>
      <w:r>
        <w:rPr>
          <w:rFonts w:ascii="Times New Roman" w:hAnsi="Times New Roman"/>
          <w:color w:val="000000"/>
          <w:sz w:val="20"/>
        </w:rPr>
        <w:t>” means (i) with respect to Moody’s, a rating equal to or higher than Baa3 (or the equivalent), (ii) with respect to Fitch, a rating equal to or higher than BBB- (or the equivalent) and (iii) with respect to any Rating Agency selected by the Company as a replacement for Moody’s or Fitch in accordance with the definition of “Rating Agency”, the equivalent investment grade rating from such replacement Rating Agency.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Moody’s</w:t>
      </w:r>
      <w:r>
        <w:rPr>
          <w:rFonts w:ascii="Times New Roman" w:hAnsi="Times New Roman"/>
          <w:color w:val="000000"/>
          <w:sz w:val="20"/>
        </w:rPr>
        <w:t>” means Moody’s Investors Service, Inc., or any successor to the rating agency business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Outstanding</w:t>
      </w:r>
      <w:r>
        <w:rPr>
          <w:rFonts w:ascii="Times New Roman" w:hAnsi="Times New Roman"/>
          <w:color w:val="000000"/>
          <w:sz w:val="20"/>
        </w:rPr>
        <w:t>”, when used with respect to the 2033 Notes means, as of the date of determination, all such 2033 Notes theretofore authenticated and delivered under this Indenture, except: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such 2033 Notes theretofore canceled by the Trustee or delivered by the Company to the Trustee for cancellation;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such 2033 Notes, or portions thereof, for whose payment or redemption money in the necessary amount has been theretofore deposited in trust with the Trustee or with the Paying Agent; provided, in any case, that if such 2033 Notes are to be redeemed prior to their Scheduled Maturity Date, notice of such redemption has been duly given pursuant to this Indenture or provision therefor satisfactory to the Trustee has been made;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such 2033 Notes in exchange for or in lieu of which other 2033 Notes have been authenticated and delivered pursuant to this Indenture, or which shall have been paid, in each case, pursuant to the terms of Section 2.09 of the Base Indenture (except with respect to any such 2033 Note as to which proof satisfactory to the Trustee is presented that such 2033 Notes is held by a Person in whose hands such 2033 Note is a legal, valid, and binding obligation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Par Call Date</w:t>
      </w:r>
      <w:r>
        <w:rPr>
          <w:rFonts w:ascii="Times New Roman" w:hAnsi="Times New Roman"/>
          <w:color w:val="000000"/>
          <w:sz w:val="20"/>
        </w:rPr>
        <w:t>” means April 17, 2033.</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Paying Agency Agreement</w:t>
      </w:r>
      <w:r>
        <w:rPr>
          <w:rFonts w:ascii="Times New Roman" w:hAnsi="Times New Roman"/>
          <w:color w:val="000000"/>
          <w:sz w:val="20"/>
        </w:rPr>
        <w:t>” means that Paying Agency Agreement, dated as of the date hereof, between the Company and the Paying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Paying Agent</w:t>
      </w:r>
      <w:r>
        <w:rPr>
          <w:rFonts w:ascii="Times New Roman" w:hAnsi="Times New Roman"/>
          <w:color w:val="000000"/>
          <w:sz w:val="20"/>
        </w:rPr>
        <w:t>” means any Person appointed by the Company to distribute amounts payable by the Company on the 2033 Notes. The Bank of New York Mellon, London Branch, is appointed as Paying Agent pursuant to the Paying Agency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Permitted Liens</w:t>
      </w:r>
      <w:r>
        <w:rPr>
          <w:rFonts w:ascii="Times New Roman" w:hAnsi="Times New Roman"/>
          <w:color w:val="000000"/>
          <w:sz w:val="20"/>
        </w:rPr>
        <w:t>” means, with respect to any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performance bonds or obligations of a like nature or deposits as security for contested taxes or import duties or for the payment of rent, in each case Incurred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depositary institution;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 such deposit account is not a dedicated cash collateral account and is not subject to restrictions against access by the Company in excess of those set forth by regulations promulgated by the Federal Reserve Board and (B) such deposit account is not intended by the Company or any Subsidiary of the Company to provide collateral to the depositary institution;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Liens for taxes, assessments or other governmental charges or claims, in each case not yet subject to penalties for non-payment or which are being contested in good faith by appropriate proceedings;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Liens in favor of issuers of performance and surety bonds or bid bonds or letters of credit issued pursuant to the request of and for the account of such Person in the ordinary course of its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minor survey exceptions, minor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and which do not in the aggregate materially adversely affect the value of such properties or materially impair their use in the operation of the business of such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Liens securing indebtedness Incurred after the Issue Date in respect of Purchase Money Indebtedness and refinancing indebtedness in respect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Liens existing on the Issue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(h)        Liens on property or shares of Capital Stock of another Person at the time such other Person becomes a Subsidiary of such Person;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Liens may not extend to any other property owned by such Person or any of its Subsidiaries (other than assets and property affixed or appurtenant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        Liens on property at the time such Person or any of its Subsidiaries acquires the property, including any acquisition by means of a merger or consolidation with or into such Person or a Subsidiary of such Person;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Liens may not extend to any other property owned by such Person or any of its Subsidiaries (other than assets and property affixed or appurtenant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          Liens securing indebtedness or other obligations of a Subsidiary of such Person owing to such Person or a wholly-owned subsidiary of such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(k)        Liens securing Hedging Obligations so long as such Hedging Obligations are not entered into for speculative purposes, it being understood that any Hedging Obligations entered into in connection with the issuance of the Company’s or any of its Subsidiaries’ outstanding or future indebtedness shall not be considered speculative;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(l)          any Lien on accounts receivable and related assets of the types specified in the definition of “Qualified Receivables Transaction” incurred in connection with a Qualified Receivables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(m)        (a) Liens in favor of the Company or any Guarantor and (b) Liens on the property of any Subsidiary of the Company in favor of any other Subsidiary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         leases, subleases, licenses or sublicenses granted to third parties entered into in the ordinary course of business which do not materially interfere with the conduct of the business of the Company and its Subsidiaries and which do not secure any indebtedness;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         Liens securing judgments, decrees, orders or awards for the payment of money not constituting an event of default in respect of which the Company or any of its Subsidiaries shall in good faith be prosecuting an appeal or proceedings for review, which appeal or proceedings shall not have been finally terminated, or in respect of which the period within which such appeal or proceedings may be initiated shall not have expired;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          Liens created for the benefit of (or to secure) the 2033 Notes (or the Guarantees of the 2033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(q)        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(r)       Liens arising out of conditional sale, title retention, consignment or similar arrangements for sale of goods entered into by the Company or any Subsidiary of the Company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         Liens in favor of customs and revenue authorities arising as a matter of law to secure payment of customs duties in connection with the importation of goods in the ordinary course of business;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         Liens (i) of a collection bank arising under Section 4-210 of the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         Liens, pledges or deposits made in the ordinary course of business to secure liability to insurance carriers;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(v)         grants of software and other technology licenses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       Liens on equipment of the Company or any Subsidiary of the Company granted in the ordinary course of business to the Company’s or such Subsidiary’s supplier at which such equipment is located;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(x)        Liens arising from Uniform Commercial Code financing statement filings regarding operating leases or consignments entered into by the Company and its Subsidiaries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(y)        Liens incurred to secure cash management services or to implement cash pooling or sweep arrangements to permit satisfaction of overdraft or similar obligations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(z)        Liens arising by virtue of any statutory or common law provisions relating to banker’s liens, rights of set-off or similar rights and remedies as to deposit accounts or other funds maintained with a depositary or financial institution or as to purchase orders and other agreements entered into with customers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(aa)       any encumbrance or restriction (including put and call arrangements) with respect to Capital Stock of any joint venture or similar arrangement pursuant to any joint venture or similar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(bb)       Liens on securities that are the subject of repurchase agreements;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(cc)       Liens securing insurance premiums financing arrangements; provided that such Liens are limited to the applicable unearned insurance premiums;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(dd)       Liens arising solely from precautionary Uniform Commercial Code financing statements or similar filings;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(ee)       ground leases in respect of real property on which facilities owned or leased by the Company or any of its Subsidiaries are located and other Liens affecting the interest of any landlord (and any underlying landlord) of any real property leased by the Company or any Subsidiary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(ff)        Liens to secure any Refinancing (or successive Refinancings) as a whole, or in part, of any indebtedness secured by any Lien referred to in the foregoing clauses (7), (8), (9), (10), (11), (12) or (14);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such new Lien shall be limited to all or part of the same property (plus improvements on such property) and assets that secured or, under the written agreements pursuant to which the original Lien arose, could secure the original Lien (plus improvements and accessions to such property or proceeds or distributions thereof);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(ii)       the indebtedness secured by such Lien at such time is not increased to any amount greater than the sum of (i) the outstanding principal amount or, if greater, committed amount of the indebtedness described under the foregoing clauses (7), (8), (9), (10), (11), (12) or (14) at the time the original Lien became a Permitted Lien and (ii) an amount necessary to pay any fees and expenses, including premiums, related to such refinancing, refunding, extension, renewal or replacement;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(gg)       Liens incurred in the ordinary course of business by any Subsidiary of the Company, so long as such Subsidiary is maintained as a special purpose self-insurance Subsidiary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(hh)      Liens on equity interests of any Person formed for the purposes of engaging in activities in the renewable energy sector (including refined coal) that qualify for federal tax benefits allocable to the Company and its Subsidiaries in which the Company or any Subsidiary of the Company has made an investment and Liens on the rights of the Company and its Subsidiaries under any agreement relating to any such investment;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(ii)        any Lien arising under Article 24, 25 or 26 of the general terms and conditions (Algemene Bank Voorwaarden) of any member of the Dutch Bankers’ Association (Nederlandse Vereniging van Banken) or any similar term applied by a financial institution in the Netherlands pursuant to its general terms and conditions;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(jj)         any netting or set-off arrangement entered into by the Company or any Subsidiary of the Company in the ordinary course of its banking arrangements for the purpose of netting debt and credit balances;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(kk)       any Lien, including any netting or set-off, arising by operation of law as a result of the existence of a fiscal unity (fiscale eenheid) for Dutch tax purposes of which any Subsidiary of the Company is or has been a member;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(ll)        Liens on cash and cash equivalents deposited as cash collateral on letters of credit;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(mm)    Liens on “earnest money” or similar deposits or other cash advances in connection with acquisitions or consisting of an agreement to dispose of any property in a disposition, including customary rights and restrictions contained in such agreements;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(nn)       other Liens securing indebtedness in an aggregate principal amount for the Company and its Subsidiaries not exceeding at the time such Lien is created or assumed the greater of (i) $1,300 million and (ii) 15% of Consolidated Net Tangible Assets, at any one time outstanding.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Company may, in its sole discretion, classify or reclassify such item of Permitted Liens (or any portion thereof) in any manner that complies with this definition and the Company may divide and classify a Lien in more than one of the types of Permitted Liens in one of the above clauses.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Purchase Money Indebtedness</w:t>
      </w:r>
      <w:r>
        <w:rPr>
          <w:rFonts w:ascii="Times New Roman" w:hAnsi="Times New Roman"/>
          <w:color w:val="000000"/>
          <w:sz w:val="20"/>
        </w:rPr>
        <w:t xml:space="preserve">” means indebtedness Incurred to finance the acquisition, development, construction or lease by the Company or a Subsidiary of the Company of Property, including additions and improvements thereto, where the maturity of such indebtedness does not exceed the anticipated useful life of the Property being financed;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such indebtedness is Incurred within 270 days after the completion of the acquisition, development, construction or lease of such Property by the Company or such Subsidiary.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Rating Agencies</w:t>
      </w:r>
      <w:r>
        <w:rPr>
          <w:rFonts w:ascii="Times New Roman" w:hAnsi="Times New Roman"/>
          <w:color w:val="000000"/>
          <w:sz w:val="20"/>
        </w:rPr>
        <w:t>” means (1) each of Moody’s and Fitch and (2) if any one or more of Moody’s or Fitch shall not make a rating of the 2033 Notes publicly available, any one or more, as applicable, “nationally recognized statistical rating organization” within the meaning of Section 3(a)(62) of the Exchange Act selected by the Company as a replacement agency for any one or more, as applicable, of Moody’s or Fitch.</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color w:val="000000"/>
          <w:sz w:val="20"/>
        </w:rPr>
        <w:t>Refinance</w:t>
      </w:r>
      <w:r>
        <w:rPr>
          <w:rFonts w:ascii="Times New Roman" w:hAnsi="Times New Roman"/>
          <w:color w:val="000000"/>
          <w:sz w:val="20"/>
        </w:rPr>
        <w:t>” means, in respect of any indebtedness, to refinance, extend, renew, refund, repay, prepay, purchase, redeem, defease or retire, or to issue other indebtedness in exchange or replacement for, such indebtedness. “</w:t>
      </w:r>
      <w:r>
        <w:rPr>
          <w:rFonts w:ascii="Times New Roman" w:hAnsi="Times New Roman"/>
          <w:b/>
          <w:color w:val="000000"/>
          <w:sz w:val="20"/>
        </w:rPr>
        <w:t>Refinancing</w:t>
      </w:r>
      <w:r>
        <w:rPr>
          <w:rFonts w:ascii="Times New Roman" w:hAnsi="Times New Roman"/>
          <w:color w:val="000000"/>
          <w:sz w:val="20"/>
        </w:rPr>
        <w:t>” has a correlative meaning.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color w:val="000000"/>
          <w:sz w:val="20"/>
        </w:rPr>
        <w:t>Relevant Taxing Jurisdiction</w:t>
      </w:r>
      <w:r>
        <w:rPr>
          <w:rFonts w:ascii="Times New Roman" w:hAnsi="Times New Roman"/>
          <w:color w:val="000000"/>
          <w:sz w:val="20"/>
        </w:rPr>
        <w:t>” means the United States, the Netherlands or any other jurisdiction in which the Company or any Guarantor or, in each case, any successor person substituted in accordance with this Indenture may be organized or resident for tax purposes, as applicable, or any political subdivision or taxing authority thereof or therein.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Supplemental Indenture</w:t>
      </w:r>
      <w:r>
        <w:rPr>
          <w:rFonts w:ascii="Times New Roman" w:hAnsi="Times New Roman"/>
          <w:color w:val="000000"/>
          <w:sz w:val="20"/>
        </w:rPr>
        <w:t>” has the meaning set forth in the preamble to this Supplemental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Voting Stock</w:t>
      </w:r>
      <w:r>
        <w:rPr>
          <w:rFonts w:ascii="Times New Roman" w:hAnsi="Times New Roman"/>
          <w:color w:val="000000"/>
          <w:sz w:val="20"/>
        </w:rPr>
        <w:t>”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For all purposes of the Base Indenture and this Supplemental Indenture, the following terms shall have the following definitions, which, for the avoidance of doubt, shall replace the definitions of such terms in the Base Indenture for all purposes of the 2033 Notes:</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color w:val="000000"/>
        </w:rPr>
      </w:pPr>
      <w:r>
        <w:rPr>
          <w:color w:val="000000"/>
        </w:rPr>
        <w:t>“</w:t>
      </w:r>
      <w:r>
        <w:rPr>
          <w:rFonts w:ascii="Times New Roman" w:hAnsi="Times New Roman"/>
          <w:b/>
          <w:color w:val="000000"/>
          <w:sz w:val="20"/>
        </w:rPr>
        <w:t>Agent</w:t>
      </w:r>
      <w:r>
        <w:rPr>
          <w:rFonts w:ascii="Times New Roman" w:hAnsi="Times New Roman"/>
          <w:color w:val="000000"/>
          <w:sz w:val="20"/>
        </w:rPr>
        <w:t>” means any Security Registrar, Paying Agent, or Transfer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Business Day</w:t>
      </w:r>
      <w:r>
        <w:rPr>
          <w:rFonts w:ascii="Times New Roman" w:hAnsi="Times New Roman"/>
          <w:color w:val="000000"/>
          <w:sz w:val="20"/>
        </w:rPr>
        <w:t>” means each Monday, Tuesday, Wednesday, Thursday and Friday which is not a (1) day on which banking institutions in the place of payment for the notes are authorized or obligated by law or executive order to close or (2) day on which the Trans-European Automated Real-time Gross Settlement Express Transfer system (the T2 system), or any successor thereto, is closed.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Depositary</w:t>
      </w:r>
      <w:r>
        <w:rPr>
          <w:rFonts w:ascii="Times New Roman" w:hAnsi="Times New Roman"/>
          <w:color w:val="000000"/>
          <w:sz w:val="20"/>
        </w:rPr>
        <w:t>” means, with respect to the 2033 Notes issuable or issued in whole or in part in global form, the Person specified in Section 2.05 hereof as the Depositary with respect to the 2033 Notes, and any and all successors thereto appointed as depositary hereunder and having become such pursuant to the applicable provisions of the Base Indenture and this Supplemental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color w:val="000000"/>
          <w:sz w:val="20"/>
        </w:rPr>
        <w:t>Fair Market Value</w:t>
      </w:r>
      <w:r>
        <w:rPr>
          <w:rFonts w:ascii="Times New Roman" w:hAnsi="Times New Roman"/>
          <w:color w:val="000000"/>
          <w:sz w:val="20"/>
        </w:rPr>
        <w:t xml:space="preserve">” means, with respect to any asset or property, the sale value that would be obtained in an arm’s-length free market transaction between an informed and willing seller under no compulsion to sell and an informed and willing buyer under no compulsion to buy less any </w:t>
      </w:r>
      <w:r>
        <w:rPr>
          <w:rFonts w:ascii="Times New Roman" w:hAnsi="Times New Roman"/>
          <w:color w:val="231F20"/>
          <w:sz w:val="20"/>
        </w:rPr>
        <w:t>tax, assessment or other governmental charge</w:t>
      </w:r>
      <w:r>
        <w:rPr>
          <w:rFonts w:ascii="Times New Roman" w:hAnsi="Times New Roman"/>
          <w:color w:val="000000"/>
          <w:sz w:val="20"/>
        </w:rPr>
        <w:t xml:space="preserve"> payable as a result of or arising out of the disposition of such asset or property. Fair Market Value shall be determined in good faith by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Guarantor</w:t>
      </w:r>
      <w:r>
        <w:rPr>
          <w:rFonts w:ascii="Times New Roman" w:hAnsi="Times New Roman"/>
          <w:color w:val="000000"/>
          <w:sz w:val="20"/>
        </w:rPr>
        <w:t xml:space="preserve">” means (i) </w:t>
      </w:r>
      <w:r>
        <w:rPr>
          <w:rFonts w:ascii="Times New Roman" w:hAnsi="Times New Roman"/>
          <w:color w:val="231F20"/>
          <w:sz w:val="20"/>
        </w:rPr>
        <w:t>Mylan Inc., Mylan II B.V. and Utah Acquisition Sub Inc.</w:t>
      </w:r>
      <w:r>
        <w:rPr>
          <w:rFonts w:ascii="Times New Roman" w:hAnsi="Times New Roman"/>
          <w:color w:val="000000"/>
          <w:sz w:val="20"/>
        </w:rPr>
        <w:t xml:space="preserve"> and (ii) any other Subsidiary of the Company that Guarantees the 2033 Notes from time to time, in the case of each of clauses (i) and (ii), during such periods that such entity Guarantees the 2033 Notes in accordance with the terms of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b/>
          <w:color w:val="000000"/>
          <w:sz w:val="20"/>
        </w:rPr>
        <w:t>Holder</w:t>
      </w:r>
      <w:r>
        <w:rPr>
          <w:rFonts w:ascii="Times New Roman" w:hAnsi="Times New Roman"/>
          <w:color w:val="000000"/>
          <w:sz w:val="20"/>
        </w:rPr>
        <w:t>” means the Person in whose name a note is registered on the 2033 Note register.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231F20"/>
        </w:rPr>
        <w:t>“</w:t>
      </w:r>
      <w:r>
        <w:rPr>
          <w:rFonts w:ascii="Times New Roman" w:hAnsi="Times New Roman"/>
          <w:b/>
          <w:color w:val="231F20"/>
          <w:sz w:val="20"/>
        </w:rPr>
        <w:t>Interest Payment Date</w:t>
      </w:r>
      <w:r>
        <w:rPr>
          <w:rFonts w:ascii="Times New Roman" w:hAnsi="Times New Roman"/>
          <w:color w:val="231F20"/>
          <w:sz w:val="20"/>
        </w:rPr>
        <w:t xml:space="preserve">” means any date on which an installment of interest on the </w:t>
      </w:r>
      <w:r>
        <w:rPr>
          <w:rFonts w:ascii="Times New Roman" w:hAnsi="Times New Roman"/>
          <w:color w:val="000000"/>
          <w:sz w:val="20"/>
        </w:rPr>
        <w:t>2033 Notes</w:t>
      </w:r>
      <w:r>
        <w:rPr>
          <w:rFonts w:ascii="Times New Roman" w:hAnsi="Times New Roman"/>
          <w:color w:val="231F20"/>
          <w:sz w:val="20"/>
        </w:rPr>
        <w:t xml:space="preserve"> is scheduled to be paid.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Issue Date</w:t>
      </w:r>
      <w:r>
        <w:rPr>
          <w:rFonts w:ascii="Times New Roman" w:hAnsi="Times New Roman"/>
          <w:color w:val="000000"/>
          <w:sz w:val="20"/>
        </w:rPr>
        <w:t>” means June 17, 2026, the date on which the Initial 2033 Notes are initially issued.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231F20"/>
        </w:rPr>
        <w:t>“</w:t>
      </w:r>
      <w:r>
        <w:rPr>
          <w:rFonts w:ascii="Times New Roman" w:hAnsi="Times New Roman"/>
          <w:b/>
          <w:color w:val="231F20"/>
          <w:sz w:val="20"/>
        </w:rPr>
        <w:t>Redemption Date</w:t>
      </w:r>
      <w:r>
        <w:rPr>
          <w:rFonts w:ascii="Times New Roman" w:hAnsi="Times New Roman"/>
          <w:color w:val="231F20"/>
          <w:sz w:val="20"/>
        </w:rPr>
        <w:t xml:space="preserve">” when used with respect to any of the </w:t>
      </w:r>
      <w:r>
        <w:rPr>
          <w:rFonts w:ascii="Times New Roman" w:hAnsi="Times New Roman"/>
          <w:color w:val="000000"/>
          <w:sz w:val="20"/>
        </w:rPr>
        <w:t>2033 Notes</w:t>
      </w:r>
      <w:r>
        <w:rPr>
          <w:rFonts w:ascii="Times New Roman" w:hAnsi="Times New Roman"/>
          <w:color w:val="231F20"/>
          <w:sz w:val="20"/>
        </w:rPr>
        <w:t xml:space="preserve"> to be redeemed, means the date fixed for such redemption by or pursuant to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231F20"/>
        </w:rPr>
        <w:t>“</w:t>
      </w:r>
      <w:r>
        <w:rPr>
          <w:rFonts w:ascii="Times New Roman" w:hAnsi="Times New Roman"/>
          <w:b/>
          <w:color w:val="231F20"/>
          <w:sz w:val="20"/>
        </w:rPr>
        <w:t>Redemption Price</w:t>
      </w:r>
      <w:r>
        <w:rPr>
          <w:rFonts w:ascii="Times New Roman" w:hAnsi="Times New Roman"/>
          <w:color w:val="231F20"/>
          <w:sz w:val="20"/>
        </w:rPr>
        <w:t xml:space="preserve">” when used with respect to any of the </w:t>
      </w:r>
      <w:r>
        <w:rPr>
          <w:rFonts w:ascii="Times New Roman" w:hAnsi="Times New Roman"/>
          <w:color w:val="000000"/>
          <w:sz w:val="20"/>
        </w:rPr>
        <w:t>2033 Notes</w:t>
      </w:r>
      <w:r>
        <w:rPr>
          <w:rFonts w:ascii="Times New Roman" w:hAnsi="Times New Roman"/>
          <w:color w:val="231F20"/>
          <w:sz w:val="20"/>
        </w:rPr>
        <w:t xml:space="preserve"> to be redeemed, means the price specified in such note at which it is to be redeemed pursuant to this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color w:val="000000"/>
          <w:sz w:val="20"/>
        </w:rPr>
        <w:t>Triggering Indebtedness</w:t>
      </w:r>
      <w:r>
        <w:rPr>
          <w:rFonts w:ascii="Times New Roman" w:hAnsi="Times New Roman"/>
          <w:color w:val="000000"/>
          <w:sz w:val="20"/>
        </w:rPr>
        <w:t>” means indebtedness for borrowed money of the Company owed to a Person, other than the Company or any Subsidiary of the Company, that has an aggregate principal amount or committed amount in excess of $500.0 million.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1.02.</w:t>
      </w:r>
      <w:r>
        <w:rPr>
          <w:rFonts w:ascii="Times New Roman" w:hAnsi="Times New Roman"/>
          <w:color w:val="000000"/>
          <w:sz w:val="20"/>
        </w:rPr>
        <w:t xml:space="preserve">      </w:t>
      </w:r>
      <w:r>
        <w:rPr>
          <w:rFonts w:ascii="Times New Roman" w:hAnsi="Times New Roman"/>
          <w:b/>
          <w:i/>
          <w:color w:val="000000"/>
          <w:sz w:val="20"/>
        </w:rPr>
        <w:t>Notices, etc., to Trustee, Agents and Company</w:t>
      </w:r>
      <w:r>
        <w:rPr>
          <w:rFonts w:ascii="Times New Roman" w:hAnsi="Times New Roman"/>
          <w:i/>
          <w:color w:val="000000"/>
          <w:sz w:val="20"/>
        </w:rPr>
        <w:t xml:space="preserve">.  </w:t>
      </w:r>
      <w:r>
        <w:rPr>
          <w:rFonts w:ascii="Times New Roman" w:hAnsi="Times New Roman"/>
          <w:color w:val="000000"/>
          <w:sz w:val="20"/>
        </w:rPr>
        <w:t>Any request, order, authorization, direction, consent, waiver, or other action to be taken by the Trustee, an Agent, the Company or the Holders hereunder (including any Authentication Order), and any notice to be given to the Trustee, an Agent or the Company with respect to any action taken or to be taken by the Trustee, such Agent, the Company or the Holders hereunder, shall be sufficient if made in writing and delivered electronically or mailed by registered first-class mail postage pre-paid, return receipt requested, to the following addresses: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to the Trustee: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Bank of New York Mellon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500 Ross Street, 12th Floor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Pittsburgh, PA 15262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Attention: Corporate Trust Administration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Email: Nestor.F.Tapia@bny.com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Tel: 412-234-8307</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to the Company or any Guarantor: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Viatris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1000 Mylan Boulevard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Canonsburg, PA 15317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Attention: Corporate Secretary; Head of Global Treasury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Email: corporatesecretary@viatris.com; John.Miraglia@viatris.com</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 a copy to: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Cravath, Swaine &amp; Moore LLP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375 Ninth Avenue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 York, NY 10001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Attention: Ryan J. Patrone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Email: rpatrone@cravath.com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notices, approvals, consents, requests and any communications hereunder may be delivered using Electronic Means. The Company agrees to assume all risks arising out of the use of using digital signatures and Electronic Means to submit communications to Trustee or an Agent, including without limitation the risk of Trustee acting on unauthorized instructions, and the risk of interception and misuse by third parties.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1.03.</w:t>
      </w:r>
      <w:r>
        <w:rPr>
          <w:rFonts w:ascii="Times New Roman" w:hAnsi="Times New Roman"/>
          <w:color w:val="000000"/>
          <w:sz w:val="20"/>
        </w:rPr>
        <w:t xml:space="preserve">    </w:t>
      </w:r>
      <w:r>
        <w:rPr>
          <w:rFonts w:ascii="Times New Roman" w:hAnsi="Times New Roman"/>
          <w:b/>
          <w:i/>
          <w:color w:val="000000"/>
          <w:sz w:val="20"/>
        </w:rPr>
        <w:t>Provisions of General Application</w:t>
      </w:r>
      <w:r>
        <w:rPr>
          <w:rFonts w:ascii="Times New Roman" w:hAnsi="Times New Roman"/>
          <w:i/>
          <w:color w:val="000000"/>
          <w:sz w:val="20"/>
        </w:rPr>
        <w:t xml:space="preserve">.  </w:t>
      </w:r>
      <w:r>
        <w:rPr>
          <w:rFonts w:ascii="Times New Roman" w:hAnsi="Times New Roman"/>
          <w:color w:val="000000"/>
          <w:sz w:val="20"/>
        </w:rPr>
        <w:t>The provisions of Sections 12.01 (</w:t>
      </w:r>
      <w:r>
        <w:rPr>
          <w:rFonts w:ascii="Times New Roman" w:hAnsi="Times New Roman"/>
          <w:i/>
          <w:color w:val="000000"/>
          <w:sz w:val="20"/>
        </w:rPr>
        <w:t>Trust Indenture Act Controls</w:t>
      </w:r>
      <w:r>
        <w:rPr>
          <w:rFonts w:ascii="Times New Roman" w:hAnsi="Times New Roman"/>
          <w:color w:val="000000"/>
          <w:sz w:val="20"/>
        </w:rPr>
        <w:t>), 12.08 (</w:t>
      </w:r>
      <w:r>
        <w:rPr>
          <w:rFonts w:ascii="Times New Roman" w:hAnsi="Times New Roman"/>
          <w:i/>
          <w:color w:val="000000"/>
          <w:sz w:val="20"/>
        </w:rPr>
        <w:t>Governing Law; Waiver of Jury Trial; Jurisdiction</w:t>
      </w:r>
      <w:r>
        <w:rPr>
          <w:rFonts w:ascii="Times New Roman" w:hAnsi="Times New Roman"/>
          <w:color w:val="000000"/>
          <w:sz w:val="20"/>
        </w:rPr>
        <w:t>), 12.09 (</w:t>
      </w:r>
      <w:r>
        <w:rPr>
          <w:rFonts w:ascii="Times New Roman" w:hAnsi="Times New Roman"/>
          <w:i/>
          <w:color w:val="000000"/>
          <w:sz w:val="20"/>
        </w:rPr>
        <w:t>No Adverse Interpretation of Other Agreements</w:t>
      </w:r>
      <w:r>
        <w:rPr>
          <w:rFonts w:ascii="Times New Roman" w:hAnsi="Times New Roman"/>
          <w:color w:val="000000"/>
          <w:sz w:val="20"/>
        </w:rPr>
        <w:t>), 12.10 (</w:t>
      </w:r>
      <w:r>
        <w:rPr>
          <w:rFonts w:ascii="Times New Roman" w:hAnsi="Times New Roman"/>
          <w:i/>
          <w:color w:val="000000"/>
          <w:sz w:val="20"/>
        </w:rPr>
        <w:t>Successors</w:t>
      </w:r>
      <w:r>
        <w:rPr>
          <w:rFonts w:ascii="Times New Roman" w:hAnsi="Times New Roman"/>
          <w:color w:val="000000"/>
          <w:sz w:val="20"/>
        </w:rPr>
        <w:t>), 12.11 (</w:t>
      </w:r>
      <w:r>
        <w:rPr>
          <w:rFonts w:ascii="Times New Roman" w:hAnsi="Times New Roman"/>
          <w:i/>
          <w:color w:val="000000"/>
          <w:sz w:val="20"/>
        </w:rPr>
        <w:t>Separability</w:t>
      </w:r>
      <w:r>
        <w:rPr>
          <w:rFonts w:ascii="Times New Roman" w:hAnsi="Times New Roman"/>
          <w:color w:val="000000"/>
          <w:sz w:val="20"/>
        </w:rPr>
        <w:t>), 12.12 (</w:t>
      </w:r>
      <w:r>
        <w:rPr>
          <w:rFonts w:ascii="Times New Roman" w:hAnsi="Times New Roman"/>
          <w:i/>
          <w:color w:val="000000"/>
          <w:sz w:val="20"/>
        </w:rPr>
        <w:t>Counterpart Originals</w:t>
      </w:r>
      <w:r>
        <w:rPr>
          <w:rFonts w:ascii="Times New Roman" w:hAnsi="Times New Roman"/>
          <w:color w:val="000000"/>
          <w:sz w:val="20"/>
        </w:rPr>
        <w:t>), 12.13 (</w:t>
      </w:r>
      <w:r>
        <w:rPr>
          <w:rFonts w:ascii="Times New Roman" w:hAnsi="Times New Roman"/>
          <w:i/>
          <w:color w:val="000000"/>
          <w:sz w:val="20"/>
        </w:rPr>
        <w:t>Table of Contents, Headings, etc.</w:t>
      </w:r>
      <w:r>
        <w:rPr>
          <w:rFonts w:ascii="Times New Roman" w:hAnsi="Times New Roman"/>
          <w:color w:val="000000"/>
          <w:sz w:val="20"/>
        </w:rPr>
        <w:t>), 12.14 (</w:t>
      </w:r>
      <w:r>
        <w:rPr>
          <w:rFonts w:ascii="Times New Roman" w:hAnsi="Times New Roman"/>
          <w:i/>
          <w:color w:val="000000"/>
          <w:sz w:val="20"/>
        </w:rPr>
        <w:t>Benefits of Indenture</w:t>
      </w:r>
      <w:r>
        <w:rPr>
          <w:rFonts w:ascii="Times New Roman" w:hAnsi="Times New Roman"/>
          <w:color w:val="000000"/>
          <w:sz w:val="20"/>
        </w:rPr>
        <w:t>) and 12.15 (</w:t>
      </w:r>
      <w:r>
        <w:rPr>
          <w:rFonts w:ascii="Times New Roman" w:hAnsi="Times New Roman"/>
          <w:i/>
          <w:color w:val="000000"/>
          <w:sz w:val="20"/>
        </w:rPr>
        <w:t>Electronic Deliver</w:t>
      </w:r>
      <w:r>
        <w:rPr>
          <w:rFonts w:ascii="Times New Roman" w:hAnsi="Times New Roman"/>
          <w:color w:val="000000"/>
          <w:sz w:val="20"/>
        </w:rPr>
        <w:t xml:space="preserve">y) of the Base Indenture shall apply to this Supplemental Indenture, </w:t>
      </w:r>
      <w:r>
        <w:rPr>
          <w:rFonts w:ascii="Times New Roman" w:hAnsi="Times New Roman"/>
          <w:i/>
          <w:color w:val="000000"/>
          <w:sz w:val="20"/>
        </w:rPr>
        <w:t>mutatis mutandis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1.04.</w:t>
      </w:r>
      <w:r>
        <w:rPr>
          <w:rFonts w:ascii="Times New Roman" w:hAnsi="Times New Roman"/>
          <w:color w:val="000000"/>
          <w:sz w:val="20"/>
        </w:rPr>
        <w:t xml:space="preserve">     </w:t>
      </w:r>
      <w:r>
        <w:rPr>
          <w:rFonts w:ascii="Times New Roman" w:hAnsi="Times New Roman"/>
          <w:b/>
          <w:i/>
          <w:color w:val="000000"/>
          <w:sz w:val="20"/>
        </w:rPr>
        <w:t>Acknowledgement and Consent to Bail-In of Affected Financial Institutions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Acknowledgement and Consent to Bail-In of Affected Financial Institutions.  Notwithstanding anything to the contrary in this Indenture or in any other agreement, arrangement or understanding among any such parties, each party hereto acknowledges that any liability of the Paying Agent arising under this Indenture or any such other document, to the extent such liability is unsecured or not otherwise exempted, may be subject to the write-down and conversion powers of the applicable Resolution Authority and agrees and consents to, and acknowledges and agrees to be bound by:</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(i)          the application of any Write-Down and Conversion Powers by the applicable Resolution Authority to any such liabilities arising hereunder that may be payable to it by any party hereto; and</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(ii)         the effects of any Bail-In Action on any such liability, including, if applicable:</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(A)         a reduction in full or in part or cancellation of any such liability;</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(B)         a conversion of all, or a portion of, such liability into shares or other instruments of ownership in such party, its parent undertaking, or a bridge institution that may be issued to it or otherwise conferred on it, and that such shares or other instruments of ownership will be accepted by it in lieu of any rights with respect to any such liability under this Indenture or any other agreement; or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(C)         the variation of the terms of such liability in connection with the exercise of the write-down and conversion powers of the applicable Resolution Authority.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the purpose of this Section 1.04 the following terms shall have the following meanings:</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b/>
          <w:color w:val="000000"/>
          <w:sz w:val="20"/>
        </w:rPr>
        <w:t>Bail-In Action</w:t>
      </w:r>
      <w:r>
        <w:rPr>
          <w:rFonts w:ascii="Times New Roman" w:hAnsi="Times New Roman"/>
          <w:color w:val="000000"/>
          <w:sz w:val="20"/>
        </w:rPr>
        <w:t>” means the exercise of any Write-Down and Conversion Powers by the applicable Resolution Authority.</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b/>
          <w:color w:val="000000"/>
          <w:sz w:val="20"/>
        </w:rPr>
        <w:t>Bail-In Legislation</w:t>
      </w:r>
      <w:r>
        <w:rPr>
          <w:rFonts w:ascii="Times New Roman" w:hAnsi="Times New Roman"/>
          <w:color w:val="000000"/>
          <w:sz w:val="20"/>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b/>
          <w:color w:val="000000"/>
          <w:sz w:val="20"/>
        </w:rPr>
        <w:t>EEA Financial Institution</w:t>
      </w:r>
      <w:r>
        <w:rPr>
          <w:rFonts w:ascii="Times New Roman" w:hAnsi="Times New Roman"/>
          <w:color w:val="000000"/>
          <w:sz w:val="20"/>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b/>
          <w:color w:val="000000"/>
          <w:sz w:val="20"/>
        </w:rPr>
        <w:t>EEA Member Country</w:t>
      </w:r>
      <w:r>
        <w:rPr>
          <w:rFonts w:ascii="Times New Roman" w:hAnsi="Times New Roman"/>
          <w:color w:val="000000"/>
          <w:sz w:val="20"/>
        </w:rPr>
        <w:t>” means any of the member states of the European Union, Iceland, Liechtenstein, and Norway.</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b/>
          <w:color w:val="000000"/>
          <w:sz w:val="20"/>
        </w:rPr>
        <w:t>EU Bail-In Legislation Schedule</w:t>
      </w:r>
      <w:r>
        <w:rPr>
          <w:rFonts w:ascii="Times New Roman" w:hAnsi="Times New Roman"/>
          <w:color w:val="000000"/>
          <w:sz w:val="20"/>
        </w:rPr>
        <w:t>” means the EU Bail-In Legislation Schedule published by the Loan Market Association (or any successor person), as in effect from time to time.</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b/>
          <w:color w:val="000000"/>
          <w:sz w:val="20"/>
        </w:rPr>
        <w:t>Resolution Authority</w:t>
      </w:r>
      <w:r>
        <w:rPr>
          <w:rFonts w:ascii="Times New Roman" w:hAnsi="Times New Roman"/>
          <w:color w:val="000000"/>
          <w:sz w:val="20"/>
        </w:rPr>
        <w:t>” means any public administrative authority or any person entrusted with public administrative authority to exercise Write-Down and Conversion Powers.</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b/>
          <w:color w:val="000000"/>
          <w:sz w:val="20"/>
        </w:rPr>
        <w:t>UK Financial Institution</w:t>
      </w:r>
      <w:r>
        <w:rPr>
          <w:rFonts w:ascii="Times New Roman" w:hAnsi="Times New Roman"/>
          <w:color w:val="000000"/>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b/>
          <w:color w:val="000000"/>
          <w:sz w:val="20"/>
        </w:rPr>
        <w:t>Write-Down and Conversion Powers</w:t>
      </w:r>
      <w:r>
        <w:rPr>
          <w:rFonts w:ascii="Times New Roman" w:hAnsi="Times New Roman"/>
          <w:color w:val="000000"/>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in the United Kingdom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72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1.05.</w:t>
      </w:r>
      <w:r>
        <w:rPr>
          <w:rFonts w:ascii="Times New Roman" w:hAnsi="Times New Roman"/>
          <w:color w:val="000000"/>
          <w:sz w:val="20"/>
        </w:rPr>
        <w:t xml:space="preserve">     </w:t>
      </w:r>
      <w:r>
        <w:rPr>
          <w:rFonts w:ascii="Times New Roman" w:hAnsi="Times New Roman"/>
          <w:b/>
          <w:i/>
          <w:color w:val="000000"/>
          <w:sz w:val="20"/>
        </w:rPr>
        <w:t>Immunity of Directors, Officers, Employees and Equityholders</w:t>
      </w:r>
      <w:r>
        <w:rPr>
          <w:rFonts w:ascii="Times New Roman" w:hAnsi="Times New Roman"/>
          <w:color w:val="000000"/>
          <w:sz w:val="20"/>
        </w:rPr>
        <w:t>. No present, past or future director, member, partner, officer, employee or equityholder of the Company, any Guarantor or any of their respective Subsidiaries will have any liability for any of the Company’s or any Guarantor’s obligations under the 2033 Notes, the Base Indenture or this Supplemental Indenture or for any claim based on, in respect of, or by reason of, such obligations or their creation (other than the Guarantors in respect of their respective Guarantees of the notes and the Company in respect of the notes). Each holder of the 2033 Notes by accepting a 2033 Note waives and releases all such liability. The waiver and release are part of the consideration for the execution of this Supplemental Indenture and the issuance of the 2033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1.06.</w:t>
      </w:r>
      <w:r>
        <w:rPr>
          <w:rFonts w:ascii="Times New Roman" w:hAnsi="Times New Roman"/>
          <w:color w:val="000000"/>
          <w:sz w:val="20"/>
        </w:rPr>
        <w:t xml:space="preserve">     </w:t>
      </w:r>
      <w:r>
        <w:rPr>
          <w:rFonts w:ascii="Times New Roman" w:hAnsi="Times New Roman"/>
          <w:b/>
          <w:i/>
          <w:color w:val="000000"/>
          <w:sz w:val="20"/>
        </w:rPr>
        <w:t>Qualification of Indenture</w:t>
      </w:r>
      <w:r>
        <w:rPr>
          <w:rFonts w:ascii="Times New Roman" w:hAnsi="Times New Roman"/>
          <w:color w:val="000000"/>
          <w:sz w:val="20"/>
        </w:rPr>
        <w:t>. The Company shall qualify the Base Indenture, as amended and supplemented by this Supplemental Indenture, under the TIA.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1.07.</w:t>
      </w:r>
      <w:r>
        <w:rPr>
          <w:rFonts w:ascii="Times New Roman" w:hAnsi="Times New Roman"/>
          <w:color w:val="000000"/>
          <w:sz w:val="20"/>
        </w:rPr>
        <w:t xml:space="preserve">     </w:t>
      </w:r>
      <w:r>
        <w:rPr>
          <w:rFonts w:ascii="Times New Roman" w:hAnsi="Times New Roman"/>
          <w:b/>
          <w:i/>
          <w:color w:val="000000"/>
          <w:sz w:val="20"/>
        </w:rPr>
        <w:t>Relationship with Base Indenture</w:t>
      </w:r>
      <w:r>
        <w:rPr>
          <w:rFonts w:ascii="Times New Roman" w:hAnsi="Times New Roman"/>
          <w:color w:val="000000"/>
          <w:sz w:val="20"/>
        </w:rPr>
        <w:t xml:space="preserve">.  The terms and provisions contained in this Supplemental Indenture will constitute, and are hereby expressly made, a part of the Base Indenture and the Company, the Guarantors and the Trustee, by their execution and delivery of this Supplemental Indenture, expressly agree to such terms and provisions and to be bound thereby; </w:t>
      </w:r>
      <w:r>
        <w:rPr>
          <w:rFonts w:ascii="Times New Roman" w:hAnsi="Times New Roman"/>
          <w:i/>
          <w:color w:val="000000"/>
          <w:sz w:val="20"/>
        </w:rPr>
        <w:t>provided, however</w:t>
      </w:r>
      <w:r>
        <w:rPr>
          <w:rFonts w:ascii="Times New Roman" w:hAnsi="Times New Roman"/>
          <w:color w:val="000000"/>
          <w:sz w:val="20"/>
        </w:rPr>
        <w:t>, that the provisions of this Supplemental Indenture shall apply solely with respect to the 2033 Notes only and that, except as expressly supplemented hereby with respect to the 2033 Notes, the Base Indenture shall continue in full force and effect and is in all respects confirmed, ratified and preserved. To the extent any provision of the Base Indenture conflicts with the express provisions of this Supplemental Indenture, the provisions of this Supplemental Indenture will govern and be controlling with respect to the 2033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By execution of this Supplemental Indenture, the Trustee accepts the modification of the Base Indenture effected hereby with respect to the 2033 Notes only, and agrees to execute the trust created by the Base Indenture as supplemented hereby. All of the other provisions contained in the Base Indenture in respect to the rights, privileges, immunities, indemnities, protections, powers and duties of the Trustee and the Agents shall be applicable in respect of this Indenture as fully and with like effect as if set forth herein in full.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anything contained in this Supplemental Indenture or the Base Indenture to the contrary, this Supplemental Indenture shall not be deemed to amend or modify the Base Indenture with respect to any series of Securities that may be issued under the Base Indenture other than the 2033 Notes.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2033 Notes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is hereby authorized the following new series of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2.01.</w:t>
      </w:r>
      <w:r>
        <w:rPr>
          <w:rFonts w:ascii="Times New Roman" w:hAnsi="Times New Roman"/>
          <w:color w:val="000000"/>
          <w:sz w:val="20"/>
        </w:rPr>
        <w:t xml:space="preserve">     </w:t>
      </w:r>
      <w:r>
        <w:rPr>
          <w:rFonts w:ascii="Times New Roman" w:hAnsi="Times New Roman"/>
          <w:b/>
          <w:i/>
          <w:color w:val="000000"/>
          <w:sz w:val="20"/>
        </w:rPr>
        <w:t>Form of 2033 Note and Dating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The 2033 Notes and the Trustee’s certificate of authentication shall be substantially in the form of </w:t>
      </w:r>
      <w:r>
        <w:rPr>
          <w:rFonts w:ascii="Times New Roman" w:hAnsi="Times New Roman"/>
          <w:color w:val="000000"/>
          <w:sz w:val="20"/>
          <w:u w:val="single"/>
        </w:rPr>
        <w:t>Exhibit A</w:t>
      </w:r>
      <w:r>
        <w:rPr>
          <w:rFonts w:ascii="Times New Roman" w:hAnsi="Times New Roman"/>
          <w:color w:val="000000"/>
          <w:sz w:val="20"/>
        </w:rPr>
        <w:t xml:space="preserve"> hereto. The 2033 Notes may have notations, legends or endorsements required by law, stock exchange rule or usage.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2033 Notes shall be dated the date of their authentication.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2.02.</w:t>
      </w:r>
      <w:r>
        <w:rPr>
          <w:rFonts w:ascii="Times New Roman" w:hAnsi="Times New Roman"/>
          <w:color w:val="000000"/>
          <w:sz w:val="20"/>
        </w:rPr>
        <w:t xml:space="preserve">      </w:t>
      </w:r>
      <w:r>
        <w:rPr>
          <w:rFonts w:ascii="Times New Roman" w:hAnsi="Times New Roman"/>
          <w:b/>
          <w:i/>
          <w:color w:val="000000"/>
          <w:sz w:val="20"/>
        </w:rPr>
        <w:t>Designation and Principal Terms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2033 Notes are hereby authorized and designated as the “4.250% Senior Notes due 2033.”</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2033 Notes shall initially be in an aggregate principal amount of €650,000,000, shall bear interest at a rate of 4.250% per annum, shall have a scheduled maturity date of June 17, 2033 (the “</w:t>
      </w:r>
      <w:r>
        <w:rPr>
          <w:rFonts w:ascii="Times New Roman" w:hAnsi="Times New Roman"/>
          <w:b/>
          <w:color w:val="000000"/>
          <w:sz w:val="20"/>
        </w:rPr>
        <w:t>Scheduled Maturity Date</w:t>
      </w:r>
      <w:r>
        <w:rPr>
          <w:rFonts w:ascii="Times New Roman" w:hAnsi="Times New Roman"/>
          <w:color w:val="000000"/>
          <w:sz w:val="20"/>
        </w:rPr>
        <w:t>”) and are subject to optional redemption, including optional redemption for tax reasons, at any time prior to the Scheduled Maturity Date pursuant to the terms set forth in Article 4 hereof. The 2033 Notes shall be denominated in euro.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The date from which interest shall accrue on the 2033 Notes, the Interest Payment Date of the 2033 Notes, the record date with respect to each payment of interest on the 2033 Notes and all other terms of the 2033 Notes are set forth in the form of 2033 Note attached hereto as </w:t>
      </w:r>
      <w:r>
        <w:rPr>
          <w:rFonts w:ascii="Times New Roman" w:hAnsi="Times New Roman"/>
          <w:color w:val="000000"/>
          <w:sz w:val="20"/>
          <w:u w:val="single"/>
        </w:rPr>
        <w:t>Exhibit 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2033 Notes shall be redeemable at the option of the Company as set forth in Article 4 hereof. Subject to Section 3.04 hereof, the 2033 Notes shall not be redeemable at the option of the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The 2033 Notes shall not be subject to, nor entitled to the benefit of, any sinking fund.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The 2033 Notes shall be unsecured and unsubordinated indebtedness of the Company and shall rank equally with all of the Company’s other unsecured and unsubordinated outstanding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The 2033 Notes shall initially be fully and unconditionally guaranteed, jointly and severally, on an unsecured and unsubordinated basis by the Guarantors to the extent described in this Indenture. Each Guarantor’s Guarantee of the 2033 Notes shall be an unsecured and unsubordinated obligation of such Guarantor and shall rank equally with all of such Guarantor’s other unsecured and unsubordinated indebtedness outstanding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The terms and provisions contained in the 2033 Notes shall constitute, and are hereby expressly made, a part of this Supplemental Indenture and the Company, the Agents and the Trustee, by their execution and delivery of this Supplemental Indenture, expressly agree to such terms and provisions and to be bound thereby. However, to the extent any provision of the 2033 Notes conflicts with the express provisions of this Supplemental Indenture, the provisions of this Supplemental Indenture shall govern and be controlling.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2.03.</w:t>
      </w:r>
      <w:r>
        <w:rPr>
          <w:rFonts w:ascii="Times New Roman" w:hAnsi="Times New Roman"/>
          <w:color w:val="000000"/>
          <w:sz w:val="20"/>
        </w:rPr>
        <w:t xml:space="preserve">   </w:t>
      </w:r>
      <w:r>
        <w:rPr>
          <w:rFonts w:ascii="Times New Roman" w:hAnsi="Times New Roman"/>
          <w:b/>
          <w:i/>
          <w:color w:val="000000"/>
          <w:sz w:val="20"/>
        </w:rPr>
        <w:t>Denominations</w:t>
      </w:r>
      <w:r>
        <w:rPr>
          <w:rFonts w:ascii="Times New Roman" w:hAnsi="Times New Roman"/>
          <w:color w:val="000000"/>
          <w:sz w:val="20"/>
        </w:rPr>
        <w:t>.  The 2033 Notes shall be issuable only in fully registered book-entry form, without interest coupons, in minimum denominations of €100,000 and integral multiples of €1,000 in excess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2.04.</w:t>
      </w:r>
      <w:r>
        <w:rPr>
          <w:rFonts w:ascii="Times New Roman" w:hAnsi="Times New Roman"/>
          <w:color w:val="000000"/>
          <w:sz w:val="20"/>
        </w:rPr>
        <w:t xml:space="preserve">    </w:t>
      </w:r>
      <w:r>
        <w:rPr>
          <w:rFonts w:ascii="Times New Roman" w:hAnsi="Times New Roman"/>
          <w:b/>
          <w:i/>
          <w:color w:val="000000"/>
          <w:sz w:val="20"/>
        </w:rPr>
        <w:t>Global Form</w:t>
      </w:r>
      <w:r>
        <w:rPr>
          <w:rFonts w:ascii="Times New Roman" w:hAnsi="Times New Roman"/>
          <w:color w:val="000000"/>
          <w:sz w:val="20"/>
        </w:rPr>
        <w:t xml:space="preserve">.  The 2033 Notes shall be issued in global form substantially in the form of </w:t>
      </w:r>
      <w:r>
        <w:rPr>
          <w:rFonts w:ascii="Times New Roman" w:hAnsi="Times New Roman"/>
          <w:color w:val="000000"/>
          <w:sz w:val="20"/>
          <w:u w:val="single"/>
        </w:rPr>
        <w:t>Exhibit A</w:t>
      </w:r>
      <w:r>
        <w:rPr>
          <w:rFonts w:ascii="Times New Roman" w:hAnsi="Times New Roman"/>
          <w:color w:val="000000"/>
          <w:sz w:val="20"/>
        </w:rPr>
        <w:t xml:space="preserve"> attached hereto (including the legend thereon and the “Schedule of Exchanges of Interests in the Global Note” attached thereto). Each Global 2033 Note shall represent such of the 2033 Notes then Outstanding as shall be specified therein and each shall provide that it shall represent the aggregate principal amount of the 2033 Notes then Outstanding from time to time endorsed thereon and that the aggregate principal amount of the 2033 Notes then Outstanding represented thereby may from time to time be reduced or increased, as appropriate, to reflect exchanges and redemptions. Any endorsement of a Global 2033 Note to reflect the amount of any increase or decrease in the aggregate principal amount of the 2033 Notes then Outstanding represented thereby shall be made by the Trustee.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2.05.</w:t>
      </w:r>
      <w:r>
        <w:rPr>
          <w:rFonts w:ascii="Times New Roman" w:hAnsi="Times New Roman"/>
          <w:color w:val="000000"/>
          <w:sz w:val="20"/>
        </w:rPr>
        <w:t xml:space="preserve">      </w:t>
      </w:r>
      <w:r>
        <w:rPr>
          <w:rFonts w:ascii="Times New Roman" w:hAnsi="Times New Roman"/>
          <w:b/>
          <w:i/>
          <w:color w:val="000000"/>
          <w:sz w:val="20"/>
        </w:rPr>
        <w:t>Depositary</w:t>
      </w:r>
      <w:r>
        <w:rPr>
          <w:rFonts w:ascii="Times New Roman" w:hAnsi="Times New Roman"/>
          <w:i/>
          <w:color w:val="000000"/>
          <w:sz w:val="20"/>
        </w:rPr>
        <w:t xml:space="preserve">.  </w:t>
      </w:r>
      <w:r>
        <w:rPr>
          <w:rFonts w:ascii="Times New Roman" w:hAnsi="Times New Roman"/>
          <w:color w:val="000000"/>
          <w:sz w:val="20"/>
        </w:rPr>
        <w:t>The Company initially appoints Euroclear Bank SA/NV, Belgium (“</w:t>
      </w:r>
      <w:r>
        <w:rPr>
          <w:rFonts w:ascii="Times New Roman" w:hAnsi="Times New Roman"/>
          <w:b/>
          <w:color w:val="000000"/>
          <w:sz w:val="20"/>
        </w:rPr>
        <w:t>Euroclear</w:t>
      </w:r>
      <w:r>
        <w:rPr>
          <w:rFonts w:ascii="Times New Roman" w:hAnsi="Times New Roman"/>
          <w:color w:val="000000"/>
          <w:sz w:val="20"/>
        </w:rPr>
        <w:t>”), as operator of the Euroclear securities settlement system, and Clearstream Banking S.A., Luxembourg (“</w:t>
      </w:r>
      <w:r>
        <w:rPr>
          <w:rFonts w:ascii="Times New Roman" w:hAnsi="Times New Roman"/>
          <w:b/>
          <w:color w:val="000000"/>
          <w:sz w:val="20"/>
        </w:rPr>
        <w:t>Clearstream</w:t>
      </w:r>
      <w:r>
        <w:rPr>
          <w:rFonts w:ascii="Times New Roman" w:hAnsi="Times New Roman"/>
          <w:color w:val="000000"/>
          <w:sz w:val="20"/>
        </w:rPr>
        <w:t>”) to act as Depositary with respect to the Global 2033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2.06.</w:t>
      </w:r>
      <w:r>
        <w:rPr>
          <w:rFonts w:ascii="Times New Roman" w:hAnsi="Times New Roman"/>
          <w:color w:val="000000"/>
          <w:sz w:val="20"/>
        </w:rPr>
        <w:t>      [Reserved.]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2.07.</w:t>
      </w:r>
      <w:r>
        <w:rPr>
          <w:rFonts w:ascii="Times New Roman" w:hAnsi="Times New Roman"/>
          <w:color w:val="000000"/>
          <w:sz w:val="20"/>
        </w:rPr>
        <w:t xml:space="preserve">    </w:t>
      </w:r>
      <w:r>
        <w:rPr>
          <w:rFonts w:ascii="Times New Roman" w:hAnsi="Times New Roman"/>
          <w:b/>
          <w:i/>
          <w:color w:val="000000"/>
          <w:sz w:val="20"/>
        </w:rPr>
        <w:t>ISIN Number</w:t>
      </w:r>
      <w:r>
        <w:rPr>
          <w:rFonts w:ascii="Times New Roman" w:hAnsi="Times New Roman"/>
          <w:i/>
          <w:color w:val="000000"/>
          <w:sz w:val="20"/>
        </w:rPr>
        <w:t xml:space="preserve">.  </w:t>
      </w:r>
      <w:r>
        <w:rPr>
          <w:rFonts w:ascii="Times New Roman" w:hAnsi="Times New Roman"/>
          <w:color w:val="000000"/>
          <w:sz w:val="20"/>
        </w:rPr>
        <w:t>The Company in issuing the 2033 Notes may use International Securities Identification Numbers (“</w:t>
      </w:r>
      <w:r>
        <w:rPr>
          <w:rFonts w:ascii="Times New Roman" w:hAnsi="Times New Roman"/>
          <w:b/>
          <w:color w:val="000000"/>
          <w:sz w:val="20"/>
        </w:rPr>
        <w:t>ISIN</w:t>
      </w:r>
      <w:r>
        <w:rPr>
          <w:rFonts w:ascii="Times New Roman" w:hAnsi="Times New Roman"/>
          <w:color w:val="000000"/>
          <w:sz w:val="20"/>
        </w:rPr>
        <w:t xml:space="preserve">”), and, if so, the Trustee will use ISIN numbers in notices of redemption as a convenience to Holders; </w:t>
      </w:r>
      <w:r>
        <w:rPr>
          <w:rFonts w:ascii="Times New Roman" w:hAnsi="Times New Roman"/>
          <w:i/>
          <w:color w:val="000000"/>
          <w:sz w:val="20"/>
        </w:rPr>
        <w:t xml:space="preserve">provided </w:t>
      </w:r>
      <w:r>
        <w:rPr>
          <w:rFonts w:ascii="Times New Roman" w:hAnsi="Times New Roman"/>
          <w:color w:val="000000"/>
          <w:sz w:val="20"/>
        </w:rPr>
        <w:t>that any such notice may state that no representation is made as to the correctness of such numbers either as printed on the 2033 Notes or as contained in any notice of a redemption and that reliance may be placed only on the other identification numbers printed on the 2033 Notes, and any such redemption will not be affected by any defect in or the omission of such numbers. The Company will promptly notify the Trustee in writing of any change in the ISIN numbers.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2.08.</w:t>
      </w:r>
      <w:r>
        <w:rPr>
          <w:rFonts w:ascii="Times New Roman" w:hAnsi="Times New Roman"/>
          <w:color w:val="000000"/>
          <w:sz w:val="20"/>
        </w:rPr>
        <w:t xml:space="preserve">     </w:t>
      </w:r>
      <w:r>
        <w:rPr>
          <w:rFonts w:ascii="Times New Roman" w:hAnsi="Times New Roman"/>
          <w:b/>
          <w:i/>
          <w:color w:val="000000"/>
          <w:sz w:val="20"/>
        </w:rPr>
        <w:t>Issuance of Additional 2033 Notes</w:t>
      </w:r>
      <w:r>
        <w:rPr>
          <w:rFonts w:ascii="Times New Roman" w:hAnsi="Times New Roman"/>
          <w:i/>
          <w:color w:val="000000"/>
          <w:sz w:val="20"/>
        </w:rPr>
        <w:t xml:space="preserve">.  </w:t>
      </w:r>
      <w:r>
        <w:rPr>
          <w:rFonts w:ascii="Times New Roman" w:hAnsi="Times New Roman"/>
          <w:color w:val="000000"/>
          <w:sz w:val="20"/>
        </w:rPr>
        <w:t>The Company will be entitled, upon delivery of an Officer’s Certificate and an Opinion of Counsel, to issue Additional 2033 Notes under this Supplemental Indenture which will have identical terms as the Initial 2033 Notes issued on the date hereof, other than with respect to the date of issuance and issue price; provided that, if any Additional 2033 Notes are not treated as part of the same issue as the Initial 2033 Notes for U.S. federal income tax purposes, such Additional 2033 Notes will be issued with a separate ISIN number. The Initial 2033 Notes issued on the date hereof and any Additional 2033 Notes issued will be treated as a single class for all purposes under this Supplemental Indenture. With respect to any Additional 2033 Notes, the Company will set forth in an Officer’s Certificate, a copy of each which will be delivered to the Trustee, the following information: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aggregate principal amount of such Additional 2033 Notes to be authenticated and delivered pursuant to this Supplemental Indenture;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issue price, the issue date and the ISIN number of such Additional 2033 Notes.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2.09.</w:t>
      </w:r>
      <w:r>
        <w:rPr>
          <w:rFonts w:ascii="Times New Roman" w:hAnsi="Times New Roman"/>
          <w:color w:val="000000"/>
          <w:sz w:val="20"/>
        </w:rPr>
        <w:t xml:space="preserve">     </w:t>
      </w:r>
      <w:r>
        <w:rPr>
          <w:rFonts w:ascii="Times New Roman" w:hAnsi="Times New Roman"/>
          <w:b/>
          <w:i/>
          <w:color w:val="000000"/>
          <w:sz w:val="20"/>
        </w:rPr>
        <w:t>Security Registrar, Paying Agent and Transfer Agent</w:t>
      </w:r>
      <w:r>
        <w:rPr>
          <w:rFonts w:ascii="Times New Roman" w:hAnsi="Times New Roman"/>
          <w:i/>
          <w:color w:val="000000"/>
          <w:sz w:val="20"/>
        </w:rPr>
        <w:t>.</w:t>
      </w:r>
      <w:r>
        <w:rPr>
          <w:rFonts w:ascii="Times New Roman" w:hAnsi="Times New Roman"/>
          <w:color w:val="000000"/>
          <w:sz w:val="20"/>
        </w:rPr>
        <w:t> The Company initially appoints The Bank of New York Mellon to act as the Transfer Agent and Security Registrar with respect to the 2033 Notes upon the terms and conditions herein contained herein. The Bank of New York Mellon hereby accepts such respective appointments. In acting hereunder and in connection with the 2033 Notes, the Security Registrar and the Transfer Agent shall act solely as agents of the Company, and will not thereby assume any obligations towards or relationship of agency or trust for or with any Holder. In acting hereunder, each Agent shall be entitled to the rights, privileges, immunities, indemnities, protections, powers and duties of the Trustee and the Agents under the Base Indenture.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so long as the 2033 Notes are admitted to the Official List of Euronext Dublin and for trading on its Global Exchange Market and the rules of such exchange so require, the Company will deliver a notice of any change of paying agent, transfer agent, registrar or trustee for the 2033 Notes to the Companies’ Announcement Office of Euronext Dublin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2.10.</w:t>
      </w:r>
      <w:r>
        <w:rPr>
          <w:rFonts w:ascii="Times New Roman" w:hAnsi="Times New Roman"/>
          <w:color w:val="000000"/>
          <w:sz w:val="20"/>
        </w:rPr>
        <w:t xml:space="preserve">     </w:t>
      </w:r>
      <w:r>
        <w:rPr>
          <w:rFonts w:ascii="Times New Roman" w:hAnsi="Times New Roman"/>
          <w:b/>
          <w:i/>
          <w:color w:val="000000"/>
          <w:sz w:val="20"/>
        </w:rPr>
        <w:t>Payment of Notes</w:t>
      </w:r>
      <w:r>
        <w:rPr>
          <w:rFonts w:ascii="Times New Roman" w:hAnsi="Times New Roman"/>
          <w:color w:val="000000"/>
          <w:sz w:val="20"/>
        </w:rPr>
        <w:t>.  The Company shall promptly make all payments in respect of the 2033 Notes on the dates and in the manner provided in the 2033 Notes and this  Indenture. An installment of principal or interest shall be considered paid on the date it is due if the Paying Agent (other than the Company) holds by 10:00 a.m., London time, one Business Day prior to the due date, money, deposited by the Company or an Affiliate thereof, sufficient to pay the installment. Except in the case of a redemption or a Change of Control Offer, accrued and unpaid interest on any 2033 Note that is payable, and is punctually paid or duly provided for, on any Interest Payment Date shall be paid to the Person in whose name that 2033 Note is registered at the close of business on the applicable record date for such interest in the Security Register, which will be the date that is the clearing system business day (for these purposes, Monday to Friday inclusive except December 25th and January 1st) immediately preceding such Interest Payment Date. The Company shall (in immediately available funds), to the fullest extent permitted by law, pay interest on overdue principal (including premium, if any) and overdue installments of interest from the original due date to the date paid, at the rate applicable to the 2033 Note, which interest shall be payable on demand.  The Company  will make payments in respect of the 2033 Notes represented by the Global 2033 Note (including principal, premium, if any, and interest) by wire transfer of immediately available funds to the accounts specified by the Holder of the Global 2033 Note.</w:t>
      </w:r>
    </w:p>
    <w:p>
      <w:pPr>
        <w:pStyle w:val="TextBody"/>
        <w:bidi w:val="0"/>
        <w:spacing w:before="0" w:after="0"/>
        <w:jc w:val="both"/>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3</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Covenants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to the covenants set forth in Article IV of the Base Indenture (for the avoidance of doubt, as modified by this Supplemental Indenture), the following additional covenants shall apply with respect to the 2033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3.01.</w:t>
      </w:r>
      <w:r>
        <w:rPr>
          <w:rFonts w:ascii="Times New Roman" w:hAnsi="Times New Roman"/>
          <w:color w:val="000000"/>
          <w:sz w:val="20"/>
        </w:rPr>
        <w:t xml:space="preserve">    </w:t>
      </w:r>
      <w:r>
        <w:rPr>
          <w:rFonts w:ascii="Times New Roman" w:hAnsi="Times New Roman"/>
          <w:b/>
          <w:i/>
          <w:color w:val="000000"/>
          <w:sz w:val="20"/>
        </w:rPr>
        <w:t>Payment of Principal, Premium and Interest</w:t>
      </w:r>
      <w:r>
        <w:rPr>
          <w:rFonts w:ascii="Times New Roman" w:hAnsi="Times New Roman"/>
          <w:i/>
          <w:color w:val="000000"/>
          <w:sz w:val="20"/>
        </w:rPr>
        <w:t xml:space="preserve">. </w:t>
      </w:r>
      <w:r>
        <w:rPr>
          <w:rFonts w:ascii="Times New Roman" w:hAnsi="Times New Roman"/>
          <w:color w:val="000000"/>
          <w:sz w:val="20"/>
        </w:rPr>
        <w:t>The Company or, if applicable, any Guarantor pursuant to its Guarantee of the 2033 Notes as provided herein, for the benefit of the 2033 Notes, will duly and punctually pay in euro the principal of, premium, if any, and interest, if any, on the 2033 Notes in accordance with the applicable terms of the 2033 Notes, the Paying Agency Agreement and this Indenture. An installment of principal of, premium or interest on such 2033 Notes shall be considered paid on the date it is due if the Trustee or a Paying Agent for such 2033 Notes (other than the Company or an Affiliate of the Company) holds one Business Day prior to that date immediately available funds designated for and sufficient to pay such installment.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3.02.</w:t>
      </w:r>
      <w:r>
        <w:rPr>
          <w:rFonts w:ascii="Times New Roman" w:hAnsi="Times New Roman"/>
          <w:color w:val="000000"/>
          <w:sz w:val="20"/>
        </w:rPr>
        <w:t xml:space="preserve">     </w:t>
      </w:r>
      <w:r>
        <w:rPr>
          <w:rFonts w:ascii="Times New Roman" w:hAnsi="Times New Roman"/>
          <w:b/>
          <w:i/>
          <w:color w:val="000000"/>
          <w:sz w:val="20"/>
        </w:rPr>
        <w:t>Liens</w:t>
      </w:r>
      <w:r>
        <w:rPr>
          <w:rFonts w:ascii="Times New Roman" w:hAnsi="Times New Roman"/>
          <w:i/>
          <w:color w:val="000000"/>
          <w:sz w:val="20"/>
        </w:rPr>
        <w:t xml:space="preserve">.  </w:t>
      </w:r>
      <w:r>
        <w:rPr>
          <w:rFonts w:ascii="Times New Roman" w:hAnsi="Times New Roman"/>
          <w:color w:val="000000"/>
          <w:sz w:val="20"/>
        </w:rPr>
        <w:t>The Company will not, and will not permit any Subsidiary to, directly or indirectly, Incur or permit to exist any Lien (the “</w:t>
      </w:r>
      <w:r>
        <w:rPr>
          <w:rFonts w:ascii="Times New Roman" w:hAnsi="Times New Roman"/>
          <w:b/>
          <w:color w:val="000000"/>
          <w:sz w:val="20"/>
        </w:rPr>
        <w:t>Initial Lien</w:t>
      </w:r>
      <w:r>
        <w:rPr>
          <w:rFonts w:ascii="Times New Roman" w:hAnsi="Times New Roman"/>
          <w:color w:val="000000"/>
          <w:sz w:val="20"/>
        </w:rPr>
        <w:t>”) of any nature whatsoever on any of its properties (including Capital Stock held by the Company or such Subsidiary), whether owned on the Issue Date or thereafter acquired, securing any indebtedness for borrowed money of the Company or a Domestic Subsidiary, other than Permitted Liens, without effectively providing that the 2033 Notes shall be secured equally and ratably with (or prior to) such indebtedness so secured for so long as such indebtedness is so secured.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the foregoing, any Lien securing the 2033 Notes or such Guarantee pursuant to this covenant shall be automatically and unconditionally released and discharged upon the release by all holders of the Initial Lien (including any deemed release upon payment in full of all obligations under the applicable indebtedness).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3.03.</w:t>
      </w:r>
      <w:r>
        <w:rPr>
          <w:rFonts w:ascii="Times New Roman" w:hAnsi="Times New Roman"/>
          <w:color w:val="000000"/>
          <w:sz w:val="20"/>
        </w:rPr>
        <w:t xml:space="preserve">    </w:t>
      </w:r>
      <w:r>
        <w:rPr>
          <w:rFonts w:ascii="Times New Roman" w:hAnsi="Times New Roman"/>
          <w:b/>
          <w:i/>
          <w:color w:val="000000"/>
          <w:sz w:val="20"/>
        </w:rPr>
        <w:t>Limitation on Sale Leaseback Transactions</w:t>
      </w:r>
      <w:r>
        <w:rPr>
          <w:rFonts w:ascii="Times New Roman" w:hAnsi="Times New Roman"/>
          <w:i/>
          <w:color w:val="000000"/>
          <w:sz w:val="20"/>
        </w:rPr>
        <w:t xml:space="preserve">.  </w:t>
      </w:r>
      <w:r>
        <w:rPr>
          <w:rFonts w:ascii="Times New Roman" w:hAnsi="Times New Roman"/>
          <w:color w:val="000000"/>
          <w:sz w:val="20"/>
        </w:rPr>
        <w:t xml:space="preserve">Neither the Company nor any Domestic Subsidiary of the Company will enter into any Sale Leaseback Transaction with respect to any property </w:t>
      </w:r>
      <w:r>
        <w:rPr>
          <w:rFonts w:ascii="Times New Roman" w:hAnsi="Times New Roman"/>
          <w:i/>
          <w:color w:val="000000"/>
          <w:sz w:val="20"/>
        </w:rPr>
        <w:t>unless</w:t>
      </w:r>
      <w:r>
        <w:rPr>
          <w:rFonts w:ascii="Times New Roman" w:hAnsi="Times New Roman"/>
          <w:color w:val="000000"/>
          <w:sz w:val="20"/>
        </w:rPr>
        <w:t xml:space="preserve"> (i) the Company or such Domestic Subsidiary would be entitled to create a Lien on such property securing Attributable Debt without equally and ratably securing the 2033 Notes pursuant to the provisions of Section 3.02 hereof and (ii) the gross proceeds received by the Company or any such Domestic Subsidiary in connection with such Sale Leaseback Transaction are at least equal to the Fair Market Value of such property.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the foregoing, the Company or any Domestic Subsidiary of the Company may enter into a Sale Leaseback Transaction if (x) during the twelve months following the effective date of the Sale Leaseback Transaction, the Company or any Domestic Subsidiary of the Company applies an amount equal to the greater of the net proceeds of such sale or transfer and the Fair Market Value of the property that the Company or the applicable Domestic Subsidiary leases in the transaction to (i) the voluntary retirement of the 2033 Notes or other indebtedness of the Company or any Domestic Subsidiary of the Company, provided that such indebtedness ranks pari passu or senior to the 2033 Notes or is indebtedness of a Subsidiary of the Company that is not a Guarantor, or (ii) the acquisition, purchase, construction, development, extension or improvement of any property or assets of the Company or any Domestic Subsidiary of the Company used or to be used by or for the benefit of the Company or any Domestic Subsidiary of the Company in the ordinary course of business, or (y) the Company or such Domestic Subsidiary equally and ratably secures the 2033 Notes as described in Section 3.02.</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3.04.</w:t>
      </w:r>
      <w:r>
        <w:rPr>
          <w:rFonts w:ascii="Times New Roman" w:hAnsi="Times New Roman"/>
          <w:color w:val="000000"/>
          <w:sz w:val="20"/>
        </w:rPr>
        <w:t xml:space="preserve">      </w:t>
      </w:r>
      <w:r>
        <w:rPr>
          <w:rFonts w:ascii="Times New Roman" w:hAnsi="Times New Roman"/>
          <w:b/>
          <w:i/>
          <w:color w:val="000000"/>
          <w:sz w:val="20"/>
        </w:rPr>
        <w:t>Purchase of Notes Upon a Change of Control Repurchase Event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If a Change of Control Repurchase Event occurs with respect to the 2033 Notes, unless the Company has exercised its right to redeem the 2033 Notes, each Holder shall have the right to require that the Company purchase all or any part (in denominations of €100,000 and integral multiples of €1,000 in excess thereof) of such Holder’s 2033 Notes pursuant to the offer described below (a “</w:t>
      </w:r>
      <w:r>
        <w:rPr>
          <w:rFonts w:ascii="Times New Roman" w:hAnsi="Times New Roman"/>
          <w:b/>
          <w:color w:val="000000"/>
          <w:sz w:val="20"/>
        </w:rPr>
        <w:t>Change of Control Offer</w:t>
      </w:r>
      <w:r>
        <w:rPr>
          <w:rFonts w:ascii="Times New Roman" w:hAnsi="Times New Roman"/>
          <w:color w:val="000000"/>
          <w:sz w:val="20"/>
        </w:rPr>
        <w:t>”) on the terms set forth herein. In the Change of Control Offer, the Company will offer to purchase all of the 2033 Notes at a purchase price (the “</w:t>
      </w:r>
      <w:r>
        <w:rPr>
          <w:rFonts w:ascii="Times New Roman" w:hAnsi="Times New Roman"/>
          <w:b/>
          <w:color w:val="000000"/>
          <w:sz w:val="20"/>
        </w:rPr>
        <w:t>Change of Control Purchase Price</w:t>
      </w:r>
      <w:r>
        <w:rPr>
          <w:rFonts w:ascii="Times New Roman" w:hAnsi="Times New Roman"/>
          <w:color w:val="000000"/>
          <w:sz w:val="20"/>
        </w:rPr>
        <w:t>”) in cash in an amount equal to 101% of the principal amount of the 2033 Notes to be purchased, plus accrued and unpaid interest thereon, if any, to, but excluding, the date of purchase (the “</w:t>
      </w:r>
      <w:r>
        <w:rPr>
          <w:rFonts w:ascii="Times New Roman" w:hAnsi="Times New Roman"/>
          <w:b/>
          <w:color w:val="000000"/>
          <w:sz w:val="20"/>
        </w:rPr>
        <w:t>Change of Control Purchase Date</w:t>
      </w:r>
      <w:r>
        <w:rPr>
          <w:rFonts w:ascii="Times New Roman" w:hAnsi="Times New Roman"/>
          <w:color w:val="000000"/>
          <w:sz w:val="20"/>
        </w:rPr>
        <w:t>”). If the Change of Control Purchase Date, however, is on or after a regular record date and on or before the related Interest Payment Date, the accrued and unpaid interest thereon, if any, will be paid to the person in whose name the note is registered at the close of business on such regular record date, and no additional interest will be payable to Holders whose notes are subject to purchase by the Company. Within 30 days after any Change of Control Repurchase Event with respect to the 2033 Notes or, at the Company’s option, prior to such Change of Control Repurchase Event but after the related Change of Control is publicly announced (provided that a definitive agreement is in place for such Change of Control), the Company must cause written notice of the Change of Control Repurchase Event to be distributed to the Trustee, and the Trustee will then promptly forward such notice to each Holder of 2033 Notes, by first-class mail, postage prepaid, at its address appearing in the security register or pursuant to applicable depositary procedures. The notice must state, among other things: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that a Change of Control Repurchase Event has occurred or may occur with respect to the 2033 Notes and the date of such event;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(ii)         the purchase price and the purchase date which shall be fixed by the Company on a Business Day no earlier than 10 days nor later than 60 days from the date the notice is sent, or such later date as is necessary to comply with requirements under the Exchange Act; provided that the purchase date may not occur prior to, and the purchase date shall be extended (including to a date more than 60 days from the date the notice is sent) to, the closing of the Change of Control;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(iii)        that any 2033 Note not tendered will continue to accrue interest;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(iv)       that, unless the Company defaults in the payment of the Change of Control Purchase Price, any 2033 Notes accepted for payment pursuant to the Change of Control Offer shall cease to accrue interest after the Change of Control Purchase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(v)         other procedures that a Holder of 2033 Notes must follow to accept a Change of Control Offer or to withdraw acceptance of the Change of Control Offer;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(vi)        that Holders will be entitled to withdraw their election if the Paying Agent receives, not later than the close of business on the second Business Day preceding the Change of Control Purchase Date, an electronic transmission or letter setting forth the name of the Holder, the principal amount of 2033 Notes delivered for purchase, and a statement that such Holder is withdrawing his election to have the 2033 Notes purchased;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(vii)       that Holders whose 2033 Notes are being purchased only in part will be issued new 2033 Notes equal in principal amount to the unpurchased portion of the 2033 Notes surrendered, which unpurchased portion must be equal to €1,000 in principal amount or an integral multiple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shall comply with the requirements of Rule 14e-1 under the Exchange Act and any other securities laws and regulations thereunder to the extent such laws and regulations are applicable in connection with the repurchase of 2033 Notes in connection with a Change of Control Repurchase Event. To the extent that the provisions of any securities laws or regulations conflict with this Section 3.04, the Company will comply with the applicable securities laws and regulations and will not be deemed to have breached its obligations under this Section 3.04 by virtue of such conflict.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On the Change of Control Purchase Date, the Company shall, to the extent lawful, (i) accept for payment all 2033 Notes or portions thereof properly tendered pursuant to the Change of Control Offer, (ii) deposit with the Paying Agent an amount equal to the Change of Control Purchase Price in respect of all 2033 Notes or portions thereof properly tendered and (iii) deliver or cause to be delivered to the Trustee (by book entry) the 2033 Notes properly accepted together with an Officer’s Certificate stating the aggregate principal amount of 2033 Notes or portions thereof being purchased by the Company. The Paying Agent shall promptly deliver to each Holder of 2033 Notes properly tendered the Change of Control Purchase Price for such 2033 Notes, and the Trustee shall promptly cause to be transferred by book entry to each Holder an interest in the 2033 Notes equal in principal amount to any unpurchased portion of the 2033 Notes surrendered by such Holder, if any; </w:t>
      </w:r>
      <w:r>
        <w:rPr>
          <w:rFonts w:ascii="Times New Roman" w:hAnsi="Times New Roman"/>
          <w:i/>
          <w:color w:val="000000"/>
          <w:sz w:val="20"/>
        </w:rPr>
        <w:t>provided</w:t>
      </w:r>
      <w:r>
        <w:rPr>
          <w:rFonts w:ascii="Times New Roman" w:hAnsi="Times New Roman"/>
          <w:color w:val="000000"/>
          <w:sz w:val="20"/>
        </w:rPr>
        <w:t>, that each such 2033 Note shall be in a principal amount of €100,000 and integral multiples of €1,000 in excess thereof. The Company shall publicly announce the results of the Change of Control Offer on or as soon as practicable after the Change of Control Purchase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may exercise its right to redeem all or a portion of the 2033 Notes, as described herein, even if a Change of Control Offer is made. The Company will not be required to make a Change of Control Offer upon a Change of Control Repurchase Event or to repurchase the 2033 Notes pursuant to this Section 3.04 if (i) a third party makes the Change of Control Offer in the manner, at the times and otherwise in compliance with the requirements set forth in this Section 3.04 and all other provisions of this Supplemental Indenture applicable to a Change of Control Offer made by the Company and purchases all 2033 Notes validly tendered and not withdrawn under such Change of Control Offer or (ii) the Company has exercised the right to redeem all of the 2033 Notes as described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3.05.</w:t>
      </w:r>
      <w:r>
        <w:rPr>
          <w:rFonts w:ascii="Times New Roman" w:hAnsi="Times New Roman"/>
          <w:color w:val="000000"/>
          <w:sz w:val="20"/>
        </w:rPr>
        <w:t xml:space="preserve">      </w:t>
      </w:r>
      <w:r>
        <w:rPr>
          <w:rFonts w:ascii="Times New Roman" w:hAnsi="Times New Roman"/>
          <w:b/>
          <w:i/>
          <w:color w:val="000000"/>
          <w:sz w:val="20"/>
        </w:rPr>
        <w:t>2033 Note Guarantees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2033 Notes and the obligations of the Company under the Indenture shall initially be fully and unconditionally guaranteed, jointly and severally, on a senior unsecured basis by the Guarantors on the terms and subject to the conditions set forth in this Indenture (including, without limitation, Article X of the Base Indenture (for the avoidance of doubt, as modified by this Supplemental Indenture) and the provisions of this Section 3.05). For the avoidance of doubt, the obligations of each Guarantor under its Guarantee of the 2033 Notes shall be limited in amount to an amount not to exceed the maximum amount that can be guaranteed by the applicable Guarantor without rendering its Guarantee of the 2033 Notes, as it relates to such Guarantor, voidable under applicable law relating to fraudulent conveyance or fraudulent transfer or similar laws affecting the rights of creditors generally.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Section 4.04 of the Base Indenture will apply to the 2033 Notes; provided that the provisions set forth below shall replace in its entirety the first paragraph of Section 4.04 of the Base Indenture:</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rPr>
        <w:t xml:space="preserve">If any Subsidiary of the Company (other than Finco or a Receivables Entity) that was not a Guarantor at the time of the execution of this Supplemental Indenture becomes a guarantor or an obligor in respect of any Triggering Indebtedness, within 10 Business Days of such event, the Company shall cause such Subsidiary to enter into a supplemental indenture pursuant to which such Subsidiary shall agree to Guarantee the 2033 Notes, fully and unconditionally and on a senior unsecured basis; provided that in no event shall a Subsidiary of the Company be required to provide a Guarantee of the 2033 Notes if the Company reasonably determines that such Guarantee is prohibited by, or would be unduly burdensome under, applicable laws or would result in adverse tax consequences to the Company or any of its Subsidiaries. The form of such joinder to this Supplemental Indenture is attached hereto as </w:t>
      </w:r>
      <w:r>
        <w:rPr>
          <w:rFonts w:ascii="Times New Roman" w:hAnsi="Times New Roman"/>
          <w:color w:val="000000"/>
          <w:sz w:val="20"/>
          <w:u w:val="single"/>
        </w:rPr>
        <w:t>Exhibit B.</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So long as any Finco Indebtedness remains outstanding, if Finco acquires and holds any material assets, other than (i) any intercompany notes or receivables or (ii) any proceeds from any indebtedness issued by Finco, within 10 Business Days of such event, the Company shall cause Finco to enter into a supplemental indenture pursuant to which Finco shall agree to Guarantee the 2033 Notes, fully and unconditionally and on a senior unsecured basis, provided that in no event shall Finco be required to provide a Guarantee of the 2033 Notes if the Company reasonably determines that such Guarantee is prohibited by, or would be unduly burdensome under, applicable laws or would result in adverse tax consequences to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Solely with respect to the 2033 Notes, the provisions set forth below shall replace in its entirety Section 10.07 of the Base Indenture:</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rPr>
        <w:t>The Guarantee of the 2033 Notes by any Guarantor will be automatically and unconditionally terminated and released, without any action on the part of the Trustee, any Holder or any other Person: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(i)          upon a sale or disposition of such Guarantor in a transaction that complies with this Indenture such that such Guarantor ceases to be a Subsidiary of the Company;</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(ii)         if the Company exercises its Legal Defeasance option or Covenant Defeasance option with respect to the 2033 Notes or if the Company’s obligations under this Indenture are discharged with respect to the 2033 Notes in accordance with the terms of this Indenture;</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(iii)        (1) in the case of any Guarantee by Finco, upon Finco no longer holding any material assets, other than (A) any intercompany notes or receivables or (B) any proceeds from any indebtedness issued by Finco and (2) in the case of any Guarantee by any Guarantor other than Finco, upon such Guarantor no longer being an issuer or guarantor in respect of (A) Mylan Notes that have an aggregate principal amount in excess of $500.0 million or (B) any Triggering Indebtedness, in the case of each of clauses (2)(A) and (B), excluding any indebtedness or Guarantees, as applicable, that are being concurrently released; or</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(iv)        upon receipt of the consent of the holders of a majority of the aggregate principal amount of the outstanding 2033 Notes in accordance with Article VIII of the Base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Upon delivery by the Company to the Trustee of an Officer’s Certificate and an Opinion of Counsel to the effect that such sale or other disposition was made by the Company in accordance with the provisions of the First Supplemental Indenture, the Trustee shall execute any documents reasonably required in order to evidence the release of any Guarantor from its obligations under its 2033 Note Guarantee.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Any Guarantor not released from its obligations under its 2033 Note Guarantee shall remain liable for the full amount of principal of and interest on the 2033 Notes and for the other obligations of any Guarantor under this Supplemental Indenture as provided in this Section 3.05.</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Redemption of 2033 Notes by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4.01.</w:t>
      </w:r>
      <w:r>
        <w:rPr>
          <w:rFonts w:ascii="Times New Roman" w:hAnsi="Times New Roman"/>
          <w:color w:val="000000"/>
          <w:sz w:val="20"/>
        </w:rPr>
        <w:t xml:space="preserve">     </w:t>
      </w:r>
      <w:r>
        <w:rPr>
          <w:rFonts w:ascii="Times New Roman" w:hAnsi="Times New Roman"/>
          <w:b/>
          <w:i/>
          <w:color w:val="000000"/>
          <w:sz w:val="20"/>
        </w:rPr>
        <w:t>Optional Redemption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Prior to the Par Call Date, the Company may redeem the 2033 Notes at its option, in whole or in part, at any time and from time to time, at a Redemption Price (expressed as a percentage of principal amount and rounded to three decimal places) equal to the greater of: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the sum of the present values of the remaining scheduled payments of principal and interest thereon (not including any portion of such payments of interest accrued as of the date of redemption), discounted to the Redemption Date on an annual basis (ACTUAL/ACTUAL (ICMA)) at the applicable Comparable Government Bond Rate (as defined below) plus 25 basis points,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(ii)       100% of the principal amount of the 2033 Notes to be redeemed, plus, in either case, accrued and unpaid interest thereon to the Redemption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On or after the Par Call Date, the Company may redeem the 2033 Notes at its option, in whole or in part, at any time and from time to time, at a Redemption Price equal to 100% of the principal amount of the 2033 Notes being redeemed, plus accrued and unpaid interest thereon to the Redemption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Unless the Company defaults in payment of the Redemption Price, on and after the Redemption Date interest will cease to accrue on the 2033 Notes or portions thereof called for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Subject to the other provisions of this Section 4.01, any redemption pursuant to this Section 4.01 shall be made pursuant to the provisions of Article III of the Base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Notice of any redemption will be mailed or electronically delivered (or otherwise transmitted in accordance with the depositary’s procedures) at least 10 days but (except in the case of a redemption subject to one or more conditions precedent, as described below) no more than 60 days before the Redemption Date to each Holder of 2033 Notes to be redeemed, at its registered address. The notice of redemption for the 2033 Notes to be redeemed will state, among other things, the amount of such 2033 Notes to be redeemed, the Redemption Date, and the place or places that payment will be made upon presentation and surrender of 2033 Notes to be redeemed.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Notwithstanding anything to the contrary in this Indenture, notice of any redemption of, or any offer to purchase, the 2033 Notes may, at the Company’s discretion, be subject to one or more conditions precedent, including, but not limited to, completion or occurrence of a related transaction or event. If a notice of redemption or purchase is subject to satisfaction of one or more conditions precedent, such notice shall describe each such condition, and if applicable, shall state that, in the Company’s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by the redemption date or purchase date or by the redemption date or purchase date as so delayed, or such notice may be rescinded at any time in the Company’s discretion if the Company reasonably believes that any or all of such conditions will not be satisfied. In addition, the Company may provide in such notice or offer that payment of the redemption or purchase price and performance of the Company’s obligations with respect to such redemption or offer to purchase may be performed by another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If less than all of the 2033 Notes are to be redeemed, the 2033 Notes to be redeemed will be selected in accordance with applicable depositary procedures or, solely in the case of definitive notes, by lot on a pro rata basis; provided, however, that no 2033 Notes of a principal amount of €100,000 or less shall be redeemed in part. If any 2033 Note is to be redeemed in part only, the notice of redemption that relates to the 2033 Note will state the portion of the principal amount of the note to be redeemed. A new 2033 Note in a principal amount equal to the unredeemed portion of the note will be issued in the name of the holder of the 2033 Note upon surrender for cancellation of the original 2033 Note.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If, as a result of any change in, or amendment to, the laws (or any regulations, rulings or treaties promulgated under the laws) of any Relevant Taxing Jurisdiction, or any change in, or amendment to, an official position regarding the application or interpretation of such laws, regulations, rulings or treaties, which change or amendment is announced or becomes effective on or after June 12, 2026, the Company or any Guarantor becomes or, based upon a written opinion of independent counsel selected by the Company, will become obligated to pay additional amounts as described in Section 5 of the Global 2033 Notes with respect to the 2033 Notes, then the Company may at its option redeem, in whole, but not in part, the 2033 Notes on not less than 10 nor (except in the case of a redemption subject to one or more conditions precedent, as described in Section 4.01(f)) more than 60 days prior notice, at a Redemption Price equal to 100% of principal amount of the 2033 Notes, together with interest accrued but unpaid on the 2033 Notes to the date fixed for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For so long as any 2033 Notes are admitted to the Official List of Euronext Dublin and admitted for trading on its Global Exchange Market and the rules of Euronext Dublin so require, any such notice to the holders of the relevant notes shall also be delivered to the Companies’ Announcements Office of Euronext Dublin and, in connection with any redemption, the Company will notify Euronext Dublin of any change in the principal amount of the 2033 Notes outstanding.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         Neither the Trustee nor the Paying Agent shall have any obligation to determine, calculate or verify the calculation of the Redemption Price or the Comparable Government Bond Rate. The Company’s actions and determinations in determining the Redemption Price shall be conclusive and binding for all purposes, absent manifest error.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4.02.</w:t>
      </w:r>
      <w:r>
        <w:rPr>
          <w:rFonts w:ascii="Times New Roman" w:hAnsi="Times New Roman"/>
          <w:color w:val="000000"/>
          <w:sz w:val="20"/>
        </w:rPr>
        <w:t xml:space="preserve">    </w:t>
      </w:r>
      <w:r>
        <w:rPr>
          <w:rFonts w:ascii="Times New Roman" w:hAnsi="Times New Roman"/>
          <w:b/>
          <w:i/>
          <w:color w:val="000000"/>
          <w:sz w:val="20"/>
        </w:rPr>
        <w:t>Mandatory Redemption</w:t>
      </w:r>
      <w:r>
        <w:rPr>
          <w:rFonts w:ascii="Times New Roman" w:hAnsi="Times New Roman"/>
          <w:i/>
          <w:color w:val="000000"/>
          <w:sz w:val="20"/>
        </w:rPr>
        <w:t xml:space="preserve">.  </w:t>
      </w:r>
      <w:r>
        <w:rPr>
          <w:rFonts w:ascii="Times New Roman" w:hAnsi="Times New Roman"/>
          <w:color w:val="000000"/>
          <w:sz w:val="20"/>
        </w:rPr>
        <w:t>Except as set forth in Section 3.04, the Company shall not have any mandatory redemption obligation with respect to the 2033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4.03.</w:t>
      </w:r>
      <w:r>
        <w:rPr>
          <w:rFonts w:ascii="Times New Roman" w:hAnsi="Times New Roman"/>
          <w:color w:val="000000"/>
          <w:sz w:val="20"/>
        </w:rPr>
        <w:t xml:space="preserve">    </w:t>
      </w:r>
      <w:r>
        <w:rPr>
          <w:rFonts w:ascii="Times New Roman" w:hAnsi="Times New Roman"/>
          <w:b/>
          <w:i/>
          <w:color w:val="000000"/>
          <w:sz w:val="20"/>
        </w:rPr>
        <w:t>Deposit of Redemption Price</w:t>
      </w:r>
      <w:r>
        <w:rPr>
          <w:rFonts w:ascii="Times New Roman" w:hAnsi="Times New Roman"/>
          <w:i/>
          <w:color w:val="000000"/>
          <w:sz w:val="20"/>
        </w:rPr>
        <w:t xml:space="preserve">.  </w:t>
      </w:r>
      <w:r>
        <w:rPr>
          <w:rFonts w:ascii="Times New Roman" w:hAnsi="Times New Roman"/>
          <w:color w:val="000000"/>
          <w:sz w:val="20"/>
        </w:rPr>
        <w:t>On or prior to 10:00 a.m. (London Time) one Business Day prior to the Redemption Date, the Company shall deposit with the Paying Agent an amount of money sufficient to pay the Redemption Price for the 2033 Notes which are to be redeemed on that date.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5</w:t>
      </w:r>
    </w:p>
    <w:p>
      <w:pPr>
        <w:pStyle w:val="TextBody"/>
        <w:bidi w:val="0"/>
        <w:spacing w:before="0" w:after="0"/>
        <w:ind w:left="1710" w:right="0" w:hanging="1710"/>
        <w:jc w:val="center"/>
        <w:rPr>
          <w:rFonts w:ascii="Times New Roman" w:hAnsi="Times New Roman"/>
          <w:b/>
          <w:color w:val="000000"/>
          <w:sz w:val="20"/>
        </w:rPr>
      </w:pPr>
      <w:r>
        <w:rPr>
          <w:rFonts w:ascii="Times New Roman" w:hAnsi="Times New Roman"/>
          <w:b/>
          <w:color w:val="000000"/>
          <w:sz w:val="20"/>
        </w:rPr>
        <w:t>Satisfaction and Discharge; Defeasance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5.01.</w:t>
      </w:r>
      <w:r>
        <w:rPr>
          <w:rFonts w:ascii="Times New Roman" w:hAnsi="Times New Roman"/>
          <w:color w:val="000000"/>
          <w:sz w:val="20"/>
        </w:rPr>
        <w:t xml:space="preserve">    </w:t>
      </w:r>
      <w:r>
        <w:rPr>
          <w:rFonts w:ascii="Times New Roman" w:hAnsi="Times New Roman"/>
          <w:b/>
          <w:i/>
          <w:color w:val="000000"/>
          <w:sz w:val="20"/>
        </w:rPr>
        <w:t>Applicability of Article IX of the Base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Article IX of the Base Indenture will apply to the 2033 Notes, subject to the procedures and modifications described in this Article 5.</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5.02.</w:t>
      </w:r>
      <w:r>
        <w:rPr>
          <w:rFonts w:ascii="Times New Roman" w:hAnsi="Times New Roman"/>
          <w:color w:val="000000"/>
          <w:sz w:val="20"/>
        </w:rPr>
        <w:t xml:space="preserve">    </w:t>
      </w:r>
      <w:r>
        <w:rPr>
          <w:rFonts w:ascii="Times New Roman" w:hAnsi="Times New Roman"/>
          <w:b/>
          <w:i/>
          <w:color w:val="000000"/>
          <w:sz w:val="20"/>
        </w:rPr>
        <w:t>Satisfaction and Discharge.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Solely with respect to the 2033 Notes, the provisions set forth below shall replace in its entirety Section 9.02(a) of the Base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rPr>
        <w:t>(a) This Indenture will be discharged and will cease to be of further effect with respect to the 2033 Notes (except as to rights of registration of transfer or exchange of 2033 Notes and rights to receive principal of and premium, if any, and interest on the 2033 Notes) as to all Outstanding 2033 Notes issued hereunder when: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2" w:name="z8648074596a04f529cee1232bdaab845"/>
      <w:bookmarkStart w:id="243" w:name="z8648074596a04f529cee1232bdaab845"/>
      <w:bookmarkEnd w:id="243"/>
    </w:p>
    <w:tbl>
      <w:tblPr>
        <w:tblW w:w="985" w:type="dxa"/>
        <w:jc w:val="left"/>
        <w:tblInd w:w="0" w:type="dxa"/>
        <w:tblLayout w:type="fixed"/>
        <w:tblCellMar>
          <w:top w:w="0" w:type="dxa"/>
          <w:left w:w="0" w:type="dxa"/>
          <w:bottom w:w="0" w:type="dxa"/>
          <w:right w:w="0" w:type="dxa"/>
        </w:tblCellMar>
      </w:tblPr>
      <w:tblGrid>
        <w:gridCol w:w="75"/>
        <w:gridCol w:w="290"/>
        <w:gridCol w:w="6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620" w:type="dxa"/>
            <w:tcBorders/>
            <w:vAlign w:val="center"/>
          </w:tcPr>
          <w:p>
            <w:pPr>
              <w:pStyle w:val="TableContents"/>
              <w:bidi w:val="0"/>
              <w:spacing w:before="0" w:after="0"/>
              <w:jc w:val="left"/>
              <w:rPr/>
            </w:pPr>
            <w:r>
              <w:rPr/>
              <w:t>either: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4" w:name="ze1f488a259f84c13a298bc8e58686c4f"/>
      <w:bookmarkStart w:id="245" w:name="ze1f488a259f84c13a298bc8e58686c4f"/>
      <w:bookmarkEnd w:id="245"/>
    </w:p>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(A)</w:t>
            </w:r>
          </w:p>
        </w:tc>
        <w:tc>
          <w:tcPr>
            <w:tcW w:w="9837" w:type="dxa"/>
            <w:tcBorders/>
            <w:vAlign w:val="center"/>
          </w:tcPr>
          <w:p>
            <w:pPr>
              <w:pStyle w:val="TableContents"/>
              <w:bidi w:val="0"/>
              <w:spacing w:before="0" w:after="0"/>
              <w:jc w:val="left"/>
              <w:rPr/>
            </w:pPr>
            <w:r>
              <w:rPr/>
              <w:t>all the 2033 Notes that have been authenticated and delivered (except lost, stolen or destroyed 2033 Notes which have been replaced or paid and 2033 Notes for whose payment money has been deposited in trust or segregated and held in trust by the Company and thereafter repaid to the Company or discharged from this trust) have been delivered to the Trustee for cancellation,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6" w:name="z1d76fefc73c848b78b49b7eeae87c13b"/>
      <w:bookmarkStart w:id="247" w:name="z1d76fefc73c848b78b49b7eeae87c13b"/>
      <w:bookmarkEnd w:id="247"/>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0"/>
              <w:jc w:val="left"/>
              <w:rPr/>
            </w:pPr>
            <w:r>
              <w:rPr/>
              <w:t>all 2033 Notes not delivered to the Trustee for cancellation otherwise (i) have become due and payable, (ii) will become due and payable, or are to be called for redemption, within one year or (iii) have been called for redemption, and, in any case, the Company or any Guarantor has irrevocably deposited or caused to be deposited with the Trustee as trust funds, in trust solely for the benefit of the Holders of the 2033 Notes, cash in euros, non-callable government obligations of any member nation of the European Union whose official currency is the euro, certificates, depository receipts or other instruments which evidence a direct ownership interest in such obligations or principal or interest payments due in respect thereof, or a combination thereof, in such amounts as will be sufficient (without consideration of any reinvestment of interest) to pay when due the principal of, premium, if any, and interest on the 2033 Notes not theretofore delivered to the Trustee for cancellation,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8" w:name="z012c3be735554fe2b98000589525e65a"/>
      <w:bookmarkStart w:id="249" w:name="z012c3be735554fe2b98000589525e65a"/>
      <w:bookmarkEnd w:id="249"/>
    </w:p>
    <w:tbl>
      <w:tblPr>
        <w:tblW w:w="8673" w:type="dxa"/>
        <w:jc w:val="left"/>
        <w:tblInd w:w="0" w:type="dxa"/>
        <w:tblLayout w:type="fixed"/>
        <w:tblCellMar>
          <w:top w:w="0" w:type="dxa"/>
          <w:left w:w="0" w:type="dxa"/>
          <w:bottom w:w="0" w:type="dxa"/>
          <w:right w:w="0" w:type="dxa"/>
        </w:tblCellMar>
      </w:tblPr>
      <w:tblGrid>
        <w:gridCol w:w="38"/>
        <w:gridCol w:w="290"/>
        <w:gridCol w:w="834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(2)</w:t>
            </w:r>
          </w:p>
        </w:tc>
        <w:tc>
          <w:tcPr>
            <w:tcW w:w="8345" w:type="dxa"/>
            <w:tcBorders/>
            <w:vAlign w:val="center"/>
          </w:tcPr>
          <w:p>
            <w:pPr>
              <w:pStyle w:val="TableContents"/>
              <w:bidi w:val="0"/>
              <w:spacing w:before="0" w:after="0"/>
              <w:jc w:val="left"/>
              <w:rPr/>
            </w:pPr>
            <w:r>
              <w:rPr/>
              <w:t>the Company or any Guarantor has paid all sums payable by it under this Indenture,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0" w:name="zb8017d373be248f59827e2a76f781d8a"/>
      <w:bookmarkStart w:id="251" w:name="zb8017d373be248f59827e2a76f781d8a"/>
      <w:bookmarkEnd w:id="251"/>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pPr>
            <w:r>
              <w:rPr/>
            </w:r>
          </w:p>
        </w:tc>
        <w:tc>
          <w:tcPr>
            <w:tcW w:w="253" w:type="dxa"/>
            <w:tcBorders/>
            <w:vAlign w:val="center"/>
          </w:tcPr>
          <w:p>
            <w:pPr>
              <w:pStyle w:val="TableContents"/>
              <w:bidi w:val="0"/>
              <w:spacing w:before="0" w:after="283"/>
              <w:jc w:val="left"/>
              <w:rPr/>
            </w:pPr>
            <w:r>
              <w:rPr/>
              <w:t>(3)</w:t>
            </w:r>
          </w:p>
        </w:tc>
        <w:tc>
          <w:tcPr>
            <w:tcW w:w="9914" w:type="dxa"/>
            <w:tcBorders/>
            <w:vAlign w:val="center"/>
          </w:tcPr>
          <w:p>
            <w:pPr>
              <w:pStyle w:val="TableContents"/>
              <w:bidi w:val="0"/>
              <w:spacing w:before="0" w:after="0"/>
              <w:jc w:val="left"/>
              <w:rPr/>
            </w:pPr>
            <w:r>
              <w:rPr/>
              <w:t>the Company has delivered irrevocable instructions to the Trustee to apply the deposited money toward the payment of the 2033 Notes at maturity or on the Redemption Date, as the case may be.</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the Company must deliver to the Trustee an Officer’s Certificate and an Opinion of Counsel stating that all conditions precedent to satisfaction and discharge have been complied with.”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5.03.</w:t>
      </w:r>
      <w:r>
        <w:rPr>
          <w:rFonts w:ascii="Times New Roman" w:hAnsi="Times New Roman"/>
          <w:color w:val="000000"/>
          <w:sz w:val="20"/>
        </w:rPr>
        <w:t xml:space="preserve">    </w:t>
      </w:r>
      <w:r>
        <w:rPr>
          <w:rFonts w:ascii="Times New Roman" w:hAnsi="Times New Roman"/>
          <w:b/>
          <w:i/>
          <w:color w:val="000000"/>
          <w:sz w:val="20"/>
        </w:rPr>
        <w:t>Defeasance.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Solely with respect to the 2033 Notes, the provisions set forth below shall replace in its entirety Section 9.03 of the Base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rPr>
        <w:t>In order to exercise either Legal Defeasance or Covenant Defeasance with respect to the 2033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Company must irrevocably deposit with the Trustee or other agent, as trust funds, in trust solely for the benefit of the Holders of the 2033 Notes, cash in euros, non-callable government obligations of any member nation of the European Union whose official currency is the euro, certificates, depository receipts or other instruments which evidence a direct ownership interest in such obligations or principal or interest payments due in respect thereof, or a combination thereof, in such amounts as will be sufficient (without consideration of any reinvestment of interest), to pay when due the principal of, premium, if any, and interest on the 2033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in the case of Legal Defeasance, the Company shall have delivered to the Trustee an Opinion of Counsel to the effect that the beneficial owners of the 2033 Notes will not recognize income, gain or loss for U.S. federal income tax purposes solely as a result of the Legal Defeasance and will be subject to 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Issue Date, or the Company having received a ruling from, or published by, the Internal Revenue Service to that effect;</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in the case of Covenant Defeasance, the Company shall have delivered to the Trustee an Opinion of Counsel to the effect that the beneficial owners of the 2033 Notes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the Company shall have delivered to the Trustee an Officer’s Certificate and an Opinion of Counsel each stating that all conditions precedent provided for or relating to the Legal Defeasance or the Covenant Defeasance, as the case may be, have been complied with.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the foregoing provisions of this Section 9.03, the conditions set forth in the foregoing subsections (b), (c), (d) and (e) need not be satisfied so long as, at the time the Company makes the deposit described in subsection (a), (i) no Default under clauses (1), (2), (8) and (9) under Section 6.01 has occurred and is continuing on the date of such deposit and after giving effect thereto, and (ii) either (x) a notice of redemption has been transmitted providing for redemption of all the 2033 Notes not more than 60 days after such transmission and the requirements for such redemption shall have been complied with or (y) the Stated Maturity of the 2033 Notes will occur within 60 days. If the conditions in the preceding sentence are satisfied, the Company shall be deemed to have exercised its Legal Defeasance option or Covenant Defeasance option, as applicable.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funds deposited with the Trustee or other agent to effect Legal Defeasance or Covenant Defeasance are insufficient to pay the principal of and interest on the 2033 Notes when due, then the Company’s obligations and the obligations of the Guarantors under this Indenture will be revived with respect to the 2033 Notes and no such defeasance will be deemed to have occurred.”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Pages Follow]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Supplemental Indenture to be duly executed as of the day and year first written above.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2" w:name="z7b26771be97649919351024d858c3612"/>
      <w:bookmarkStart w:id="253" w:name="z7b26771be97649919351024d858c3612"/>
      <w:bookmarkEnd w:id="253"/>
    </w:p>
    <w:tbl>
      <w:tblPr>
        <w:tblW w:w="3645" w:type="dxa"/>
        <w:jc w:val="left"/>
        <w:tblInd w:w="0" w:type="dxa"/>
        <w:tblLayout w:type="fixed"/>
        <w:tblCellMar>
          <w:top w:w="0" w:type="dxa"/>
          <w:left w:w="0" w:type="dxa"/>
          <w:bottom w:w="0" w:type="dxa"/>
          <w:right w:w="0" w:type="dxa"/>
        </w:tblCellMar>
      </w:tblPr>
      <w:tblGrid>
        <w:gridCol w:w="60"/>
        <w:gridCol w:w="365"/>
        <w:gridCol w:w="830"/>
        <w:gridCol w:w="2390"/>
      </w:tblGrid>
      <w:tr>
        <w:trPr/>
        <w:tc>
          <w:tcPr>
            <w:tcW w:w="60" w:type="dxa"/>
            <w:tcBorders/>
            <w:vAlign w:val="center"/>
          </w:tcPr>
          <w:p>
            <w:pPr>
              <w:pStyle w:val="TableContents"/>
              <w:bidi w:val="0"/>
              <w:spacing w:before="0" w:after="283"/>
              <w:jc w:val="left"/>
              <w:rPr/>
            </w:pPr>
            <w:r>
              <w:rPr/>
              <w:t> </w:t>
            </w:r>
          </w:p>
        </w:tc>
        <w:tc>
          <w:tcPr>
            <w:tcW w:w="3585" w:type="dxa"/>
            <w:gridSpan w:val="3"/>
            <w:tcBorders/>
            <w:vAlign w:val="center"/>
          </w:tcPr>
          <w:p>
            <w:pPr>
              <w:pStyle w:val="TableContents"/>
              <w:bidi w:val="0"/>
              <w:spacing w:before="0" w:after="283"/>
              <w:jc w:val="left"/>
              <w:rPr/>
            </w:pPr>
            <w:r>
              <w:rPr/>
              <w:t>COMPANY:</w:t>
            </w:r>
          </w:p>
        </w:tc>
      </w:tr>
      <w:tr>
        <w:trPr/>
        <w:tc>
          <w:tcPr>
            <w:tcW w:w="60" w:type="dxa"/>
            <w:tcBorders/>
            <w:vAlign w:val="center"/>
          </w:tcPr>
          <w:p>
            <w:pPr>
              <w:pStyle w:val="TableContents"/>
              <w:bidi w:val="0"/>
              <w:spacing w:before="0" w:after="283"/>
              <w:jc w:val="left"/>
              <w:rPr/>
            </w:pPr>
            <w:r>
              <w:rPr/>
              <w:t> </w:t>
            </w:r>
          </w:p>
        </w:tc>
        <w:tc>
          <w:tcPr>
            <w:tcW w:w="3585"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85" w:type="dxa"/>
            <w:gridSpan w:val="3"/>
            <w:tcBorders/>
            <w:vAlign w:val="center"/>
          </w:tcPr>
          <w:p>
            <w:pPr>
              <w:pStyle w:val="TableContents"/>
              <w:bidi w:val="0"/>
              <w:spacing w:before="0" w:after="283"/>
              <w:jc w:val="left"/>
              <w:rPr/>
            </w:pPr>
            <w:r>
              <w:rPr/>
              <w:t>VIATRIS INC.</w:t>
            </w:r>
          </w:p>
        </w:tc>
      </w:tr>
      <w:tr>
        <w:trPr/>
        <w:tc>
          <w:tcPr>
            <w:tcW w:w="60" w:type="dxa"/>
            <w:tcBorders/>
            <w:vAlign w:val="center"/>
          </w:tcPr>
          <w:p>
            <w:pPr>
              <w:pStyle w:val="TableContents"/>
              <w:bidi w:val="0"/>
              <w:spacing w:before="0" w:after="283"/>
              <w:jc w:val="left"/>
              <w:rPr/>
            </w:pPr>
            <w:r>
              <w:rPr/>
              <w:t> </w:t>
            </w:r>
          </w:p>
        </w:tc>
        <w:tc>
          <w:tcPr>
            <w:tcW w:w="3585"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180" w:right="0" w:hanging="0"/>
              <w:jc w:val="left"/>
              <w:rPr/>
            </w:pPr>
            <w:r>
              <w:rPr/>
              <w:t>By:</w:t>
            </w:r>
          </w:p>
        </w:tc>
        <w:tc>
          <w:tcPr>
            <w:tcW w:w="3220" w:type="dxa"/>
            <w:gridSpan w:val="2"/>
            <w:tcBorders>
              <w:bottom w:val="single" w:sz="12" w:space="0" w:color="000000"/>
            </w:tcBorders>
            <w:tcMar>
              <w:bottom w:w="28" w:type="dxa"/>
            </w:tcMar>
            <w:vAlign w:val="center"/>
          </w:tcPr>
          <w:p>
            <w:pPr>
              <w:pStyle w:val="TableContents"/>
              <w:bidi w:val="0"/>
              <w:spacing w:before="0" w:after="0"/>
              <w:jc w:val="left"/>
              <w:rPr/>
            </w:pPr>
            <w:r>
              <w:rPr/>
              <w:t>/s/ John Miraglia</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pPr>
            <w:r>
              <w:rPr/>
              <w:t xml:space="preserve">Name:   </w:t>
            </w:r>
          </w:p>
        </w:tc>
        <w:tc>
          <w:tcPr>
            <w:tcW w:w="2390" w:type="dxa"/>
            <w:tcBorders/>
            <w:vAlign w:val="center"/>
          </w:tcPr>
          <w:p>
            <w:pPr>
              <w:pStyle w:val="TableContents"/>
              <w:bidi w:val="0"/>
              <w:spacing w:before="0" w:after="283"/>
              <w:jc w:val="left"/>
              <w:rPr/>
            </w:pPr>
            <w:r>
              <w:rPr/>
              <w:t>John Miraglia</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pPr>
            <w:r>
              <w:rPr/>
              <w:t xml:space="preserve">Title: </w:t>
            </w:r>
          </w:p>
        </w:tc>
        <w:tc>
          <w:tcPr>
            <w:tcW w:w="2390" w:type="dxa"/>
            <w:tcBorders/>
            <w:vAlign w:val="center"/>
          </w:tcPr>
          <w:p>
            <w:pPr>
              <w:pStyle w:val="TableContents"/>
              <w:bidi w:val="0"/>
              <w:spacing w:before="0" w:after="283"/>
              <w:jc w:val="left"/>
              <w:rPr/>
            </w:pPr>
            <w:r>
              <w:rPr/>
              <w:t>Head of Global Treasury</w:t>
            </w:r>
          </w:p>
        </w:tc>
      </w:tr>
    </w:tbl>
    <w:p>
      <w:pPr>
        <w:pStyle w:val="TextBody"/>
        <w:bidi w:val="0"/>
        <w:spacing w:before="0" w:after="0"/>
        <w:jc w:val="left"/>
        <w:rPr/>
      </w:pPr>
      <w:r>
        <w:rPr/>
      </w:r>
    </w:p>
    <w:tbl>
      <w:tblPr>
        <w:tblW w:w="3420" w:type="dxa"/>
        <w:jc w:val="left"/>
        <w:tblInd w:w="0" w:type="dxa"/>
        <w:tblLayout w:type="fixed"/>
        <w:tblCellMar>
          <w:top w:w="0" w:type="dxa"/>
          <w:left w:w="0" w:type="dxa"/>
          <w:bottom w:w="0" w:type="dxa"/>
          <w:right w:w="0" w:type="dxa"/>
        </w:tblCellMar>
      </w:tblPr>
      <w:tblGrid>
        <w:gridCol w:w="60"/>
        <w:gridCol w:w="365"/>
        <w:gridCol w:w="830"/>
        <w:gridCol w:w="2165"/>
      </w:tblGrid>
      <w:tr>
        <w:trPr/>
        <w:tc>
          <w:tcPr>
            <w:tcW w:w="60" w:type="dxa"/>
            <w:tcBorders/>
            <w:vAlign w:val="center"/>
          </w:tcPr>
          <w:p>
            <w:pPr>
              <w:pStyle w:val="TableContents"/>
              <w:bidi w:val="0"/>
              <w:spacing w:before="0" w:after="283"/>
              <w:jc w:val="left"/>
              <w:rPr/>
            </w:pPr>
            <w:r>
              <w:rPr/>
              <w:t> </w:t>
            </w:r>
          </w:p>
        </w:tc>
        <w:tc>
          <w:tcPr>
            <w:tcW w:w="3360" w:type="dxa"/>
            <w:gridSpan w:val="3"/>
            <w:tcBorders/>
            <w:vAlign w:val="center"/>
          </w:tcPr>
          <w:p>
            <w:pPr>
              <w:pStyle w:val="TableContents"/>
              <w:bidi w:val="0"/>
              <w:spacing w:before="0" w:after="283"/>
              <w:jc w:val="left"/>
              <w:rPr/>
            </w:pPr>
            <w:r>
              <w:rPr/>
              <w:t>GUARANTORS:</w:t>
            </w:r>
          </w:p>
        </w:tc>
      </w:tr>
      <w:tr>
        <w:trPr/>
        <w:tc>
          <w:tcPr>
            <w:tcW w:w="60" w:type="dxa"/>
            <w:tcBorders/>
            <w:vAlign w:val="center"/>
          </w:tcPr>
          <w:p>
            <w:pPr>
              <w:pStyle w:val="TableContents"/>
              <w:bidi w:val="0"/>
              <w:spacing w:before="0" w:after="283"/>
              <w:jc w:val="left"/>
              <w:rPr/>
            </w:pPr>
            <w:r>
              <w:rPr/>
              <w:t> </w:t>
            </w:r>
          </w:p>
        </w:tc>
        <w:tc>
          <w:tcPr>
            <w:tcW w:w="3360"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60" w:type="dxa"/>
            <w:gridSpan w:val="3"/>
            <w:tcBorders/>
            <w:vAlign w:val="center"/>
          </w:tcPr>
          <w:p>
            <w:pPr>
              <w:pStyle w:val="TableContents"/>
              <w:bidi w:val="0"/>
              <w:spacing w:before="0" w:after="283"/>
              <w:jc w:val="left"/>
              <w:rPr/>
            </w:pPr>
            <w:r>
              <w:rPr/>
              <w:t>MYLAN INC.</w:t>
            </w:r>
          </w:p>
        </w:tc>
      </w:tr>
      <w:tr>
        <w:trPr/>
        <w:tc>
          <w:tcPr>
            <w:tcW w:w="60" w:type="dxa"/>
            <w:tcBorders/>
            <w:vAlign w:val="center"/>
          </w:tcPr>
          <w:p>
            <w:pPr>
              <w:pStyle w:val="TableContents"/>
              <w:bidi w:val="0"/>
              <w:spacing w:before="0" w:after="283"/>
              <w:jc w:val="left"/>
              <w:rPr/>
            </w:pPr>
            <w:r>
              <w:rPr/>
              <w:t> </w:t>
            </w:r>
          </w:p>
        </w:tc>
        <w:tc>
          <w:tcPr>
            <w:tcW w:w="3360"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180" w:right="0" w:hanging="0"/>
              <w:jc w:val="left"/>
              <w:rPr/>
            </w:pPr>
            <w:r>
              <w:rPr/>
              <w:t>By:</w:t>
            </w:r>
          </w:p>
        </w:tc>
        <w:tc>
          <w:tcPr>
            <w:tcW w:w="2995" w:type="dxa"/>
            <w:gridSpan w:val="2"/>
            <w:tcBorders>
              <w:bottom w:val="single" w:sz="12" w:space="0" w:color="000000"/>
            </w:tcBorders>
            <w:tcMar>
              <w:bottom w:w="28" w:type="dxa"/>
            </w:tcMar>
            <w:vAlign w:val="center"/>
          </w:tcPr>
          <w:p>
            <w:pPr>
              <w:pStyle w:val="TableContents"/>
              <w:bidi w:val="0"/>
              <w:spacing w:before="0" w:after="0"/>
              <w:jc w:val="left"/>
              <w:rPr/>
            </w:pPr>
            <w:r>
              <w:rPr/>
              <w:t>/s/ John Miraglia</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pPr>
            <w:r>
              <w:rPr/>
              <w:t xml:space="preserve">Name:   </w:t>
            </w:r>
          </w:p>
        </w:tc>
        <w:tc>
          <w:tcPr>
            <w:tcW w:w="2165" w:type="dxa"/>
            <w:tcBorders/>
            <w:vAlign w:val="center"/>
          </w:tcPr>
          <w:p>
            <w:pPr>
              <w:pStyle w:val="TableContents"/>
              <w:bidi w:val="0"/>
              <w:spacing w:before="0" w:after="283"/>
              <w:jc w:val="left"/>
              <w:rPr/>
            </w:pPr>
            <w:r>
              <w:rPr/>
              <w:t>John Miraglia</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pPr>
            <w:r>
              <w:rPr/>
              <w:t xml:space="preserve">Title: </w:t>
            </w:r>
          </w:p>
        </w:tc>
        <w:tc>
          <w:tcPr>
            <w:tcW w:w="2165" w:type="dxa"/>
            <w:tcBorders/>
            <w:vAlign w:val="center"/>
          </w:tcPr>
          <w:p>
            <w:pPr>
              <w:pStyle w:val="TableContents"/>
              <w:bidi w:val="0"/>
              <w:spacing w:before="0" w:after="283"/>
              <w:jc w:val="left"/>
              <w:rPr/>
            </w:pPr>
            <w:r>
              <w:rPr/>
              <w:t>Director and Treasurer</w:t>
            </w:r>
          </w:p>
        </w:tc>
      </w:tr>
    </w:tbl>
    <w:p>
      <w:pPr>
        <w:pStyle w:val="TextBody"/>
        <w:bidi w:val="0"/>
        <w:spacing w:before="0" w:after="0"/>
        <w:jc w:val="left"/>
        <w:rPr/>
      </w:pPr>
      <w:r>
        <w:rPr/>
      </w:r>
    </w:p>
    <w:tbl>
      <w:tblPr>
        <w:tblW w:w="2580" w:type="dxa"/>
        <w:jc w:val="left"/>
        <w:tblInd w:w="0" w:type="dxa"/>
        <w:tblLayout w:type="fixed"/>
        <w:tblCellMar>
          <w:top w:w="0" w:type="dxa"/>
          <w:left w:w="0" w:type="dxa"/>
          <w:bottom w:w="0" w:type="dxa"/>
          <w:right w:w="0" w:type="dxa"/>
        </w:tblCellMar>
      </w:tblPr>
      <w:tblGrid>
        <w:gridCol w:w="60"/>
        <w:gridCol w:w="365"/>
        <w:gridCol w:w="830"/>
        <w:gridCol w:w="1325"/>
      </w:tblGrid>
      <w:tr>
        <w:trPr/>
        <w:tc>
          <w:tcPr>
            <w:tcW w:w="60"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pPr>
            <w:r>
              <w:rPr/>
              <w:t>MYLAN II B.V.</w:t>
            </w:r>
          </w:p>
        </w:tc>
      </w:tr>
      <w:tr>
        <w:trPr/>
        <w:tc>
          <w:tcPr>
            <w:tcW w:w="60"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180" w:right="0" w:hanging="0"/>
              <w:jc w:val="left"/>
              <w:rPr/>
            </w:pPr>
            <w:r>
              <w:rPr/>
              <w:t>By:</w:t>
            </w:r>
          </w:p>
        </w:tc>
        <w:tc>
          <w:tcPr>
            <w:tcW w:w="2155" w:type="dxa"/>
            <w:gridSpan w:val="2"/>
            <w:tcBorders>
              <w:bottom w:val="single" w:sz="12" w:space="0" w:color="000000"/>
            </w:tcBorders>
            <w:tcMar>
              <w:bottom w:w="28" w:type="dxa"/>
            </w:tcMar>
            <w:vAlign w:val="center"/>
          </w:tcPr>
          <w:p>
            <w:pPr>
              <w:pStyle w:val="TableContents"/>
              <w:bidi w:val="0"/>
              <w:spacing w:before="0" w:after="0"/>
              <w:jc w:val="left"/>
              <w:rPr/>
            </w:pPr>
            <w:r>
              <w:rPr/>
              <w:t>/s/ John Miraglia</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pPr>
            <w:r>
              <w:rPr/>
              <w:t xml:space="preserve">Name:   </w:t>
            </w:r>
          </w:p>
        </w:tc>
        <w:tc>
          <w:tcPr>
            <w:tcW w:w="1325" w:type="dxa"/>
            <w:tcBorders/>
            <w:vAlign w:val="center"/>
          </w:tcPr>
          <w:p>
            <w:pPr>
              <w:pStyle w:val="TableContents"/>
              <w:bidi w:val="0"/>
              <w:spacing w:before="0" w:after="283"/>
              <w:jc w:val="left"/>
              <w:rPr/>
            </w:pPr>
            <w:r>
              <w:rPr/>
              <w:t>John Miraglia</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pPr>
            <w:r>
              <w:rPr/>
              <w:t xml:space="preserve">Title: </w:t>
            </w:r>
          </w:p>
        </w:tc>
        <w:tc>
          <w:tcPr>
            <w:tcW w:w="1325" w:type="dxa"/>
            <w:tcBorders/>
            <w:vAlign w:val="center"/>
          </w:tcPr>
          <w:p>
            <w:pPr>
              <w:pStyle w:val="TableContents"/>
              <w:bidi w:val="0"/>
              <w:spacing w:before="0" w:after="283"/>
              <w:jc w:val="left"/>
              <w:rPr/>
            </w:pPr>
            <w:r>
              <w:rPr/>
              <w:t>Director</w:t>
            </w:r>
          </w:p>
        </w:tc>
      </w:tr>
    </w:tbl>
    <w:p>
      <w:pPr>
        <w:pStyle w:val="TextBody"/>
        <w:bidi w:val="0"/>
        <w:spacing w:before="0" w:after="0"/>
        <w:jc w:val="left"/>
        <w:rPr/>
      </w:pPr>
      <w:r>
        <w:rPr/>
      </w:r>
    </w:p>
    <w:tbl>
      <w:tblPr>
        <w:tblW w:w="4050" w:type="dxa"/>
        <w:jc w:val="left"/>
        <w:tblInd w:w="0" w:type="dxa"/>
        <w:tblLayout w:type="fixed"/>
        <w:tblCellMar>
          <w:top w:w="0" w:type="dxa"/>
          <w:left w:w="0" w:type="dxa"/>
          <w:bottom w:w="0" w:type="dxa"/>
          <w:right w:w="0" w:type="dxa"/>
        </w:tblCellMar>
      </w:tblPr>
      <w:tblGrid>
        <w:gridCol w:w="60"/>
        <w:gridCol w:w="365"/>
        <w:gridCol w:w="830"/>
        <w:gridCol w:w="2795"/>
      </w:tblGrid>
      <w:tr>
        <w:trPr/>
        <w:tc>
          <w:tcPr>
            <w:tcW w:w="60" w:type="dxa"/>
            <w:tcBorders/>
            <w:vAlign w:val="center"/>
          </w:tcPr>
          <w:p>
            <w:pPr>
              <w:pStyle w:val="TableContents"/>
              <w:bidi w:val="0"/>
              <w:spacing w:before="0" w:after="283"/>
              <w:jc w:val="left"/>
              <w:rPr/>
            </w:pPr>
            <w:r>
              <w:rPr/>
              <w:t> </w:t>
            </w:r>
          </w:p>
        </w:tc>
        <w:tc>
          <w:tcPr>
            <w:tcW w:w="3990" w:type="dxa"/>
            <w:gridSpan w:val="3"/>
            <w:tcBorders/>
            <w:vAlign w:val="center"/>
          </w:tcPr>
          <w:p>
            <w:pPr>
              <w:pStyle w:val="TableContents"/>
              <w:bidi w:val="0"/>
              <w:spacing w:before="0" w:after="283"/>
              <w:jc w:val="left"/>
              <w:rPr/>
            </w:pPr>
            <w:r>
              <w:rPr/>
              <w:t>UTAH ACQUISITION SUB INC.</w:t>
            </w:r>
          </w:p>
        </w:tc>
      </w:tr>
      <w:tr>
        <w:trPr/>
        <w:tc>
          <w:tcPr>
            <w:tcW w:w="60" w:type="dxa"/>
            <w:tcBorders/>
            <w:vAlign w:val="center"/>
          </w:tcPr>
          <w:p>
            <w:pPr>
              <w:pStyle w:val="TableContents"/>
              <w:bidi w:val="0"/>
              <w:spacing w:before="0" w:after="283"/>
              <w:jc w:val="left"/>
              <w:rPr/>
            </w:pPr>
            <w:r>
              <w:rPr/>
              <w:t> </w:t>
            </w:r>
          </w:p>
        </w:tc>
        <w:tc>
          <w:tcPr>
            <w:tcW w:w="3990"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180" w:right="0" w:hanging="0"/>
              <w:jc w:val="left"/>
              <w:rPr/>
            </w:pPr>
            <w:r>
              <w:rPr/>
              <w:t>By:</w:t>
            </w:r>
          </w:p>
        </w:tc>
        <w:tc>
          <w:tcPr>
            <w:tcW w:w="3625" w:type="dxa"/>
            <w:gridSpan w:val="2"/>
            <w:tcBorders>
              <w:bottom w:val="single" w:sz="12" w:space="0" w:color="000000"/>
            </w:tcBorders>
            <w:tcMar>
              <w:bottom w:w="28" w:type="dxa"/>
            </w:tcMar>
            <w:vAlign w:val="center"/>
          </w:tcPr>
          <w:p>
            <w:pPr>
              <w:pStyle w:val="TableContents"/>
              <w:bidi w:val="0"/>
              <w:spacing w:before="0" w:after="0"/>
              <w:jc w:val="left"/>
              <w:rPr/>
            </w:pPr>
            <w:r>
              <w:rPr/>
              <w:t>/s/ Michael Rainerman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pPr>
            <w:r>
              <w:rPr/>
              <w:t xml:space="preserve">Name:   </w:t>
            </w:r>
          </w:p>
        </w:tc>
        <w:tc>
          <w:tcPr>
            <w:tcW w:w="2795" w:type="dxa"/>
            <w:tcBorders/>
            <w:vAlign w:val="center"/>
          </w:tcPr>
          <w:p>
            <w:pPr>
              <w:pStyle w:val="TableContents"/>
              <w:bidi w:val="0"/>
              <w:spacing w:before="0" w:after="283"/>
              <w:jc w:val="left"/>
              <w:rPr/>
            </w:pPr>
            <w:r>
              <w:rPr/>
              <w:t>Michael Rainerman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pPr>
            <w:r>
              <w:rPr/>
              <w:t xml:space="preserve">Title: </w:t>
            </w:r>
          </w:p>
        </w:tc>
        <w:tc>
          <w:tcPr>
            <w:tcW w:w="2795" w:type="dxa"/>
            <w:tcBorders/>
            <w:vAlign w:val="center"/>
          </w:tcPr>
          <w:p>
            <w:pPr>
              <w:pStyle w:val="TableContents"/>
              <w:bidi w:val="0"/>
              <w:spacing w:before="0" w:after="283"/>
              <w:jc w:val="left"/>
              <w:rPr/>
            </w:pPr>
            <w:r>
              <w:rPr/>
              <w:t>Director, President, Secretary</w:t>
            </w:r>
          </w:p>
        </w:tc>
      </w:tr>
    </w:tbl>
    <w:p>
      <w:pPr>
        <w:pStyle w:val="TextBody"/>
        <w:bidi w:val="0"/>
        <w:spacing w:before="0" w:after="0"/>
        <w:jc w:val="left"/>
        <w:rPr/>
      </w:pPr>
      <w:r>
        <w:rPr/>
      </w:r>
    </w:p>
    <w:p>
      <w:pPr>
        <w:pStyle w:val="TextBody"/>
        <w:bidi w:val="0"/>
        <w:spacing w:before="200" w:after="200"/>
        <w:jc w:val="center"/>
        <w:rPr>
          <w:rFonts w:ascii="Times New Roman" w:hAnsi="Times New Roman"/>
          <w:color w:val="000000"/>
          <w:sz w:val="16"/>
        </w:rPr>
      </w:pPr>
      <w:r>
        <w:rPr>
          <w:rFonts w:ascii="Times New Roman" w:hAnsi="Times New Roman"/>
          <w:color w:val="000000"/>
          <w:sz w:val="16"/>
        </w:rPr>
        <w:t>[</w:t>
      </w:r>
      <w:r>
        <w:rPr>
          <w:rFonts w:ascii="Times New Roman" w:hAnsi="Times New Roman"/>
          <w:i/>
          <w:color w:val="000000"/>
          <w:sz w:val="16"/>
        </w:rPr>
        <w:t>Signature Page to Supplemental Indenture</w:t>
      </w:r>
      <w:r>
        <w:rPr>
          <w:rFonts w:ascii="Times New Roman" w:hAnsi="Times New Roman"/>
          <w:color w:val="000000"/>
          <w:sz w:val="16"/>
        </w:rPr>
        <w:t>]</w:t>
      </w:r>
    </w:p>
    <w:p>
      <w:pPr>
        <w:pStyle w:val="HorizontalLine"/>
        <w:pBdr>
          <w:bottom w:val="single" w:sz="12" w:space="0" w:color="808080"/>
        </w:pBdr>
        <w:bidi w:val="0"/>
        <w:spacing w:before="200" w:after="200"/>
        <w:jc w:val="left"/>
        <w:rPr/>
      </w:pPr>
      <w:r>
        <w:rPr/>
      </w:r>
    </w:p>
    <w:tbl>
      <w:tblPr>
        <w:tblW w:w="4158" w:type="dxa"/>
        <w:jc w:val="left"/>
        <w:tblInd w:w="0" w:type="dxa"/>
        <w:tblLayout w:type="fixed"/>
        <w:tblCellMar>
          <w:top w:w="0" w:type="dxa"/>
          <w:left w:w="0" w:type="dxa"/>
          <w:bottom w:w="0" w:type="dxa"/>
          <w:right w:w="0" w:type="dxa"/>
        </w:tblCellMar>
      </w:tblPr>
      <w:tblGrid>
        <w:gridCol w:w="60"/>
        <w:gridCol w:w="37"/>
        <w:gridCol w:w="528"/>
        <w:gridCol w:w="1370"/>
        <w:gridCol w:w="2163"/>
      </w:tblGrid>
      <w:tr>
        <w:trPr/>
        <w:tc>
          <w:tcPr>
            <w:tcW w:w="60" w:type="dxa"/>
            <w:tcBorders/>
            <w:vAlign w:val="center"/>
          </w:tcPr>
          <w:p>
            <w:pPr>
              <w:pStyle w:val="TableContents"/>
              <w:bidi w:val="0"/>
              <w:spacing w:before="0" w:after="283"/>
              <w:jc w:val="left"/>
              <w:rPr/>
            </w:pPr>
            <w:r>
              <w:rPr/>
              <w:t> </w:t>
            </w:r>
          </w:p>
        </w:tc>
        <w:tc>
          <w:tcPr>
            <w:tcW w:w="4098" w:type="dxa"/>
            <w:gridSpan w:val="4"/>
            <w:tcBorders/>
            <w:vAlign w:val="center"/>
          </w:tcPr>
          <w:p>
            <w:pPr>
              <w:pStyle w:val="TableContents"/>
              <w:bidi w:val="0"/>
              <w:spacing w:before="0" w:after="0"/>
              <w:jc w:val="left"/>
              <w:rPr/>
            </w:pPr>
            <w:r>
              <w:rPr/>
              <w:t>TRUSTEE:</w:t>
            </w:r>
          </w:p>
        </w:tc>
      </w:tr>
      <w:tr>
        <w:trPr/>
        <w:tc>
          <w:tcPr>
            <w:tcW w:w="60" w:type="dxa"/>
            <w:tcBorders/>
            <w:vAlign w:val="center"/>
          </w:tcPr>
          <w:p>
            <w:pPr>
              <w:pStyle w:val="TableContents"/>
              <w:bidi w:val="0"/>
              <w:spacing w:before="0" w:after="283"/>
              <w:jc w:val="left"/>
              <w:rPr/>
            </w:pPr>
            <w:r>
              <w:rPr/>
              <w:t> </w:t>
            </w:r>
          </w:p>
        </w:tc>
        <w:tc>
          <w:tcPr>
            <w:tcW w:w="4098" w:type="dxa"/>
            <w:gridSpan w:val="4"/>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4098" w:type="dxa"/>
            <w:gridSpan w:val="4"/>
            <w:tcBorders/>
            <w:vAlign w:val="center"/>
          </w:tcPr>
          <w:p>
            <w:pPr>
              <w:pStyle w:val="TableContents"/>
              <w:bidi w:val="0"/>
              <w:spacing w:before="0" w:after="0"/>
              <w:jc w:val="left"/>
              <w:rPr/>
            </w:pPr>
            <w:r>
              <w:rPr/>
              <w:t>THE BANK OF NEW YORK MELLON</w:t>
            </w:r>
          </w:p>
        </w:tc>
      </w:tr>
      <w:tr>
        <w:trPr/>
        <w:tc>
          <w:tcPr>
            <w:tcW w:w="60" w:type="dxa"/>
            <w:tcBorders/>
            <w:vAlign w:val="center"/>
          </w:tcPr>
          <w:p>
            <w:pPr>
              <w:pStyle w:val="TableContents"/>
              <w:bidi w:val="0"/>
              <w:spacing w:before="0" w:after="283"/>
              <w:jc w:val="left"/>
              <w:rPr/>
            </w:pPr>
            <w:r>
              <w:rPr/>
              <w:t> </w:t>
            </w:r>
          </w:p>
        </w:tc>
        <w:tc>
          <w:tcPr>
            <w:tcW w:w="4098" w:type="dxa"/>
            <w:gridSpan w:val="4"/>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37" w:type="dxa"/>
            <w:tcBorders/>
            <w:vAlign w:val="center"/>
          </w:tcPr>
          <w:p>
            <w:pPr>
              <w:pStyle w:val="TableContents"/>
              <w:bidi w:val="0"/>
              <w:spacing w:before="0" w:after="283"/>
              <w:jc w:val="left"/>
              <w:rPr/>
            </w:pPr>
            <w:r>
              <w:rPr/>
            </w:r>
          </w:p>
        </w:tc>
        <w:tc>
          <w:tcPr>
            <w:tcW w:w="528" w:type="dxa"/>
            <w:tcBorders/>
            <w:vAlign w:val="center"/>
          </w:tcPr>
          <w:p>
            <w:pPr>
              <w:pStyle w:val="TableContents"/>
              <w:bidi w:val="0"/>
              <w:spacing w:before="0" w:after="283"/>
              <w:jc w:val="left"/>
              <w:rPr/>
            </w:pPr>
            <w:r>
              <w:rPr/>
              <w:t>by:</w:t>
            </w:r>
          </w:p>
        </w:tc>
        <w:tc>
          <w:tcPr>
            <w:tcW w:w="3533"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37" w:type="dxa"/>
            <w:tcBorders/>
            <w:vAlign w:val="center"/>
          </w:tcPr>
          <w:p>
            <w:pPr>
              <w:pStyle w:val="TableContents"/>
              <w:bidi w:val="0"/>
              <w:spacing w:before="0" w:after="283"/>
              <w:jc w:val="left"/>
              <w:rPr/>
            </w:pPr>
            <w:r>
              <w:rPr/>
            </w:r>
          </w:p>
        </w:tc>
        <w:tc>
          <w:tcPr>
            <w:tcW w:w="528" w:type="dxa"/>
            <w:tcBorders/>
            <w:vAlign w:val="center"/>
          </w:tcPr>
          <w:p>
            <w:pPr>
              <w:pStyle w:val="TableContents"/>
              <w:bidi w:val="0"/>
              <w:spacing w:before="0" w:after="283"/>
              <w:jc w:val="left"/>
              <w:rPr/>
            </w:pPr>
            <w:r>
              <w:rPr/>
            </w:r>
          </w:p>
        </w:tc>
        <w:tc>
          <w:tcPr>
            <w:tcW w:w="3533" w:type="dxa"/>
            <w:gridSpan w:val="2"/>
            <w:tcBorders>
              <w:bottom w:val="single" w:sz="12" w:space="0" w:color="000000"/>
            </w:tcBorders>
            <w:tcMar>
              <w:bottom w:w="28" w:type="dxa"/>
            </w:tcMar>
            <w:vAlign w:val="center"/>
          </w:tcPr>
          <w:p>
            <w:pPr>
              <w:pStyle w:val="TableContents"/>
              <w:bidi w:val="0"/>
              <w:spacing w:before="0" w:after="283"/>
              <w:jc w:val="left"/>
              <w:rPr/>
            </w:pPr>
            <w:r>
              <w:rPr/>
              <w:t>/s/ Nathan Hodd</w:t>
            </w:r>
          </w:p>
        </w:tc>
      </w:tr>
      <w:tr>
        <w:trPr/>
        <w:tc>
          <w:tcPr>
            <w:tcW w:w="60" w:type="dxa"/>
            <w:tcBorders/>
            <w:vAlign w:val="center"/>
          </w:tcPr>
          <w:p>
            <w:pPr>
              <w:pStyle w:val="TableContents"/>
              <w:bidi w:val="0"/>
              <w:spacing w:before="0" w:after="283"/>
              <w:jc w:val="left"/>
              <w:rPr/>
            </w:pPr>
            <w:r>
              <w:rPr/>
              <w:t> </w:t>
            </w:r>
          </w:p>
        </w:tc>
        <w:tc>
          <w:tcPr>
            <w:tcW w:w="37" w:type="dxa"/>
            <w:tcBorders/>
            <w:vAlign w:val="center"/>
          </w:tcPr>
          <w:p>
            <w:pPr>
              <w:pStyle w:val="TableContents"/>
              <w:bidi w:val="0"/>
              <w:spacing w:before="0" w:after="283"/>
              <w:jc w:val="left"/>
              <w:rPr/>
            </w:pPr>
            <w:r>
              <w:rPr/>
            </w:r>
          </w:p>
        </w:tc>
        <w:tc>
          <w:tcPr>
            <w:tcW w:w="528" w:type="dxa"/>
            <w:tcBorders/>
            <w:vAlign w:val="center"/>
          </w:tcPr>
          <w:p>
            <w:pPr>
              <w:pStyle w:val="TableContents"/>
              <w:bidi w:val="0"/>
              <w:spacing w:before="0" w:after="283"/>
              <w:jc w:val="left"/>
              <w:rPr/>
            </w:pPr>
            <w:r>
              <w:rPr/>
            </w:r>
          </w:p>
        </w:tc>
        <w:tc>
          <w:tcPr>
            <w:tcW w:w="1370" w:type="dxa"/>
            <w:tcBorders/>
            <w:vAlign w:val="center"/>
          </w:tcPr>
          <w:p>
            <w:pPr>
              <w:pStyle w:val="TableContents"/>
              <w:bidi w:val="0"/>
              <w:spacing w:before="0" w:after="0"/>
              <w:jc w:val="left"/>
              <w:rPr/>
            </w:pPr>
            <w:r>
              <w:rPr/>
              <w:t xml:space="preserve">Name:   </w:t>
            </w:r>
          </w:p>
        </w:tc>
        <w:tc>
          <w:tcPr>
            <w:tcW w:w="2163" w:type="dxa"/>
            <w:tcBorders/>
            <w:vAlign w:val="center"/>
          </w:tcPr>
          <w:p>
            <w:pPr>
              <w:pStyle w:val="TableContents"/>
              <w:bidi w:val="0"/>
              <w:spacing w:before="0" w:after="283"/>
              <w:jc w:val="left"/>
              <w:rPr/>
            </w:pPr>
            <w:r>
              <w:rPr/>
              <w:t>Nathan Hodd</w:t>
            </w:r>
          </w:p>
        </w:tc>
      </w:tr>
      <w:tr>
        <w:trPr/>
        <w:tc>
          <w:tcPr>
            <w:tcW w:w="60" w:type="dxa"/>
            <w:tcBorders/>
            <w:vAlign w:val="center"/>
          </w:tcPr>
          <w:p>
            <w:pPr>
              <w:pStyle w:val="TableContents"/>
              <w:bidi w:val="0"/>
              <w:spacing w:before="0" w:after="283"/>
              <w:jc w:val="left"/>
              <w:rPr/>
            </w:pPr>
            <w:r>
              <w:rPr/>
              <w:t> </w:t>
            </w:r>
          </w:p>
        </w:tc>
        <w:tc>
          <w:tcPr>
            <w:tcW w:w="37" w:type="dxa"/>
            <w:tcBorders/>
            <w:vAlign w:val="center"/>
          </w:tcPr>
          <w:p>
            <w:pPr>
              <w:pStyle w:val="TableContents"/>
              <w:bidi w:val="0"/>
              <w:spacing w:before="0" w:after="283"/>
              <w:jc w:val="left"/>
              <w:rPr/>
            </w:pPr>
            <w:r>
              <w:rPr/>
            </w:r>
          </w:p>
        </w:tc>
        <w:tc>
          <w:tcPr>
            <w:tcW w:w="528" w:type="dxa"/>
            <w:tcBorders/>
            <w:vAlign w:val="center"/>
          </w:tcPr>
          <w:p>
            <w:pPr>
              <w:pStyle w:val="TableContents"/>
              <w:bidi w:val="0"/>
              <w:spacing w:before="0" w:after="283"/>
              <w:jc w:val="left"/>
              <w:rPr/>
            </w:pPr>
            <w:r>
              <w:rPr/>
            </w:r>
          </w:p>
        </w:tc>
        <w:tc>
          <w:tcPr>
            <w:tcW w:w="1370" w:type="dxa"/>
            <w:tcBorders/>
            <w:vAlign w:val="center"/>
          </w:tcPr>
          <w:p>
            <w:pPr>
              <w:pStyle w:val="TableContents"/>
              <w:bidi w:val="0"/>
              <w:spacing w:before="0" w:after="0"/>
              <w:jc w:val="left"/>
              <w:rPr/>
            </w:pPr>
            <w:r>
              <w:rPr/>
              <w:t xml:space="preserve">Title: </w:t>
            </w:r>
          </w:p>
        </w:tc>
        <w:tc>
          <w:tcPr>
            <w:tcW w:w="2163" w:type="dxa"/>
            <w:tcBorders/>
            <w:vAlign w:val="center"/>
          </w:tcPr>
          <w:p>
            <w:pPr>
              <w:pStyle w:val="TableContents"/>
              <w:bidi w:val="0"/>
              <w:spacing w:before="0" w:after="283"/>
              <w:jc w:val="left"/>
              <w:rPr/>
            </w:pPr>
            <w:r>
              <w:rPr/>
              <w:t>Agent</w:t>
            </w:r>
          </w:p>
        </w:tc>
      </w:tr>
    </w:tbl>
    <w:p>
      <w:pPr>
        <w:pStyle w:val="TextBody"/>
        <w:bidi w:val="0"/>
        <w:spacing w:before="0" w:after="0"/>
        <w:jc w:val="left"/>
        <w:rPr/>
      </w:pPr>
      <w:r>
        <w:rPr/>
      </w:r>
    </w:p>
    <w:p>
      <w:pPr>
        <w:pStyle w:val="TextBody"/>
        <w:bidi w:val="0"/>
        <w:spacing w:before="200" w:after="200"/>
        <w:jc w:val="center"/>
        <w:rPr>
          <w:rFonts w:ascii="Times New Roman" w:hAnsi="Times New Roman"/>
          <w:color w:val="000000"/>
          <w:sz w:val="16"/>
        </w:rPr>
      </w:pPr>
      <w:r>
        <w:rPr>
          <w:rFonts w:ascii="Times New Roman" w:hAnsi="Times New Roman"/>
          <w:color w:val="000000"/>
          <w:sz w:val="16"/>
        </w:rPr>
        <w:t>[</w:t>
      </w:r>
      <w:r>
        <w:rPr>
          <w:rFonts w:ascii="Times New Roman" w:hAnsi="Times New Roman"/>
          <w:i/>
          <w:color w:val="000000"/>
          <w:sz w:val="16"/>
        </w:rPr>
        <w:t>Signature Page to Supplemental Indenture</w:t>
      </w:r>
      <w:r>
        <w:rPr>
          <w:rFonts w:ascii="Times New Roman" w:hAnsi="Times New Roman"/>
          <w:color w:val="000000"/>
          <w:sz w:val="16"/>
        </w:rPr>
        <w:t>]</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bookmarkStart w:id="254" w:name="EXHIBITA"/>
      <w:bookmarkEnd w:id="254"/>
      <w:r>
        <w:rPr>
          <w:rFonts w:ascii="Times New Roman" w:hAnsi="Times New Roman"/>
          <w:b/>
          <w:color w:val="000000"/>
          <w:sz w:val="20"/>
        </w:rPr>
        <w:t>EXHIBIT 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5" w:name="zaaaa05dd79c54650b5b1cbe41a28954b"/>
      <w:bookmarkStart w:id="256" w:name="zaaaa05dd79c54650b5b1cbe41a28954b"/>
      <w:bookmarkEnd w:id="256"/>
    </w:p>
    <w:tbl>
      <w:tblPr>
        <w:tblW w:w="5125" w:type="dxa"/>
        <w:jc w:val="left"/>
        <w:tblInd w:w="0" w:type="dxa"/>
        <w:tblLayout w:type="fixed"/>
        <w:tblCellMar>
          <w:top w:w="0" w:type="dxa"/>
          <w:left w:w="0" w:type="dxa"/>
          <w:bottom w:w="0" w:type="dxa"/>
          <w:right w:w="0" w:type="dxa"/>
        </w:tblCellMar>
      </w:tblPr>
      <w:tblGrid>
        <w:gridCol w:w="2690"/>
        <w:gridCol w:w="2435"/>
      </w:tblGrid>
      <w:tr>
        <w:trPr/>
        <w:tc>
          <w:tcPr>
            <w:tcW w:w="2690" w:type="dxa"/>
            <w:tcBorders/>
            <w:vAlign w:val="center"/>
          </w:tcPr>
          <w:p>
            <w:pPr>
              <w:pStyle w:val="TableContents"/>
              <w:bidi w:val="0"/>
              <w:spacing w:before="0" w:after="0"/>
              <w:jc w:val="left"/>
              <w:rPr/>
            </w:pPr>
            <w:r>
              <w:rPr/>
              <w:t>ISIN: XS3325429580</w:t>
            </w:r>
          </w:p>
        </w:tc>
        <w:tc>
          <w:tcPr>
            <w:tcW w:w="2435" w:type="dxa"/>
            <w:tcBorders/>
            <w:vAlign w:val="center"/>
          </w:tcPr>
          <w:p>
            <w:pPr>
              <w:pStyle w:val="TableContents"/>
              <w:bidi w:val="0"/>
              <w:spacing w:before="0" w:after="283"/>
              <w:jc w:val="right"/>
              <w:rPr/>
            </w:pPr>
            <w:r>
              <w:rPr/>
              <w:t>PRINCIPAL AMOUNT</w:t>
            </w:r>
          </w:p>
        </w:tc>
      </w:tr>
      <w:tr>
        <w:trPr/>
        <w:tc>
          <w:tcPr>
            <w:tcW w:w="2690" w:type="dxa"/>
            <w:tcBorders/>
            <w:vAlign w:val="center"/>
          </w:tcPr>
          <w:p>
            <w:pPr>
              <w:pStyle w:val="TableContents"/>
              <w:bidi w:val="0"/>
              <w:spacing w:before="0" w:after="0"/>
              <w:jc w:val="left"/>
              <w:rPr/>
            </w:pPr>
            <w:r>
              <w:rPr/>
              <w:t>Common Code: 332542958</w:t>
            </w:r>
          </w:p>
        </w:tc>
        <w:tc>
          <w:tcPr>
            <w:tcW w:w="2435" w:type="dxa"/>
            <w:tcBorders/>
            <w:vAlign w:val="center"/>
          </w:tcPr>
          <w:p>
            <w:pPr>
              <w:pStyle w:val="TableContents"/>
              <w:bidi w:val="0"/>
              <w:spacing w:before="0" w:after="283"/>
              <w:jc w:val="right"/>
              <w:rPr/>
            </w:pPr>
            <w:r>
              <w:rPr/>
              <w:t>€</w:t>
            </w:r>
            <w:r>
              <w:rPr/>
              <w:t>____________</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REGISTERED NO. R-___</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VIATRIS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4.250% SENIOR NOTE DUE 2033</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Unless this certificate is presented by an authorized representative of Euroclear Bank S.A./N.V., Belgium (“Euroclear”) or Clearstream Banking, S.A., Luxembourg (“Clearstream”) to the Company or its agent for registration of transfer, exchange or payment, and any certificate issued is registered in the name of The Bank of New York Depository (Nominees) Limited as the nominee of The Bank of New York Mellon, London Branch, as common depositary for Euroclear and Clearstream, or their registered assigns, or such other name as requested by an authorized representative of Euroclear or Clearstream (and any payment is made to its authorized nominee or to such other entity as is requested by an authorized representative of Euroclear or Clearstream), ANY TRANSFER, PLEDGE OR OTHER USE HEREOF FOR VALUE OR OTHERWISE BY OR TO ANY PERSON IS WRONGFUL as the registered owner hereof has an interest herein.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summary of terms is subject to the information set forth on the reverse hereof:</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7" w:name="z06b2cae98db24e008fe8b66b6912ecb4"/>
      <w:bookmarkStart w:id="258" w:name="z06b2cae98db24e008fe8b66b6912ecb4"/>
      <w:bookmarkEnd w:id="258"/>
    </w:p>
    <w:tbl>
      <w:tblPr>
        <w:tblW w:w="4555" w:type="dxa"/>
        <w:jc w:val="left"/>
        <w:tblInd w:w="0" w:type="dxa"/>
        <w:tblLayout w:type="fixed"/>
        <w:tblCellMar>
          <w:top w:w="0" w:type="dxa"/>
          <w:left w:w="0" w:type="dxa"/>
          <w:bottom w:w="0" w:type="dxa"/>
          <w:right w:w="0" w:type="dxa"/>
        </w:tblCellMar>
      </w:tblPr>
      <w:tblGrid>
        <w:gridCol w:w="3200"/>
        <w:gridCol w:w="1355"/>
      </w:tblGrid>
      <w:tr>
        <w:trPr/>
        <w:tc>
          <w:tcPr>
            <w:tcW w:w="3200" w:type="dxa"/>
            <w:tcBorders/>
            <w:vAlign w:val="center"/>
          </w:tcPr>
          <w:p>
            <w:pPr>
              <w:pStyle w:val="TableContents"/>
              <w:bidi w:val="0"/>
              <w:spacing w:before="0" w:after="0"/>
              <w:jc w:val="both"/>
              <w:rPr/>
            </w:pPr>
            <w:r>
              <w:rPr/>
              <w:t>ORIGINAL ISSUE DATE:</w:t>
            </w:r>
          </w:p>
        </w:tc>
        <w:tc>
          <w:tcPr>
            <w:tcW w:w="1355" w:type="dxa"/>
            <w:tcBorders/>
            <w:vAlign w:val="center"/>
          </w:tcPr>
          <w:p>
            <w:pPr>
              <w:pStyle w:val="TableContents"/>
              <w:bidi w:val="0"/>
              <w:spacing w:before="0" w:after="0"/>
              <w:jc w:val="both"/>
              <w:rPr/>
            </w:pPr>
            <w:r>
              <w:rPr/>
              <w:t>June 17, 2026</w:t>
            </w:r>
          </w:p>
        </w:tc>
      </w:tr>
      <w:tr>
        <w:trPr/>
        <w:tc>
          <w:tcPr>
            <w:tcW w:w="3200" w:type="dxa"/>
            <w:tcBorders/>
            <w:vAlign w:val="center"/>
          </w:tcPr>
          <w:p>
            <w:pPr>
              <w:pStyle w:val="TableContents"/>
              <w:bidi w:val="0"/>
              <w:spacing w:before="0" w:after="0"/>
              <w:jc w:val="both"/>
              <w:rPr/>
            </w:pPr>
            <w:r>
              <w:rPr/>
              <w:t>MATURITY DATE:</w:t>
            </w:r>
          </w:p>
        </w:tc>
        <w:tc>
          <w:tcPr>
            <w:tcW w:w="1355" w:type="dxa"/>
            <w:tcBorders/>
            <w:vAlign w:val="center"/>
          </w:tcPr>
          <w:p>
            <w:pPr>
              <w:pStyle w:val="TableContents"/>
              <w:bidi w:val="0"/>
              <w:spacing w:before="0" w:after="0"/>
              <w:jc w:val="both"/>
              <w:rPr/>
            </w:pPr>
            <w:r>
              <w:rPr/>
              <w:t>June 17, 2033</w:t>
            </w:r>
          </w:p>
        </w:tc>
      </w:tr>
      <w:tr>
        <w:trPr/>
        <w:tc>
          <w:tcPr>
            <w:tcW w:w="3200" w:type="dxa"/>
            <w:tcBorders/>
            <w:vAlign w:val="center"/>
          </w:tcPr>
          <w:p>
            <w:pPr>
              <w:pStyle w:val="TableContents"/>
              <w:bidi w:val="0"/>
              <w:spacing w:before="0" w:after="0"/>
              <w:jc w:val="both"/>
              <w:rPr/>
            </w:pPr>
            <w:r>
              <w:rPr/>
              <w:t>INTEREST RATE:</w:t>
            </w:r>
          </w:p>
        </w:tc>
        <w:tc>
          <w:tcPr>
            <w:tcW w:w="1355" w:type="dxa"/>
            <w:tcBorders/>
            <w:vAlign w:val="center"/>
          </w:tcPr>
          <w:p>
            <w:pPr>
              <w:pStyle w:val="TableContents"/>
              <w:bidi w:val="0"/>
              <w:spacing w:before="0" w:after="0"/>
              <w:jc w:val="both"/>
              <w:rPr/>
            </w:pPr>
            <w:r>
              <w:rPr/>
              <w:t>4.250%</w:t>
            </w:r>
          </w:p>
        </w:tc>
      </w:tr>
      <w:tr>
        <w:trPr/>
        <w:tc>
          <w:tcPr>
            <w:tcW w:w="3200" w:type="dxa"/>
            <w:tcBorders/>
            <w:vAlign w:val="center"/>
          </w:tcPr>
          <w:p>
            <w:pPr>
              <w:pStyle w:val="TableContents"/>
              <w:bidi w:val="0"/>
              <w:spacing w:before="0" w:after="0"/>
              <w:jc w:val="both"/>
              <w:rPr/>
            </w:pPr>
            <w:r>
              <w:rPr/>
              <w:t>INTEREST PAYMENT DATE:</w:t>
            </w:r>
          </w:p>
        </w:tc>
        <w:tc>
          <w:tcPr>
            <w:tcW w:w="1355" w:type="dxa"/>
            <w:tcBorders/>
            <w:vAlign w:val="center"/>
          </w:tcPr>
          <w:p>
            <w:pPr>
              <w:pStyle w:val="TableContents"/>
              <w:bidi w:val="0"/>
              <w:spacing w:before="0" w:after="0"/>
              <w:jc w:val="both"/>
              <w:rPr/>
            </w:pPr>
            <w:r>
              <w:rPr/>
              <w:t>June 17</w:t>
            </w:r>
          </w:p>
        </w:tc>
      </w:tr>
      <w:tr>
        <w:trPr/>
        <w:tc>
          <w:tcPr>
            <w:tcW w:w="3200" w:type="dxa"/>
            <w:tcBorders/>
            <w:vAlign w:val="center"/>
          </w:tcPr>
          <w:p>
            <w:pPr>
              <w:pStyle w:val="TableContents"/>
              <w:bidi w:val="0"/>
              <w:spacing w:before="0" w:after="0"/>
              <w:jc w:val="both"/>
              <w:rPr/>
            </w:pPr>
            <w:r>
              <w:rPr/>
              <w:t>OPTIONAL REDEMPTION:</w:t>
            </w:r>
          </w:p>
        </w:tc>
        <w:tc>
          <w:tcPr>
            <w:tcW w:w="1355" w:type="dxa"/>
            <w:tcBorders/>
            <w:vAlign w:val="center"/>
          </w:tcPr>
          <w:p>
            <w:pPr>
              <w:pStyle w:val="TableContents"/>
              <w:bidi w:val="0"/>
              <w:spacing w:before="0" w:after="0"/>
              <w:jc w:val="both"/>
              <w:rPr/>
            </w:pPr>
            <w:r>
              <w:rPr/>
              <w:t>Yes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VIATRIS INC., a Delaware corporation (herein called the “Company,” which term includes any successor person under the indenture referred to on the reverse hereof), for value received, hereby promises to pay to The Bank of New York Depository (Nominees) Limited as the nominee of The Bank of New York Mellon, London Branch, as common depositary for Euroclear Bank S.A./N.V. and Clearstream Banking, S.A., or their registered assigns, the principal sum of €650,000,000 (Six Hundred Fifty Million Euro) on the Maturity Date of this Note, and to pay interest thereon from and including June 17, 2026, or from and including the last date in respect of which interest has been paid or provided for, as the case may be. Interest will be paid annually in arrears on the Interest Payment Date shown above, beginning on June 17, 2027 (except as provided below), at the Interest Rate per annum specified above, until the principal hereof is paid or made available for payment, and interest shall accrue on any overdue principal and on any overdue installment of interest (to the extent that the payment of such interest shall be legally enforceable) at the Interest Rate per annum shown above. The interest so payable and punctually paid or duly provided for on each Interest Payment Date will, as provided in such Indenture, be paid to the person in whose name this Note (or one or more predecessor Notes) is registered at the close of business on the relevant record date for such interest, which shall be the date that is the clearing system business day (for these purposes, Monday to Friday inclusive except December 25th and January 1st) immediately preceding such Interest Payment Date. The first payment of interest on this Note will be made on June 17, 2027 to the registered owner of this Note on the applicable record date, as described above. Any interest not punctually paid or duly provided for shall be payable as provided in the Indenture.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Beneficial owners of this Note will be paid in accordance with the procedures of Euroclear or Clearstream in effect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any payment otherwise required to be made in respect of this Note falls on a day that is not a Business Day, the payment of any required amount on such date shall be postponed to the next succeeding Business Day and no interest on such amount shall accrue for the period from such date to such next succeeding Business Day.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Interest on this Note will be computed on the basis of the actual number of days in the period for which interest is being calculated and the actual number of days from and including the last date on which interest was paid on this Note (or June 17, 2026 if no interest has been paid on this Note), to but excluding the next scheduled Interest Payment Date. This payment convention is referred to as ACTUAL/ACTUAL (ICMA) as defined in the rulebook of the International Capital Market Association.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UNTIL IT IS EXCHANGED IN WHOLE OR IN PART FOR INDIVIDUAL CERTIFICATES EVIDENCING THE SECURITIES REPRESENTED HEREBY IN DEFINITIVE FORM, THIS NOTE MAY BE TRANSFERRED IN WHOLE, BUT NOT IN PART, AND ONLY BY EUROCLEAR/CLEARSTREAM TO A NOMINEE OF EUROCLEAR/CLEARSTREAM OR BY A NOMINEE OF EUROCLEAR/ CLEARSTREAM TO EUROCLEAR/CLEARSTREAM OR ANOTHER NOMINEE OF EUROCLEAR/CLEARSTREAM, OR BY EUROCLEAR/CLEARSTREAM OR ANY SUCH NOMINEE TO A SUCCESSOR DEPOSITARY OR TO A NOMINEE OF SUCH SUCCESSOR DEPOSITARY.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ownership of beneficial interests in this Note will be limited to participants in Euroclear or Clearstream or persons that hold interests through such participants, and the transfer of beneficial interests herein will be effected only through records maintained by Euroclear or Clearstream (with respect to interests of participants in Euroclear or Clearstream) or by participants in Euroclear or Clearstream or persons that may hold interests through such participants (with respect to persons other than participants in Euroclear or Clearstream).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Reference is hereby made to the further provisions of this Note set forth on the reverse hereof, which further provisions shall for all purposes have the same effect as though fully set forth at this place.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Note shall not be valid until the certificate of authentication hereon shall have been manually or electronically signed by or on behalf of the Trustee or an authenticating agent under the Indenture referred to on the reverse hereof.</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Pages to Follow</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Date of Authentication: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is one of the Global 2033 Notes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referred to in the within-mentioned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Supplemental Indenture: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Dated: June 17,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9" w:name="z4a6e012fb4af476bad31f7995cdc72b7"/>
      <w:bookmarkStart w:id="260" w:name="z4a6e012fb4af476bad31f7995cdc72b7"/>
      <w:bookmarkEnd w:id="260"/>
    </w:p>
    <w:tbl>
      <w:tblPr>
        <w:tblW w:w="1669" w:type="dxa"/>
        <w:jc w:val="left"/>
        <w:tblInd w:w="0" w:type="dxa"/>
        <w:tblLayout w:type="fixed"/>
        <w:tblCellMar>
          <w:top w:w="0" w:type="dxa"/>
          <w:left w:w="0" w:type="dxa"/>
          <w:bottom w:w="0" w:type="dxa"/>
          <w:right w:w="0" w:type="dxa"/>
        </w:tblCellMar>
      </w:tblPr>
      <w:tblGrid>
        <w:gridCol w:w="1467"/>
        <w:gridCol w:w="142"/>
        <w:gridCol w:w="60"/>
      </w:tblGrid>
      <w:tr>
        <w:trPr/>
        <w:tc>
          <w:tcPr>
            <w:tcW w:w="1609" w:type="dxa"/>
            <w:gridSpan w:val="2"/>
            <w:tcBorders/>
            <w:vAlign w:val="center"/>
          </w:tcPr>
          <w:p>
            <w:pPr>
              <w:pStyle w:val="TableContents"/>
              <w:bidi w:val="0"/>
              <w:spacing w:before="0" w:after="0"/>
              <w:jc w:val="both"/>
              <w:rPr>
                <w:b/>
              </w:rPr>
            </w:pPr>
            <w:r>
              <w:rPr>
                <w:b/>
              </w:rPr>
              <w:t>VIATRIS INC.</w:t>
            </w:r>
          </w:p>
        </w:tc>
        <w:tc>
          <w:tcPr>
            <w:tcW w:w="60"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67" w:type="dxa"/>
            <w:tcBorders/>
            <w:vAlign w:val="center"/>
          </w:tcPr>
          <w:p>
            <w:pPr>
              <w:pStyle w:val="TableContents"/>
              <w:bidi w:val="0"/>
              <w:spacing w:before="0" w:after="0"/>
              <w:jc w:val="both"/>
              <w:rPr>
                <w:b/>
              </w:rPr>
            </w:pPr>
            <w:r>
              <w:rPr>
                <w:b/>
              </w:rPr>
              <w:t>By:</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67" w:type="dxa"/>
            <w:tcBorders/>
            <w:vAlign w:val="center"/>
          </w:tcPr>
          <w:p>
            <w:pPr>
              <w:pStyle w:val="TableContents"/>
              <w:bidi w:val="0"/>
              <w:spacing w:before="0" w:after="0"/>
              <w:jc w:val="both"/>
              <w:rPr>
                <w:b/>
              </w:rPr>
            </w:pPr>
            <w:r>
              <w:rPr>
                <w:b/>
              </w:rPr>
              <w:t>Name:</w:t>
            </w:r>
          </w:p>
        </w:tc>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67" w:type="dxa"/>
            <w:tcBorders/>
            <w:vAlign w:val="center"/>
          </w:tcPr>
          <w:p>
            <w:pPr>
              <w:pStyle w:val="TableContents"/>
              <w:bidi w:val="0"/>
              <w:spacing w:before="0" w:after="0"/>
              <w:jc w:val="both"/>
              <w:rPr>
                <w:b/>
              </w:rPr>
            </w:pPr>
            <w:r>
              <w:rPr>
                <w:b/>
              </w:rPr>
              <w:t>Title:</w:t>
            </w:r>
          </w:p>
        </w:tc>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Date of Authentication: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is one of the Global 2033 Notes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referred to in the within-mentioned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Supplemental Indenture: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Dated: June 17, 2026</w:t>
      </w:r>
    </w:p>
    <w:p>
      <w:pPr>
        <w:pStyle w:val="TextBody"/>
        <w:bidi w:val="0"/>
        <w:spacing w:before="0" w:after="0"/>
        <w:jc w:val="both"/>
        <w:rPr/>
      </w:pPr>
      <w:r>
        <w:rPr/>
      </w:r>
    </w:p>
    <w:tbl>
      <w:tblPr>
        <w:tblW w:w="5389" w:type="dxa"/>
        <w:jc w:val="left"/>
        <w:tblInd w:w="0" w:type="dxa"/>
        <w:tblLayout w:type="fixed"/>
        <w:tblCellMar>
          <w:top w:w="0" w:type="dxa"/>
          <w:left w:w="0" w:type="dxa"/>
          <w:bottom w:w="0" w:type="dxa"/>
          <w:right w:w="0" w:type="dxa"/>
        </w:tblCellMar>
      </w:tblPr>
      <w:tblGrid>
        <w:gridCol w:w="4856"/>
        <w:gridCol w:w="473"/>
        <w:gridCol w:w="60"/>
      </w:tblGrid>
      <w:tr>
        <w:trPr/>
        <w:tc>
          <w:tcPr>
            <w:tcW w:w="5329" w:type="dxa"/>
            <w:gridSpan w:val="2"/>
            <w:tcBorders/>
            <w:vAlign w:val="center"/>
          </w:tcPr>
          <w:p>
            <w:pPr>
              <w:pStyle w:val="TableContents"/>
              <w:bidi w:val="0"/>
              <w:spacing w:before="0" w:after="283"/>
              <w:jc w:val="left"/>
              <w:rPr/>
            </w:pPr>
            <w:r>
              <w:rPr>
                <w:b/>
              </w:rPr>
              <w:t>THE BANK OF NEW YORK MELLON</w:t>
            </w:r>
            <w:r>
              <w:rPr/>
              <w:t>, as Trustee</w:t>
            </w:r>
          </w:p>
        </w:tc>
        <w:tc>
          <w:tcPr>
            <w:tcW w:w="60" w:type="dxa"/>
            <w:tcBorders/>
            <w:vAlign w:val="center"/>
          </w:tcPr>
          <w:p>
            <w:pPr>
              <w:pStyle w:val="TableContents"/>
              <w:bidi w:val="0"/>
              <w:spacing w:before="0" w:after="283"/>
              <w:jc w:val="left"/>
              <w:rPr/>
            </w:pPr>
            <w:r>
              <w:rPr/>
              <w:t> </w:t>
            </w:r>
          </w:p>
        </w:tc>
      </w:tr>
      <w:tr>
        <w:trPr/>
        <w:tc>
          <w:tcPr>
            <w:tcW w:w="53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856" w:type="dxa"/>
            <w:tcBorders/>
            <w:vAlign w:val="center"/>
          </w:tcPr>
          <w:p>
            <w:pPr>
              <w:pStyle w:val="TableContents"/>
              <w:bidi w:val="0"/>
              <w:spacing w:before="0" w:after="0"/>
              <w:jc w:val="both"/>
              <w:rPr>
                <w:b/>
              </w:rPr>
            </w:pPr>
            <w:r>
              <w:rPr>
                <w:b/>
              </w:rPr>
              <w:t>By:</w:t>
            </w:r>
          </w:p>
        </w:tc>
        <w:tc>
          <w:tcPr>
            <w:tcW w:w="47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856" w:type="dxa"/>
            <w:tcBorders/>
            <w:vAlign w:val="center"/>
          </w:tcPr>
          <w:p>
            <w:pPr>
              <w:pStyle w:val="TableContents"/>
              <w:bidi w:val="0"/>
              <w:spacing w:before="0" w:after="0"/>
              <w:jc w:val="both"/>
              <w:rPr>
                <w:b/>
              </w:rPr>
            </w:pPr>
            <w:r>
              <w:rPr>
                <w:b/>
              </w:rPr>
              <w:t>Name:</w:t>
            </w:r>
          </w:p>
        </w:tc>
        <w:tc>
          <w:tcPr>
            <w:tcW w:w="4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856" w:type="dxa"/>
            <w:tcBorders/>
            <w:vAlign w:val="center"/>
          </w:tcPr>
          <w:p>
            <w:pPr>
              <w:pStyle w:val="TableContents"/>
              <w:bidi w:val="0"/>
              <w:spacing w:before="0" w:after="0"/>
              <w:jc w:val="both"/>
              <w:rPr>
                <w:b/>
              </w:rPr>
            </w:pPr>
            <w:r>
              <w:rPr>
                <w:b/>
              </w:rPr>
              <w:t>Title:</w:t>
            </w:r>
          </w:p>
        </w:tc>
        <w:tc>
          <w:tcPr>
            <w:tcW w:w="4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(Reverse of Note)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VIATRIS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4.250% SENIOR NOTES DUE 2033</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(herein called the “Notes”)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b/>
          <w:i/>
          <w:smallCaps/>
          <w:color w:val="000000"/>
          <w:sz w:val="20"/>
        </w:rPr>
        <w:t>General</w:t>
      </w:r>
      <w:r>
        <w:rPr>
          <w:rFonts w:ascii="Times New Roman" w:hAnsi="Times New Roman"/>
          <w:color w:val="000000"/>
          <w:sz w:val="20"/>
        </w:rPr>
        <w:t>. This Note is one of a duly authorized series of debt securities of Viatris Inc., a Delaware corporation (the “Company”), issued under and pursuant to an indenture, dated as of June 17, 2026, by and among the Company, the guarantors from time to time party thereto and The Bank of New York Mellon, as trustee (the “Trustee”), as supplemented by a First Supplemental Indenture dated as of June 17, 2026 (the “Base Indenture” and, as so supplemented by the First Supplemental Indenture, the “Indenture”), by and among the Company, the guarantors from time to time party thereto (the “Guarantors”), and the Trustee, to which Indenture and all other indentures supplemental thereto reference is hereby made for a description of the rights, limitations of rights, obligations, duties and immunities thereunder of the Trustee, the Company, the Guarantors and the holders of the Notes, this Note being subject to all terms therein contained. This Note is an unsecured obligation of the Company and will rank equally with all other unsecured and unsubordinated indebtedness for borrowed money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Guarantors have unconditionally guaranteed the Notes on an unsecured and unsubordinated basis on the terms and subject to the conditions of the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b/>
          <w:i/>
          <w:smallCaps/>
          <w:color w:val="000000"/>
          <w:sz w:val="20"/>
        </w:rPr>
        <w:t>Payments</w:t>
      </w:r>
      <w:r>
        <w:rPr>
          <w:rFonts w:ascii="Times New Roman" w:hAnsi="Times New Roman"/>
          <w:i/>
          <w:smallCaps/>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Interest on this Note will be payable annually in arrears on June 17 of each year (the “Interest Payment Date”), beginning on June 17, 2027.</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Interest on this Note will accrue from the last Interest Payment Date on which interest was paid on this Note, or if no interest has been paid on this Note, from the June 17, 2026.</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All payments of interest and principal, including payments made upon any redemption of this Note, will be payable in euro. If, on or after June 12, 2026, the euro is unavailable to the Company due to the imposition of exchange controls or other circumstances beyond the Company’s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this Note will be made in U.S. dollars until the euro is again available to the Company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euro/U.S. dollar exchange rate available on or prior to the second Business Day prior to the relevant payment date, as reported by Bloomberg. Any payment in respect of this Note so made in U.S. dollars will not constitute an Event of Default under this Note or the Indenture. Neither the Trustee nor any paying agent shall have any responsibility for any calculation or conversion in connection with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Bank of New York Mellon, London Branch will initially act as paying agent for this Note, and the Trustee will initially act as transfer agent, security registrar and trustee for this Note. The Company may at any time designate additional paying agents or rescind the designations or approve a change in the offices where they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b/>
          <w:i/>
          <w:smallCaps/>
          <w:color w:val="000000"/>
          <w:sz w:val="20"/>
        </w:rPr>
        <w:t>Restrictive Covenants</w:t>
      </w:r>
      <w:r>
        <w:rPr>
          <w:rFonts w:ascii="Times New Roman" w:hAnsi="Times New Roman"/>
          <w:color w:val="000000"/>
          <w:sz w:val="20"/>
        </w:rPr>
        <w:t>. This Note is an unsecured general obligation of the Company and is guaranteed by the Guarantors as provided in the Indenture. The Indenture does not limit other unsecured debt. It does limit certain debt and sale leaseback transactions. The limitations are subject to a number of important definitions, qualifications and exceptions set forth in the Indenture.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b/>
          <w:i/>
          <w:smallCaps/>
          <w:color w:val="000000"/>
          <w:sz w:val="20"/>
        </w:rPr>
        <w:t>Optional Redemption</w:t>
      </w:r>
      <w:r>
        <w:rPr>
          <w:rFonts w:ascii="Times New Roman" w:hAnsi="Times New Roman"/>
          <w:color w:val="000000"/>
          <w:sz w:val="20"/>
        </w:rPr>
        <w:t>. The Notes are subject to optional redemption, including optional redemption for tax reasons, at any time prior to the Schedule Maturity Date, pursuant to the terms set forth in Article 4 of the First Supplemental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b/>
          <w:i/>
          <w:smallCaps/>
          <w:color w:val="000000"/>
          <w:sz w:val="20"/>
        </w:rPr>
        <w:t>Payment of Additional Amounts</w:t>
      </w:r>
      <w:r>
        <w:rPr>
          <w:rFonts w:ascii="Times New Roman" w:hAnsi="Times New Roman"/>
          <w:color w:val="000000"/>
          <w:sz w:val="20"/>
        </w:rPr>
        <w:t xml:space="preserve">. The Company or, if applicable, any Guarantor pursuant to its Guarantee of this Note under the Indenture will, subject to the exceptions and limitations set forth below, pay as additional interest on this Note or under its Guarantee in respect of this Note, as applicable, such additional amounts as are necessary in order that the net payment by the Company, any Guarantor or a paying agent of the principal of and interest on this Note or under its Guarantee in respect of this Note, as applicable, to a holder, after withholding or deduction for any present or future tax, assessment or other governmental charge imposed by the United States, the Netherlands or any other jurisdiction in which the Company or any Guarantor or, in each case, any successor person substituted in accordance with the Indenture may be organized or resident for tax purposes, as applicable, or any political subdivision or taxing authority thereof or therein (each a “Relevant Taxing Jurisdiction”), will not be less than the amount provided in this Note or under the Guarantee in respect of this Note, as applicable, to be then due and payable; </w:t>
      </w:r>
      <w:r>
        <w:rPr>
          <w:rFonts w:ascii="Times New Roman" w:hAnsi="Times New Roman"/>
          <w:i/>
          <w:color w:val="000000"/>
          <w:sz w:val="20"/>
        </w:rPr>
        <w:t>provided</w:t>
      </w:r>
      <w:r>
        <w:rPr>
          <w:rFonts w:ascii="Times New Roman" w:hAnsi="Times New Roman"/>
          <w:color w:val="000000"/>
          <w:sz w:val="20"/>
        </w:rPr>
        <w:t>, that the foregoing obligation to pay additional amounts shall not apply: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1" w:name="z8e3e3ef9990c49f1a2571ff6d52913d7"/>
      <w:bookmarkStart w:id="262" w:name="z8e3e3ef9990c49f1a2571ff6d52913d7"/>
      <w:bookmarkEnd w:id="262"/>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(1)</w:t>
            </w:r>
          </w:p>
        </w:tc>
        <w:tc>
          <w:tcPr>
            <w:tcW w:w="9895" w:type="dxa"/>
            <w:tcBorders/>
            <w:vAlign w:val="center"/>
          </w:tcPr>
          <w:p>
            <w:pPr>
              <w:pStyle w:val="TableContents"/>
              <w:bidi w:val="0"/>
              <w:spacing w:before="0" w:after="0"/>
              <w:jc w:val="both"/>
              <w:rPr/>
            </w:pPr>
            <w:r>
              <w:rPr/>
              <w:t>to any tax, assessment or other governmental charge that is imposed or withheld solely by reason of the holder, or a fiduciary, settlor, beneficiary, member or shareholder of the holder if the holder is an estate, trust, partnership or corporation, or a person holding a power over an estate or trust administered by a fiduciary holder, being considered as: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3" w:name="z9334a4235dcd44c589945063d26c4fa3"/>
      <w:bookmarkStart w:id="264" w:name="z9334a4235dcd44c589945063d26c4fa3"/>
      <w:bookmarkEnd w:id="264"/>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(a)</w:t>
            </w:r>
          </w:p>
        </w:tc>
        <w:tc>
          <w:tcPr>
            <w:tcW w:w="9888" w:type="dxa"/>
            <w:tcBorders/>
            <w:vAlign w:val="center"/>
          </w:tcPr>
          <w:p>
            <w:pPr>
              <w:pStyle w:val="TableContents"/>
              <w:bidi w:val="0"/>
              <w:spacing w:before="0" w:after="0"/>
              <w:jc w:val="both"/>
              <w:rPr/>
            </w:pPr>
            <w:r>
              <w:rPr/>
              <w:t>being or having been present or engaged in a trade or business in the Relevant Taxing Jurisdiction or having had a permanent establishment in the Relevant Taxing Jurisdiction;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5" w:name="z87d59956f00f4760bcd362d9fd7f5319"/>
      <w:bookmarkStart w:id="266" w:name="z87d59956f00f4760bcd362d9fd7f5319"/>
      <w:bookmarkEnd w:id="266"/>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0"/>
              <w:jc w:val="both"/>
              <w:rPr/>
            </w:pPr>
            <w:r>
              <w:rPr/>
              <w:t>having a current or former connection with the Relevant Taxing Jurisdiction (other than a connection arising solely as a result of the ownership of this Note or the receipt of any payment or the enforcement of any rights hereunder), including a connection as a citizen or resident of the Relevant Taxing Jurisdiction;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7" w:name="z5c644636900f4d5790c2e58655947780"/>
      <w:bookmarkStart w:id="268" w:name="z5c644636900f4d5790c2e58655947780"/>
      <w:bookmarkEnd w:id="268"/>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0"/>
              <w:jc w:val="both"/>
              <w:rPr/>
            </w:pPr>
            <w:r>
              <w:rPr/>
              <w:t>being or having been a personal holding company, a passive foreign investment company or a controlled foreign corporation with respect to the United States or a corporation that has accumulated earnings to avoid United States federal income tax;</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9" w:name="z69768df83abd4c0ca54fda9997c49a89"/>
      <w:bookmarkStart w:id="270" w:name="z69768df83abd4c0ca54fda9997c49a89"/>
      <w:bookmarkEnd w:id="270"/>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0"/>
              <w:jc w:val="both"/>
              <w:rPr/>
            </w:pPr>
            <w:r>
              <w:rPr/>
              <w:t>being or having been a “10-percent shareholder” of the Company or any Guarantor as defined in section 871(h)(3) of the United States Internal Revenue Code of 1986, as amended (the “Code”), or any successor provision;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1" w:name="zdc69dd6afdba408a962eb49fe314cbe0"/>
      <w:bookmarkStart w:id="272" w:name="zdc69dd6afdba408a962eb49fe314cbe0"/>
      <w:bookmarkEnd w:id="272"/>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pPr>
            <w:r>
              <w:rPr/>
              <w:t>(e)</w:t>
            </w:r>
          </w:p>
        </w:tc>
        <w:tc>
          <w:tcPr>
            <w:tcW w:w="9936" w:type="dxa"/>
            <w:tcBorders/>
            <w:vAlign w:val="center"/>
          </w:tcPr>
          <w:p>
            <w:pPr>
              <w:pStyle w:val="TableContents"/>
              <w:bidi w:val="0"/>
              <w:spacing w:before="0" w:after="0"/>
              <w:jc w:val="both"/>
              <w:rPr/>
            </w:pPr>
            <w:r>
              <w:rPr/>
              <w:t>being a bank receiving payments on an extension of credit made pursuant to a loan agreement entered into in the ordinary course of its trade or business, within the meaning of section 881(c)(3)(A) of the Code or any successor provision;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3" w:name="z886d0251570546e2b0879c2493ed5e0b"/>
      <w:bookmarkStart w:id="274" w:name="z886d0251570546e2b0879c2493ed5e0b"/>
      <w:bookmarkEnd w:id="274"/>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both"/>
              <w:rPr/>
            </w:pPr>
            <w:r>
              <w:rPr/>
              <w:t>to any holder that is not the sole beneficial owner of the Notes, or a portion of the Notes, or that is a fiduciary or partnership, but only to the extent that a beneficiary or settlor with respect to the fiduciary, a beneficial owner or member of the partnership would not have been entitled to the payment of an additional amount had the beneficiary, settlor, beneficial owner or member received directly its beneficial or distributive share of the payment;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75" w:name="z16c4ccb8a2d84e318529018618f0947b"/>
      <w:bookmarkStart w:id="276" w:name="z16c4ccb8a2d84e318529018618f0947b"/>
      <w:bookmarkEnd w:id="276"/>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0"/>
              <w:jc w:val="both"/>
              <w:rPr/>
            </w:pPr>
            <w:r>
              <w:rPr/>
              <w:t>to any tax, assessment or other governmental charge that is imposed or otherwise withheld solely by reason of a failure of the holder or any other person to comply with certification, identification or information reporting requirements concerning the nationality, residence, identity or connection with the Relevant Taxing Jurisdiction of the holder or beneficial owner of the Notes, if compliance is required by statute, by regulation of the Relevant Taxing Jurisdiction or any taxing authority therein or by an applicable income tax treaty to which the Relevant Taxing Jurisdiction is a party as a precondition to exemption from such tax, assessment or other governmental charge;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7" w:name="za9516fbb52d845cc880f3eb6901dc46b"/>
      <w:bookmarkStart w:id="278" w:name="za9516fbb52d845cc880f3eb6901dc46b"/>
      <w:bookmarkEnd w:id="278"/>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pPr>
            <w:r>
              <w:rPr/>
            </w:r>
          </w:p>
        </w:tc>
        <w:tc>
          <w:tcPr>
            <w:tcW w:w="263" w:type="dxa"/>
            <w:tcBorders/>
            <w:vAlign w:val="center"/>
          </w:tcPr>
          <w:p>
            <w:pPr>
              <w:pStyle w:val="TableContents"/>
              <w:bidi w:val="0"/>
              <w:spacing w:before="0" w:after="283"/>
              <w:jc w:val="left"/>
              <w:rPr/>
            </w:pPr>
            <w:r>
              <w:rPr/>
              <w:t>(4)</w:t>
            </w:r>
          </w:p>
        </w:tc>
        <w:tc>
          <w:tcPr>
            <w:tcW w:w="9904" w:type="dxa"/>
            <w:tcBorders/>
            <w:vAlign w:val="center"/>
          </w:tcPr>
          <w:p>
            <w:pPr>
              <w:pStyle w:val="TableContents"/>
              <w:bidi w:val="0"/>
              <w:spacing w:before="0" w:after="0"/>
              <w:jc w:val="both"/>
              <w:rPr/>
            </w:pPr>
            <w:r>
              <w:rPr/>
              <w:t>to any tax, assessment or other governmental charge that is imposed otherwise than by withholding by the Company or a paying agent from the payment;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9" w:name="z62bcd0da7cea470f970784167e80da3f"/>
      <w:bookmarkStart w:id="280" w:name="z62bcd0da7cea470f970784167e80da3f"/>
      <w:bookmarkEnd w:id="280"/>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0"/>
              <w:jc w:val="both"/>
              <w:rPr/>
            </w:pPr>
            <w:r>
              <w:rPr/>
              <w:t>to any tax, assessment or other governmental charge that is imposed or withheld solely by reason of a change in law, regulation, or administrative or judicial interpretation that becomes effective after the payment becomes due or is duly provided for, whichever occurs later;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1" w:name="z80cf85d7f06a48448a199c1df3e89b39"/>
      <w:bookmarkStart w:id="282" w:name="z80cf85d7f06a48448a199c1df3e89b39"/>
      <w:bookmarkEnd w:id="282"/>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pPr>
            <w:r>
              <w:rPr/>
            </w:r>
          </w:p>
        </w:tc>
        <w:tc>
          <w:tcPr>
            <w:tcW w:w="268" w:type="dxa"/>
            <w:tcBorders/>
            <w:vAlign w:val="center"/>
          </w:tcPr>
          <w:p>
            <w:pPr>
              <w:pStyle w:val="TableContents"/>
              <w:bidi w:val="0"/>
              <w:spacing w:before="0" w:after="283"/>
              <w:jc w:val="left"/>
              <w:rPr/>
            </w:pPr>
            <w:r>
              <w:rPr/>
              <w:t>(6)</w:t>
            </w:r>
          </w:p>
        </w:tc>
        <w:tc>
          <w:tcPr>
            <w:tcW w:w="9899" w:type="dxa"/>
            <w:tcBorders/>
            <w:vAlign w:val="center"/>
          </w:tcPr>
          <w:p>
            <w:pPr>
              <w:pStyle w:val="TableContents"/>
              <w:bidi w:val="0"/>
              <w:spacing w:before="0" w:after="0"/>
              <w:jc w:val="both"/>
              <w:rPr/>
            </w:pPr>
            <w:r>
              <w:rPr/>
              <w:t>to any estate, inheritance, gift, sales, excise, transfer, wealth or personal property tax or similar tax, assessment or other governmental charge;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3" w:name="zb2c7b549cffd4b928e9de2e810920697"/>
      <w:bookmarkStart w:id="284" w:name="zb2c7b549cffd4b928e9de2e810920697"/>
      <w:bookmarkEnd w:id="284"/>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pPr>
            <w:r>
              <w:rPr/>
              <w:t>(7)</w:t>
            </w:r>
          </w:p>
        </w:tc>
        <w:tc>
          <w:tcPr>
            <w:tcW w:w="9930" w:type="dxa"/>
            <w:tcBorders/>
            <w:vAlign w:val="center"/>
          </w:tcPr>
          <w:p>
            <w:pPr>
              <w:pStyle w:val="TableContents"/>
              <w:bidi w:val="0"/>
              <w:spacing w:before="0" w:after="0"/>
              <w:jc w:val="both"/>
              <w:rPr/>
            </w:pPr>
            <w:r>
              <w:rPr/>
              <w:t>to any t</w:t>
            </w:r>
            <w:r>
              <w:rPr>
                <w:color w:val="000000"/>
              </w:rPr>
              <w:t>a</w:t>
            </w:r>
            <w:r>
              <w:rPr/>
              <w:t>x, assessment or other governmental charge withheld by any paying agent (which term may include us) from any payment of principal of or interest on any Note, if the holder or beneficial owner would have been able to avoid such withholding by presenting the Note to another available payment agent;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5" w:name="zd35351a2db0c4e9ab147ea761afa3f1d"/>
      <w:bookmarkStart w:id="286" w:name="zd35351a2db0c4e9ab147ea761afa3f1d"/>
      <w:bookmarkEnd w:id="286"/>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pPr>
            <w:r>
              <w:rPr/>
              <w:t>(8)</w:t>
            </w:r>
          </w:p>
        </w:tc>
        <w:tc>
          <w:tcPr>
            <w:tcW w:w="9931" w:type="dxa"/>
            <w:tcBorders/>
            <w:vAlign w:val="center"/>
          </w:tcPr>
          <w:p>
            <w:pPr>
              <w:pStyle w:val="TableContents"/>
              <w:bidi w:val="0"/>
              <w:spacing w:before="0" w:after="0"/>
              <w:jc w:val="both"/>
              <w:rPr/>
            </w:pPr>
            <w:r>
              <w:rPr/>
              <w:t>to any tax, assessment or other governmental charge that would not have been so imposed or withheld but for the presentation by the holder of a Note for payment on a date more than 30 days after the date on which such payment became due and payable or the date on which payment thereof is duly provided for, whichever occurs later;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7" w:name="z96a3b48cc3184fac9a5245b38453b7d9"/>
      <w:bookmarkStart w:id="288" w:name="z96a3b48cc3184fac9a5245b38453b7d9"/>
      <w:bookmarkEnd w:id="288"/>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pPr>
            <w:r>
              <w:rPr/>
            </w:r>
          </w:p>
        </w:tc>
        <w:tc>
          <w:tcPr>
            <w:tcW w:w="224" w:type="dxa"/>
            <w:tcBorders/>
            <w:vAlign w:val="center"/>
          </w:tcPr>
          <w:p>
            <w:pPr>
              <w:pStyle w:val="TableContents"/>
              <w:bidi w:val="0"/>
              <w:spacing w:before="0" w:after="283"/>
              <w:jc w:val="left"/>
              <w:rPr/>
            </w:pPr>
            <w:r>
              <w:rPr/>
              <w:t>(9)</w:t>
            </w:r>
          </w:p>
        </w:tc>
        <w:tc>
          <w:tcPr>
            <w:tcW w:w="9943" w:type="dxa"/>
            <w:tcBorders/>
            <w:vAlign w:val="center"/>
          </w:tcPr>
          <w:p>
            <w:pPr>
              <w:pStyle w:val="TableContents"/>
              <w:bidi w:val="0"/>
              <w:spacing w:before="0" w:after="0"/>
              <w:jc w:val="both"/>
              <w:rPr/>
            </w:pPr>
            <w:r>
              <w:rPr/>
              <w:t>to any tax, assessment or other governmental charge imposed pursuant to sections 1471 through 1474 of the Code (or any regulations or agreements thereunder or official interpretations thereof, or any amended or successor provisions), any agreement entered into pursuant to section 1471(b) of the Code, or any intergovernmental agreement between the United States and another jurisdiction facilitating the implementation thereof (or any law, regulation, or other official guidance enacted in any jurisdiction implementing sections 1471 through 1474 of the Code or implementing such an intergovernmental agreement in connection with sections 1471 through 1474 of the Code);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9" w:name="z9e26a22241054df3b6db1afb79752eb4"/>
      <w:bookmarkStart w:id="290" w:name="z9e26a22241054df3b6db1afb79752eb4"/>
      <w:bookmarkEnd w:id="290"/>
    </w:p>
    <w:tbl>
      <w:tblPr>
        <w:tblW w:w="10205" w:type="dxa"/>
        <w:jc w:val="left"/>
        <w:tblInd w:w="0" w:type="dxa"/>
        <w:tblLayout w:type="fixed"/>
        <w:tblCellMar>
          <w:top w:w="0" w:type="dxa"/>
          <w:left w:w="0" w:type="dxa"/>
          <w:bottom w:w="0" w:type="dxa"/>
          <w:right w:w="0" w:type="dxa"/>
        </w:tblCellMar>
      </w:tblPr>
      <w:tblGrid>
        <w:gridCol w:w="38"/>
        <w:gridCol w:w="387"/>
        <w:gridCol w:w="9780"/>
      </w:tblGrid>
      <w:tr>
        <w:trPr/>
        <w:tc>
          <w:tcPr>
            <w:tcW w:w="38" w:type="dxa"/>
            <w:tcBorders/>
            <w:vAlign w:val="center"/>
          </w:tcPr>
          <w:p>
            <w:pPr>
              <w:pStyle w:val="TableContents"/>
              <w:bidi w:val="0"/>
              <w:spacing w:before="0" w:after="283"/>
              <w:jc w:val="left"/>
              <w:rPr/>
            </w:pPr>
            <w:r>
              <w:rPr/>
            </w:r>
          </w:p>
        </w:tc>
        <w:tc>
          <w:tcPr>
            <w:tcW w:w="387" w:type="dxa"/>
            <w:tcBorders/>
            <w:vAlign w:val="center"/>
          </w:tcPr>
          <w:p>
            <w:pPr>
              <w:pStyle w:val="TableContents"/>
              <w:bidi w:val="0"/>
              <w:spacing w:before="0" w:after="283"/>
              <w:jc w:val="left"/>
              <w:rPr/>
            </w:pPr>
            <w:r>
              <w:rPr/>
              <w:t>(10)</w:t>
            </w:r>
          </w:p>
        </w:tc>
        <w:tc>
          <w:tcPr>
            <w:tcW w:w="9780" w:type="dxa"/>
            <w:tcBorders/>
            <w:vAlign w:val="center"/>
          </w:tcPr>
          <w:p>
            <w:pPr>
              <w:pStyle w:val="TableContents"/>
              <w:bidi w:val="0"/>
              <w:spacing w:before="0" w:after="0"/>
              <w:jc w:val="both"/>
              <w:rPr/>
            </w:pPr>
            <w:r>
              <w:rPr/>
              <w:t>to any tax, assessment or other governmental charge imposed pursuant to the Dutch Withholding Tax Act 2021 (</w:t>
            </w:r>
            <w:r>
              <w:rPr>
                <w:i/>
              </w:rPr>
              <w:t>Wet bronbelasting 2021</w:t>
            </w:r>
            <w:r>
              <w:rPr/>
              <w:t>);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1" w:name="z2db502fe5b97410e8c4e4527e6f39ec7"/>
      <w:bookmarkStart w:id="292" w:name="z2db502fe5b97410e8c4e4527e6f39ec7"/>
      <w:bookmarkEnd w:id="292"/>
    </w:p>
    <w:tbl>
      <w:tblPr>
        <w:tblW w:w="5208" w:type="dxa"/>
        <w:jc w:val="left"/>
        <w:tblInd w:w="0" w:type="dxa"/>
        <w:tblLayout w:type="fixed"/>
        <w:tblCellMar>
          <w:top w:w="0" w:type="dxa"/>
          <w:left w:w="0" w:type="dxa"/>
          <w:bottom w:w="0" w:type="dxa"/>
          <w:right w:w="0" w:type="dxa"/>
        </w:tblCellMar>
      </w:tblPr>
      <w:tblGrid>
        <w:gridCol w:w="38"/>
        <w:gridCol w:w="410"/>
        <w:gridCol w:w="4760"/>
      </w:tblGrid>
      <w:tr>
        <w:trPr/>
        <w:tc>
          <w:tcPr>
            <w:tcW w:w="38" w:type="dxa"/>
            <w:tcBorders/>
            <w:vAlign w:val="center"/>
          </w:tcPr>
          <w:p>
            <w:pPr>
              <w:pStyle w:val="TableContents"/>
              <w:bidi w:val="0"/>
              <w:spacing w:before="0" w:after="283"/>
              <w:jc w:val="left"/>
              <w:rPr/>
            </w:pPr>
            <w:r>
              <w:rPr/>
            </w:r>
          </w:p>
        </w:tc>
        <w:tc>
          <w:tcPr>
            <w:tcW w:w="410" w:type="dxa"/>
            <w:tcBorders/>
            <w:vAlign w:val="center"/>
          </w:tcPr>
          <w:p>
            <w:pPr>
              <w:pStyle w:val="TableContents"/>
              <w:bidi w:val="0"/>
              <w:spacing w:before="0" w:after="283"/>
              <w:jc w:val="left"/>
              <w:rPr/>
            </w:pPr>
            <w:r>
              <w:rPr/>
              <w:t>(11)</w:t>
            </w:r>
          </w:p>
        </w:tc>
        <w:tc>
          <w:tcPr>
            <w:tcW w:w="4760" w:type="dxa"/>
            <w:tcBorders/>
            <w:vAlign w:val="center"/>
          </w:tcPr>
          <w:p>
            <w:pPr>
              <w:pStyle w:val="TableContents"/>
              <w:bidi w:val="0"/>
              <w:spacing w:before="0" w:after="0"/>
              <w:jc w:val="both"/>
              <w:rPr/>
            </w:pPr>
            <w:r>
              <w:rPr/>
              <w:t>in the case of any combination of the above items.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Note is subject in all cases to any tax, fiscal or other law or regulation or administrative or judicial interpretation applicable to the Notes. Except as specifically provided under Section 5 hereof and Section 4.01(h) of the First Supplemental Indenture, the Company will not be required to make any payment for any tax, assessment or other governmental charge imposed by any government or a political subdivision or taxing authority of or in any government or political subdivision.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will not pay additional amounts on any Note presented for payment by or on behalf of a beneficial owner who would have been able to avoid the withholding or deduction by presenting the relevant global note to another paying agent.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As used under Section 5 hereof, the term “United States” means the United States of America (including the states and the District of Columbia) and its territories, possessions and other areas subject to its jurisdiction and “</w:t>
      </w:r>
      <w:r>
        <w:rPr>
          <w:rFonts w:ascii="Times New Roman" w:hAnsi="Times New Roman"/>
          <w:i/>
          <w:color w:val="000000"/>
          <w:sz w:val="20"/>
        </w:rPr>
        <w:t>United States person</w:t>
      </w:r>
      <w:r>
        <w:rPr>
          <w:rFonts w:ascii="Times New Roman" w:hAnsi="Times New Roman"/>
          <w:color w:val="000000"/>
          <w:sz w:val="20"/>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for U.S. federal income tax purposes), or any estate or trust the income of which is subject to United States federal income taxation regardless of its source.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b/>
          <w:i/>
          <w:smallCaps/>
          <w:color w:val="000000"/>
          <w:sz w:val="20"/>
        </w:rPr>
        <w:t>Amendment, Supplement and Waiver</w:t>
      </w:r>
      <w:r>
        <w:rPr>
          <w:rFonts w:ascii="Times New Roman" w:hAnsi="Times New Roman"/>
          <w:color w:val="000000"/>
          <w:sz w:val="20"/>
        </w:rPr>
        <w:t>. The Indenture or the Notes may be amended or supplemented as provided in the Indenture.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b/>
          <w:i/>
          <w:smallCaps/>
          <w:color w:val="000000"/>
          <w:sz w:val="20"/>
        </w:rPr>
        <w:t>Authorized Denominations</w:t>
      </w:r>
      <w:r>
        <w:rPr>
          <w:rFonts w:ascii="Times New Roman" w:hAnsi="Times New Roman"/>
          <w:color w:val="000000"/>
          <w:sz w:val="20"/>
        </w:rPr>
        <w:t>. The Notes are issuable in registered form without coupons in the minimum denomination of €100,000 and in any larger amount that is an integral multiple of €1,000.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b/>
          <w:i/>
          <w:smallCaps/>
          <w:color w:val="000000"/>
          <w:sz w:val="20"/>
        </w:rPr>
        <w:t>Exchange and Registration of Transfer</w:t>
      </w:r>
      <w:r>
        <w:rPr>
          <w:rFonts w:ascii="Times New Roman" w:hAnsi="Times New Roman"/>
          <w:color w:val="000000"/>
          <w:sz w:val="20"/>
        </w:rPr>
        <w:t>. This Note is exchangeable only if (x) the depositary notifies the Company that it is unwilling or unable to continue as depositary for the Notes or if at any time the depositary ceases to be in good standing under the Securities Exchange Act of 1934, as amended, and the Company does not appoint a successor depositary within 90 days after the Company receives such notice or becomes aware that such depositary is no longer in good standing, or (y) the Company in its sole discretion determines that the Notes shall be exchanged for certificated Notes in definitive form, provided that the definitive Notes so issued in exchange for this Note shall be in authorized denominations and be of like aggregate principal amount and tenor and terms as the portion of this Note to be exchanged. Except as provided above, owners of beneficial interests in this Note will not be entitled to have this Note or Notes represented by this Note registered in their names or receive physical delivery of Notes in definitive form and will not be considered the holders hereof for any purpose under the Indenture.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registered global note that had been held by the depositary.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9.          </w:t>
      </w:r>
      <w:r>
        <w:rPr>
          <w:rFonts w:ascii="Times New Roman" w:hAnsi="Times New Roman"/>
          <w:b/>
          <w:i/>
          <w:smallCaps/>
          <w:color w:val="000000"/>
          <w:sz w:val="20"/>
        </w:rPr>
        <w:t>No Recourse Against Certain Persons</w:t>
      </w:r>
      <w:r>
        <w:rPr>
          <w:rFonts w:ascii="Times New Roman" w:hAnsi="Times New Roman"/>
          <w:color w:val="000000"/>
          <w:sz w:val="20"/>
        </w:rPr>
        <w:t>. No present, past or future director, member, partner, officer, employee or equityholder of the Company, any Guarantor or any of their respective Subsidiaries will have any liability for any of the Company’s or any Guarantor’s obligations under this Note or the Indenture or for any claim based on, in respect of, or by reason of, such obligations or their creation (other than the Guarantors in respect of their respective Guarantees of the notes and the Company in respect of the notes). Each holder of Notes by accepting a Note waives and releases all such liability. The waiver and release are part of the consideration for issuance of this Note.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b/>
          <w:i/>
          <w:smallCaps/>
          <w:color w:val="000000"/>
          <w:sz w:val="20"/>
        </w:rPr>
        <w:t>Definitions</w:t>
      </w:r>
      <w:r>
        <w:rPr>
          <w:rFonts w:ascii="Times New Roman" w:hAnsi="Times New Roman"/>
          <w:color w:val="000000"/>
          <w:sz w:val="20"/>
        </w:rPr>
        <w:t>. All terms used in this Note which are not defined herein but are defined in the Indenture shall have the meanings assigned to them therein.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b/>
          <w:i/>
          <w:smallCaps/>
          <w:color w:val="000000"/>
          <w:sz w:val="20"/>
        </w:rPr>
        <w:t>Governing Law</w:t>
      </w:r>
      <w:r>
        <w:rPr>
          <w:rFonts w:ascii="Times New Roman" w:hAnsi="Times New Roman"/>
          <w:color w:val="000000"/>
          <w:sz w:val="20"/>
        </w:rPr>
        <w:t>. This Note shall be governed by and construed in accordance with the laws of the State of New York.</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will furnish to any Holder upon written request and without charge a copy of the Indenture. Requests may be made to:</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Viatris Inc.</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1000 Mylan Boulevard</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Canonsburg, PA 15317</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Attention: Chief Financial Officer, Treasurer and Assistant Secretary</w:t>
      </w:r>
    </w:p>
    <w:p>
      <w:pPr>
        <w:pStyle w:val="TextBody"/>
        <w:bidi w:val="0"/>
        <w:spacing w:before="0" w:after="0"/>
        <w:ind w:left="72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ASSIGNMENT FORM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VALUE RECEIVED, the undersigned hereby sell(s), assign(s) and transfers unto</w:t>
      </w:r>
    </w:p>
    <w:p>
      <w:pPr>
        <w:pStyle w:val="Normal"/>
        <w:bidi w:val="0"/>
        <w:spacing w:before="0" w:after="0"/>
        <w:jc w:val="left"/>
        <w:rPr>
          <w:sz w:val="4"/>
          <w:szCs w:val="4"/>
        </w:rPr>
      </w:pPr>
      <w:r>
        <w:rPr>
          <w:sz w:val="4"/>
          <w:szCs w:val="4"/>
        </w:rPr>
      </w:r>
      <w:bookmarkStart w:id="293" w:name="z64c19364c01f46d6a107d6884844cbf5"/>
      <w:bookmarkStart w:id="294" w:name="z64c19364c01f46d6a107d6884844cbf5"/>
      <w:bookmarkEnd w:id="294"/>
    </w:p>
    <w:tbl>
      <w:tblPr>
        <w:tblW w:w="83" w:type="dxa"/>
        <w:jc w:val="left"/>
        <w:tblInd w:w="0" w:type="dxa"/>
        <w:tblLayout w:type="fixed"/>
        <w:tblCellMar>
          <w:top w:w="0" w:type="dxa"/>
          <w:left w:w="0" w:type="dxa"/>
          <w:bottom w:w="28" w:type="dxa"/>
          <w:right w:w="0" w:type="dxa"/>
        </w:tblCellMar>
      </w:tblPr>
      <w:tblGrid>
        <w:gridCol w:w="23"/>
        <w:gridCol w:w="60"/>
      </w:tblGrid>
      <w:tr>
        <w:trPr/>
        <w:tc>
          <w:tcPr>
            <w:tcW w:w="23" w:type="dxa"/>
            <w:tcBorders>
              <w:bottom w:val="single" w:sz="12" w:space="0" w:color="000000"/>
            </w:tcBorders>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PLEASE INSERT SOCIAL SECURITY 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IDENTIFYING NUMBER OF ASSIGNEE</w:t>
      </w:r>
    </w:p>
    <w:p>
      <w:pPr>
        <w:pStyle w:val="Normal"/>
        <w:bidi w:val="0"/>
        <w:spacing w:before="0" w:after="0"/>
        <w:jc w:val="left"/>
        <w:rPr>
          <w:sz w:val="4"/>
          <w:szCs w:val="4"/>
        </w:rPr>
      </w:pPr>
      <w:r>
        <w:rPr>
          <w:sz w:val="4"/>
          <w:szCs w:val="4"/>
        </w:rPr>
      </w:r>
      <w:bookmarkStart w:id="295" w:name="zb8542c02b9fc43699d06f4b36244d024"/>
      <w:bookmarkStart w:id="296" w:name="zb8542c02b9fc43699d06f4b36244d024"/>
      <w:bookmarkEnd w:id="296"/>
    </w:p>
    <w:tbl>
      <w:tblPr>
        <w:tblW w:w="83" w:type="dxa"/>
        <w:jc w:val="left"/>
        <w:tblInd w:w="0" w:type="dxa"/>
        <w:tblLayout w:type="fixed"/>
        <w:tblCellMar>
          <w:top w:w="0" w:type="dxa"/>
          <w:left w:w="0" w:type="dxa"/>
          <w:bottom w:w="28" w:type="dxa"/>
          <w:right w:w="0" w:type="dxa"/>
        </w:tblCellMar>
      </w:tblPr>
      <w:tblGrid>
        <w:gridCol w:w="23"/>
        <w:gridCol w:w="60"/>
      </w:tblGrid>
      <w:tr>
        <w:trPr/>
        <w:tc>
          <w:tcPr>
            <w:tcW w:w="23" w:type="dxa"/>
            <w:tcBorders>
              <w:bottom w:val="single" w:sz="12" w:space="0" w:color="000000"/>
            </w:tcBorders>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0"/>
              <w:jc w:val="left"/>
              <w:rPr/>
            </w:pPr>
            <w:r>
              <w:rPr/>
              <w:t> </w:t>
            </w:r>
          </w:p>
        </w:tc>
      </w:tr>
      <w:tr>
        <w:trPr/>
        <w:tc>
          <w:tcPr>
            <w:tcW w:w="23" w:type="dxa"/>
            <w:tcBorders>
              <w:bottom w:val="single" w:sz="12" w:space="0" w:color="000000"/>
            </w:tcBorders>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t> </w:t>
            </w:r>
          </w:p>
        </w:tc>
      </w:tr>
      <w:tr>
        <w:trPr/>
        <w:tc>
          <w:tcPr>
            <w:tcW w:w="23" w:type="dxa"/>
            <w:tcBorders>
              <w:bottom w:val="single" w:sz="12" w:space="0" w:color="000000"/>
            </w:tcBorders>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t> </w:t>
            </w:r>
          </w:p>
        </w:tc>
      </w:tr>
      <w:tr>
        <w:trPr/>
        <w:tc>
          <w:tcPr>
            <w:tcW w:w="23" w:type="dxa"/>
            <w:tcBorders>
              <w:bottom w:val="single" w:sz="12" w:space="0" w:color="000000"/>
            </w:tcBorders>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PLEASE PRINT OR TYPE NAME AND ADDRESS INCLUDING POSTAL ZIP CODE OF ASSIGNEE</w:t>
      </w:r>
    </w:p>
    <w:p>
      <w:pPr>
        <w:pStyle w:val="Normal"/>
        <w:bidi w:val="0"/>
        <w:spacing w:before="0" w:after="0"/>
        <w:jc w:val="left"/>
        <w:rPr>
          <w:sz w:val="4"/>
          <w:szCs w:val="4"/>
        </w:rPr>
      </w:pPr>
      <w:r>
        <w:rPr>
          <w:sz w:val="4"/>
          <w:szCs w:val="4"/>
        </w:rPr>
      </w:r>
      <w:bookmarkStart w:id="297" w:name="zf2a9fef7785449b2833428a1e546ba8d"/>
      <w:bookmarkStart w:id="298" w:name="zf2a9fef7785449b2833428a1e546ba8d"/>
      <w:bookmarkEnd w:id="298"/>
    </w:p>
    <w:tbl>
      <w:tblPr>
        <w:tblW w:w="120" w:type="dxa"/>
        <w:jc w:val="left"/>
        <w:tblInd w:w="0" w:type="dxa"/>
        <w:tblLayout w:type="fixed"/>
        <w:tblCellMar>
          <w:top w:w="0" w:type="dxa"/>
          <w:left w:w="0" w:type="dxa"/>
          <w:bottom w:w="28" w:type="dxa"/>
          <w:right w:w="0" w:type="dxa"/>
        </w:tblCellMar>
      </w:tblPr>
      <w:tblGrid>
        <w:gridCol w:w="60"/>
        <w:gridCol w:w="60"/>
      </w:tblGrid>
      <w:tr>
        <w:trPr/>
        <w:tc>
          <w:tcPr>
            <w:tcW w:w="60" w:type="dxa"/>
            <w:tcBorders>
              <w:bottom w:val="single" w:sz="12" w:space="0" w:color="000000"/>
            </w:tcBorders>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the within Note and all rights thereunder, hereby irrevocably constituting and appointing _____________ attorney to transfer said Note on the books of the Company, with full power of substitution in the premises.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9" w:name="za90a06be56ed4a3bb22e6162238fc6bc"/>
      <w:bookmarkStart w:id="300" w:name="za90a06be56ed4a3bb22e6162238fc6bc"/>
      <w:bookmarkEnd w:id="300"/>
    </w:p>
    <w:tbl>
      <w:tblPr>
        <w:tblW w:w="710" w:type="dxa"/>
        <w:jc w:val="left"/>
        <w:tblInd w:w="0" w:type="dxa"/>
        <w:tblLayout w:type="fixed"/>
        <w:tblCellMar>
          <w:top w:w="0" w:type="dxa"/>
          <w:left w:w="0" w:type="dxa"/>
          <w:bottom w:w="0" w:type="dxa"/>
          <w:right w:w="0" w:type="dxa"/>
        </w:tblCellMar>
      </w:tblPr>
      <w:tblGrid>
        <w:gridCol w:w="590"/>
        <w:gridCol w:w="60"/>
        <w:gridCol w:w="60"/>
      </w:tblGrid>
      <w:tr>
        <w:trPr/>
        <w:tc>
          <w:tcPr>
            <w:tcW w:w="590" w:type="dxa"/>
            <w:tcBorders/>
            <w:vAlign w:val="center"/>
          </w:tcPr>
          <w:p>
            <w:pPr>
              <w:pStyle w:val="TableContents"/>
              <w:bidi w:val="0"/>
              <w:spacing w:before="0" w:after="283"/>
              <w:jc w:val="left"/>
              <w:rPr/>
            </w:pPr>
            <w:r>
              <w:rPr/>
              <w:t xml:space="preserve">Date: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1" w:name="zb76ce34c022c47f8bc918692b9478124"/>
      <w:bookmarkStart w:id="302" w:name="zb76ce34c022c47f8bc918692b9478124"/>
      <w:bookmarkEnd w:id="302"/>
    </w:p>
    <w:tbl>
      <w:tblPr>
        <w:tblW w:w="1063" w:type="dxa"/>
        <w:jc w:val="left"/>
        <w:tblInd w:w="0" w:type="dxa"/>
        <w:tblLayout w:type="fixed"/>
        <w:tblCellMar>
          <w:top w:w="0" w:type="dxa"/>
          <w:left w:w="0" w:type="dxa"/>
          <w:bottom w:w="0" w:type="dxa"/>
          <w:right w:w="0" w:type="dxa"/>
        </w:tblCellMar>
      </w:tblPr>
      <w:tblGrid>
        <w:gridCol w:w="60"/>
        <w:gridCol w:w="980"/>
        <w:gridCol w:w="23"/>
      </w:tblGrid>
      <w:tr>
        <w:trPr/>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left"/>
              <w:rPr/>
            </w:pPr>
            <w:r>
              <w:rPr/>
              <w:t>Signature:</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r>
    </w:tbl>
    <w:p>
      <w:pPr>
        <w:pStyle w:val="TextBody"/>
        <w:bidi w:val="0"/>
        <w:spacing w:before="0" w:after="0"/>
        <w:jc w:val="righ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NOTICE: THE SIGNATURE TO THIS ASSIGNMENT MUST CORRESPOND WITH THE NAME AS WRITTEN UPON THE FACE OF THE WITHIN INSTRUMENT IN EVERY PARTICULAR, WITHOUT ALTERATION OR ENLARGEMENT OR ANY CHANGE WHATEVER.</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SCHEDULE OF EXCHANGES OF INTERESTS IN THE GLOBAL NOTE</w:t>
      </w:r>
      <w:r>
        <w:rPr>
          <w:rFonts w:ascii="Times New Roman" w:hAnsi="Times New Roman"/>
          <w:color w:val="000000"/>
          <w:sz w:val="20"/>
        </w:rPr>
        <w:t xml:space="preserve"> *</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exchanges of a part of this Global 2033 Note for an interest in another Global 2033 Note or for note in definitive form, or exchanges of a part of another Global 2033 Note or note in definitive form for an interest in this Global 2033 Note, have been made: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3" w:name="zf22cba52dfad4ebb94a7210ce270c1e5"/>
      <w:bookmarkStart w:id="304" w:name="zf22cba52dfad4ebb94a7210ce270c1e5"/>
      <w:bookmarkEnd w:id="304"/>
    </w:p>
    <w:tbl>
      <w:tblPr>
        <w:tblW w:w="8905" w:type="dxa"/>
        <w:jc w:val="left"/>
        <w:tblInd w:w="-15" w:type="dxa"/>
        <w:tblLayout w:type="fixed"/>
        <w:tblCellMar>
          <w:top w:w="28" w:type="dxa"/>
          <w:left w:w="28" w:type="dxa"/>
          <w:bottom w:w="28" w:type="dxa"/>
          <w:right w:w="28" w:type="dxa"/>
        </w:tblCellMar>
      </w:tblPr>
      <w:tblGrid>
        <w:gridCol w:w="1820"/>
        <w:gridCol w:w="1775"/>
        <w:gridCol w:w="1775"/>
        <w:gridCol w:w="1775"/>
        <w:gridCol w:w="1760"/>
      </w:tblGrid>
      <w:tr>
        <w:trPr/>
        <w:tc>
          <w:tcPr>
            <w:tcW w:w="18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Date of Exchange</w:t>
            </w:r>
          </w:p>
        </w:tc>
        <w:tc>
          <w:tcPr>
            <w:tcW w:w="17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Amount of</w:t>
            </w:r>
          </w:p>
          <w:p>
            <w:pPr>
              <w:pStyle w:val="TableContents"/>
              <w:bidi w:val="0"/>
              <w:spacing w:before="0" w:after="0"/>
              <w:jc w:val="center"/>
              <w:rPr>
                <w:b/>
              </w:rPr>
            </w:pPr>
            <w:r>
              <w:rPr>
                <w:b/>
              </w:rPr>
              <w:t>decrease in</w:t>
            </w:r>
          </w:p>
          <w:p>
            <w:pPr>
              <w:pStyle w:val="TableContents"/>
              <w:bidi w:val="0"/>
              <w:spacing w:before="0" w:after="0"/>
              <w:jc w:val="center"/>
              <w:rPr>
                <w:b/>
              </w:rPr>
            </w:pPr>
            <w:r>
              <w:rPr>
                <w:b/>
              </w:rPr>
              <w:t>Principal</w:t>
            </w:r>
          </w:p>
          <w:p>
            <w:pPr>
              <w:pStyle w:val="TableContents"/>
              <w:bidi w:val="0"/>
              <w:spacing w:before="0" w:after="0"/>
              <w:jc w:val="center"/>
              <w:rPr>
                <w:b/>
              </w:rPr>
            </w:pPr>
            <w:r>
              <w:rPr>
                <w:b/>
              </w:rPr>
              <w:t>Amount of this</w:t>
            </w:r>
          </w:p>
          <w:p>
            <w:pPr>
              <w:pStyle w:val="TableContents"/>
              <w:bidi w:val="0"/>
              <w:spacing w:before="0" w:after="0"/>
              <w:jc w:val="center"/>
              <w:rPr>
                <w:b/>
              </w:rPr>
            </w:pPr>
            <w:r>
              <w:rPr>
                <w:b/>
              </w:rPr>
              <w:t>Global 2033 Note</w:t>
            </w:r>
          </w:p>
        </w:tc>
        <w:tc>
          <w:tcPr>
            <w:tcW w:w="17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 xml:space="preserve">Amount of </w:t>
            </w:r>
          </w:p>
          <w:p>
            <w:pPr>
              <w:pStyle w:val="TableContents"/>
              <w:bidi w:val="0"/>
              <w:spacing w:before="0" w:after="0"/>
              <w:jc w:val="center"/>
              <w:rPr>
                <w:b/>
              </w:rPr>
            </w:pPr>
            <w:r>
              <w:rPr>
                <w:b/>
              </w:rPr>
              <w:t>Increase in</w:t>
            </w:r>
          </w:p>
          <w:p>
            <w:pPr>
              <w:pStyle w:val="TableContents"/>
              <w:bidi w:val="0"/>
              <w:spacing w:before="0" w:after="0"/>
              <w:jc w:val="center"/>
              <w:rPr>
                <w:b/>
              </w:rPr>
            </w:pPr>
            <w:r>
              <w:rPr>
                <w:b/>
              </w:rPr>
              <w:t>Principal</w:t>
            </w:r>
          </w:p>
          <w:p>
            <w:pPr>
              <w:pStyle w:val="TableContents"/>
              <w:bidi w:val="0"/>
              <w:spacing w:before="0" w:after="0"/>
              <w:jc w:val="center"/>
              <w:rPr>
                <w:b/>
              </w:rPr>
            </w:pPr>
            <w:r>
              <w:rPr>
                <w:b/>
              </w:rPr>
              <w:t xml:space="preserve">Amount of this </w:t>
            </w:r>
          </w:p>
          <w:p>
            <w:pPr>
              <w:pStyle w:val="TableContents"/>
              <w:bidi w:val="0"/>
              <w:spacing w:before="0" w:after="0"/>
              <w:jc w:val="center"/>
              <w:rPr>
                <w:b/>
              </w:rPr>
            </w:pPr>
            <w:r>
              <w:rPr>
                <w:b/>
              </w:rPr>
              <w:t>Global 2033 Note</w:t>
            </w:r>
          </w:p>
        </w:tc>
        <w:tc>
          <w:tcPr>
            <w:tcW w:w="17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Principal</w:t>
            </w:r>
          </w:p>
          <w:p>
            <w:pPr>
              <w:pStyle w:val="TableContents"/>
              <w:bidi w:val="0"/>
              <w:spacing w:before="0" w:after="0"/>
              <w:jc w:val="center"/>
              <w:rPr>
                <w:b/>
              </w:rPr>
            </w:pPr>
            <w:r>
              <w:rPr>
                <w:b/>
              </w:rPr>
              <w:t>Amount of this</w:t>
            </w:r>
          </w:p>
          <w:p>
            <w:pPr>
              <w:pStyle w:val="TableContents"/>
              <w:bidi w:val="0"/>
              <w:spacing w:before="0" w:after="0"/>
              <w:jc w:val="center"/>
              <w:rPr>
                <w:b/>
              </w:rPr>
            </w:pPr>
            <w:r>
              <w:rPr>
                <w:b/>
              </w:rPr>
              <w:t>Global 2033 Note</w:t>
            </w:r>
          </w:p>
          <w:p>
            <w:pPr>
              <w:pStyle w:val="TableContents"/>
              <w:bidi w:val="0"/>
              <w:spacing w:before="0" w:after="0"/>
              <w:jc w:val="center"/>
              <w:rPr>
                <w:b/>
              </w:rPr>
            </w:pPr>
            <w:r>
              <w:rPr>
                <w:b/>
              </w:rPr>
              <w:t>following such</w:t>
            </w:r>
          </w:p>
          <w:p>
            <w:pPr>
              <w:pStyle w:val="TableContents"/>
              <w:bidi w:val="0"/>
              <w:spacing w:before="0" w:after="0"/>
              <w:jc w:val="center"/>
              <w:rPr>
                <w:b/>
              </w:rPr>
            </w:pPr>
            <w:r>
              <w:rPr>
                <w:b/>
              </w:rPr>
              <w:t>decrease (or</w:t>
            </w:r>
          </w:p>
          <w:p>
            <w:pPr>
              <w:pStyle w:val="TableContents"/>
              <w:bidi w:val="0"/>
              <w:spacing w:before="0" w:after="0"/>
              <w:jc w:val="center"/>
              <w:rPr>
                <w:b/>
              </w:rPr>
            </w:pPr>
            <w:r>
              <w:rPr>
                <w:b/>
              </w:rPr>
              <w:t>increase)</w:t>
            </w:r>
          </w:p>
        </w:tc>
        <w:tc>
          <w:tcPr>
            <w:tcW w:w="17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Signature of</w:t>
            </w:r>
          </w:p>
          <w:p>
            <w:pPr>
              <w:pStyle w:val="TableContents"/>
              <w:bidi w:val="0"/>
              <w:spacing w:before="0" w:after="0"/>
              <w:jc w:val="center"/>
              <w:rPr>
                <w:b/>
              </w:rPr>
            </w:pPr>
            <w:r>
              <w:rPr>
                <w:b/>
              </w:rPr>
              <w:t>authorized</w:t>
            </w:r>
          </w:p>
          <w:p>
            <w:pPr>
              <w:pStyle w:val="TableContents"/>
              <w:bidi w:val="0"/>
              <w:spacing w:before="0" w:after="0"/>
              <w:jc w:val="center"/>
              <w:rPr>
                <w:b/>
              </w:rPr>
            </w:pPr>
            <w:r>
              <w:rPr>
                <w:b/>
              </w:rPr>
              <w:t>officer of Trustee</w:t>
            </w:r>
          </w:p>
        </w:tc>
      </w:tr>
      <w:tr>
        <w:trPr/>
        <w:tc>
          <w:tcPr>
            <w:tcW w:w="18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7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This schedule should be included only if the 2033 Note is issued in global form.</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A-10</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B</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JOINDER TO FIRST SUPPLEMENTAL INDENTURE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 BE DELIVERED BY SUBSEQUENT GUARANTORS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JOINDER TO FIRST SUPPLEMENTAL INDENTURE (this “</w:t>
      </w:r>
      <w:r>
        <w:rPr>
          <w:rFonts w:ascii="Times New Roman" w:hAnsi="Times New Roman"/>
          <w:b/>
          <w:color w:val="000000"/>
          <w:sz w:val="20"/>
        </w:rPr>
        <w:t>Joinder</w:t>
      </w:r>
      <w:r>
        <w:rPr>
          <w:rFonts w:ascii="Times New Roman" w:hAnsi="Times New Roman"/>
          <w:color w:val="000000"/>
          <w:sz w:val="20"/>
        </w:rPr>
        <w:t>”), dated as of _____________, 20__, among ____________________ (the “</w:t>
      </w:r>
      <w:r>
        <w:rPr>
          <w:rFonts w:ascii="Times New Roman" w:hAnsi="Times New Roman"/>
          <w:b/>
          <w:color w:val="000000"/>
          <w:sz w:val="20"/>
        </w:rPr>
        <w:t>Guarantor[s]</w:t>
      </w:r>
      <w:r>
        <w:rPr>
          <w:rFonts w:ascii="Times New Roman" w:hAnsi="Times New Roman"/>
          <w:color w:val="000000"/>
          <w:sz w:val="20"/>
        </w:rPr>
        <w:t>”), [each] a subsidiary of Viatris Inc. (or [its/their] permitted successor[s]), a Delaware corporation (the “</w:t>
      </w:r>
      <w:r>
        <w:rPr>
          <w:rFonts w:ascii="Times New Roman" w:hAnsi="Times New Roman"/>
          <w:b/>
          <w:color w:val="000000"/>
          <w:sz w:val="20"/>
        </w:rPr>
        <w:t>Company</w:t>
      </w:r>
      <w:r>
        <w:rPr>
          <w:rFonts w:ascii="Times New Roman" w:hAnsi="Times New Roman"/>
          <w:color w:val="000000"/>
          <w:sz w:val="20"/>
        </w:rPr>
        <w:t>”), the Company and The Bank of New York Mellon, as trustee under the First Supplemental Indenture referred to below (the “</w:t>
      </w:r>
      <w:r>
        <w:rPr>
          <w:rFonts w:ascii="Times New Roman" w:hAnsi="Times New Roman"/>
          <w:b/>
          <w:color w:val="000000"/>
          <w:sz w:val="20"/>
        </w:rPr>
        <w:t>Trustee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has heretofore executed and delivered to the Trustee an indenture (the “</w:t>
      </w:r>
      <w:r>
        <w:rPr>
          <w:rFonts w:ascii="Times New Roman" w:hAnsi="Times New Roman"/>
          <w:b/>
          <w:color w:val="000000"/>
          <w:sz w:val="20"/>
        </w:rPr>
        <w:t>Base Indenture</w:t>
      </w:r>
      <w:r>
        <w:rPr>
          <w:rFonts w:ascii="Times New Roman" w:hAnsi="Times New Roman"/>
          <w:color w:val="000000"/>
          <w:sz w:val="20"/>
        </w:rPr>
        <w:t>”), dated as of June 17, 2026, among the Company, the guarantors from time to time party thereto, and the Trustee, as amended and supplemented by a first supplemental indenture thereto (the “</w:t>
      </w:r>
      <w:r>
        <w:rPr>
          <w:rFonts w:ascii="Times New Roman" w:hAnsi="Times New Roman"/>
          <w:b/>
          <w:color w:val="000000"/>
          <w:sz w:val="20"/>
        </w:rPr>
        <w:t>First Supplemental Indenture</w:t>
      </w:r>
      <w:r>
        <w:rPr>
          <w:rFonts w:ascii="Times New Roman" w:hAnsi="Times New Roman"/>
          <w:color w:val="000000"/>
          <w:sz w:val="20"/>
        </w:rPr>
        <w:t>” and, together with the Base Indenture, the “</w:t>
      </w:r>
      <w:r>
        <w:rPr>
          <w:rFonts w:ascii="Times New Roman" w:hAnsi="Times New Roman"/>
          <w:b/>
          <w:color w:val="000000"/>
          <w:sz w:val="20"/>
        </w:rPr>
        <w:t>Indenture</w:t>
      </w:r>
      <w:r>
        <w:rPr>
          <w:rFonts w:ascii="Times New Roman" w:hAnsi="Times New Roman"/>
          <w:color w:val="000000"/>
          <w:sz w:val="20"/>
        </w:rPr>
        <w:t>”), dated as of June 17, 2026, among the Company, the guarantors from time to time party thereto, and the Trustee, providing for the original issuance of an aggregate principal amount of €650,000,000 of the Company’s 4.250% Senior Notes due 2033 (the “</w:t>
      </w:r>
      <w:r>
        <w:rPr>
          <w:rFonts w:ascii="Times New Roman" w:hAnsi="Times New Roman"/>
          <w:b/>
          <w:color w:val="000000"/>
          <w:sz w:val="20"/>
        </w:rPr>
        <w:t>2033 Notes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First Supplemental Indenture provides that under certain circumstances the Guarantor[s] will execute and deliver to the Trustee a joinder to First Supplemental Indenture pursuant to which the Guarantor[s] will unconditionally guarantee all of the Company’s Obligations under the 2033 Notes and the Indenture on the terms and conditions set forth in the Indenture (the “</w:t>
      </w:r>
      <w:r>
        <w:rPr>
          <w:rFonts w:ascii="Times New Roman" w:hAnsi="Times New Roman"/>
          <w:b/>
          <w:color w:val="000000"/>
          <w:sz w:val="20"/>
        </w:rPr>
        <w:t>2033 Note Guarantee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Section 8.01 of the Base Indenture, the Trustee is authorized to execute and deliver this Joinder.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for other good and valuable consideration, the receipt of which is hereby acknowledged, the Guarantor[s] and the Trustee mutually covenant and agree for the equal and ratable benefit of the Holders of the 2033 Notes as follows: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b/>
          <w:i/>
          <w:color w:val="000000"/>
          <w:sz w:val="20"/>
        </w:rPr>
        <w:t>Capitalized Terms</w:t>
      </w:r>
      <w:r>
        <w:rPr>
          <w:rFonts w:ascii="Times New Roman" w:hAnsi="Times New Roman"/>
          <w:color w:val="000000"/>
          <w:sz w:val="20"/>
        </w:rPr>
        <w:t>. Capitalized terms used herein without definition will have the meanings assigned to them in the Indenture.</w:t>
      </w:r>
    </w:p>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b/>
          <w:i/>
          <w:color w:val="000000"/>
          <w:sz w:val="20"/>
        </w:rPr>
        <w:t>Joinder</w:t>
      </w:r>
      <w:r>
        <w:rPr>
          <w:rFonts w:ascii="Times New Roman" w:hAnsi="Times New Roman"/>
          <w:color w:val="000000"/>
          <w:sz w:val="20"/>
        </w:rPr>
        <w:t>. By execution hereof, the Guarantor[s] hereby agree[s] as of the date hereof, to become and [is/are] made [a party/parties] to the First Supplemental Indenture as a Guarantor as defined therein and following execution hereof, for all purposes under the First Supplemental Indenture, each Guarantor shall be included within the term “</w:t>
      </w:r>
      <w:r>
        <w:rPr>
          <w:rFonts w:ascii="Times New Roman" w:hAnsi="Times New Roman"/>
          <w:b/>
          <w:color w:val="000000"/>
          <w:sz w:val="20"/>
        </w:rPr>
        <w:t>Guarantor</w:t>
      </w:r>
      <w:r>
        <w:rPr>
          <w:rFonts w:ascii="Times New Roman" w:hAnsi="Times New Roman"/>
          <w:color w:val="000000"/>
          <w:sz w:val="20"/>
        </w:rPr>
        <w:t>” (as defined in the First Supplemental Indenture), in each case on the terms and subject to the conditions set forth in the Indenture and until released in accordance with the Indenture. The undersigned hereby agrees to be bound by all of the agreements, terms, conditions and restrictions applicable to a “Guarantor” as such term is defined in the First Supplemental Indenture; and, further, authorize[s] the Trustee to attach this signature page to the First Supplemental Indenture in order to make the Guarantor a party to the First Supplemental Indenture.</w:t>
      </w:r>
    </w:p>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b/>
          <w:i/>
          <w:color w:val="000000"/>
          <w:sz w:val="20"/>
        </w:rPr>
        <w:t>Governing Law</w:t>
      </w:r>
      <w:r>
        <w:rPr>
          <w:rFonts w:ascii="Times New Roman" w:hAnsi="Times New Roman"/>
          <w:b/>
          <w:color w:val="000000"/>
          <w:sz w:val="20"/>
        </w:rPr>
        <w:t>.  THIS JOINDER SHALL BE GOVERNED BY, AND CONSTRUED IN ACCORDANCE WITH, THE LAWS OF THE STATE OF NEW YORK.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B-1</w:t>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b/>
          <w:i/>
          <w:color w:val="000000"/>
          <w:sz w:val="20"/>
        </w:rPr>
        <w:t>Counterparts</w:t>
      </w:r>
      <w:r>
        <w:rPr>
          <w:rFonts w:ascii="Times New Roman" w:hAnsi="Times New Roman"/>
          <w:color w:val="000000"/>
          <w:sz w:val="20"/>
        </w:rPr>
        <w:t>.  The parties may sign any number of copies of this Joinder. Each signed copy will be an original, but all of them together represent the same agreement. The exchange of copies of this Joinder and of signature pages by electronic format (</w:t>
      </w:r>
      <w:r>
        <w:rPr>
          <w:rFonts w:ascii="Times New Roman" w:hAnsi="Times New Roman"/>
          <w:i/>
          <w:color w:val="000000"/>
          <w:sz w:val="20"/>
        </w:rPr>
        <w:t>i.e</w:t>
      </w:r>
      <w:r>
        <w:rPr>
          <w:rFonts w:ascii="Times New Roman" w:hAnsi="Times New Roman"/>
          <w:color w:val="000000"/>
          <w:sz w:val="20"/>
        </w:rPr>
        <w:t>., “pdf” or “tif”) transmission shall constitute effective execution and delivery of this Joinder as to the parties hereto and may be used in lieu of the original Joinder for all purposes. Signatures of the parties hereto transmitted by electronic format (</w:t>
      </w:r>
      <w:r>
        <w:rPr>
          <w:rFonts w:ascii="Times New Roman" w:hAnsi="Times New Roman"/>
          <w:i/>
          <w:color w:val="000000"/>
          <w:sz w:val="20"/>
        </w:rPr>
        <w:t>i.e</w:t>
      </w:r>
      <w:r>
        <w:rPr>
          <w:rFonts w:ascii="Times New Roman" w:hAnsi="Times New Roman"/>
          <w:color w:val="000000"/>
          <w:sz w:val="20"/>
        </w:rPr>
        <w:t>., “pdf” or “tif”) shall be deemed to be their original signatures for all purposes.</w:t>
      </w:r>
    </w:p>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b/>
          <w:i/>
          <w:color w:val="000000"/>
          <w:sz w:val="20"/>
        </w:rPr>
        <w:t>Effect of Headings</w:t>
      </w:r>
      <w:r>
        <w:rPr>
          <w:rFonts w:ascii="Times New Roman" w:hAnsi="Times New Roman"/>
          <w:color w:val="000000"/>
          <w:sz w:val="20"/>
        </w:rPr>
        <w:t>.  The Section headings herein are for convenience only and will not affect the construction hereof.</w:t>
      </w:r>
    </w:p>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b/>
          <w:i/>
          <w:color w:val="000000"/>
          <w:sz w:val="20"/>
        </w:rPr>
        <w:t>The Trustee</w:t>
      </w:r>
      <w:r>
        <w:rPr>
          <w:rFonts w:ascii="Times New Roman" w:hAnsi="Times New Roman"/>
          <w:color w:val="000000"/>
          <w:sz w:val="20"/>
        </w:rPr>
        <w:t>.  The Trustee will not be responsible in any manner whatsoever for or in respect of the validity or sufficiency of this Joinder or for or in respect of the recitals contained herein, all of which recitals are made solely by the Guarantor and the Company. All of the provisions contained in the Base Indenture in respect to the rights, privileges, immunities, indemnities, protections, powers and duties of the Trustee shall be applicable to the Trustee in respect of this Joinder as fully and with like effect as if set forth herein in full.</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Joinder to the First Supplemental Indenture to be duly executed; all as of 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5" w:name="ze2def30ea0364811a8ff976c6b552d4e"/>
      <w:bookmarkStart w:id="306" w:name="ze2def30ea0364811a8ff976c6b552d4e"/>
      <w:bookmarkEnd w:id="306"/>
    </w:p>
    <w:tbl>
      <w:tblPr>
        <w:tblW w:w="4788" w:type="dxa"/>
        <w:jc w:val="left"/>
        <w:tblInd w:w="0" w:type="dxa"/>
        <w:tblLayout w:type="fixed"/>
        <w:tblCellMar>
          <w:top w:w="0" w:type="dxa"/>
          <w:left w:w="0" w:type="dxa"/>
          <w:bottom w:w="0" w:type="dxa"/>
          <w:right w:w="0" w:type="dxa"/>
        </w:tblCellMar>
      </w:tblPr>
      <w:tblGrid>
        <w:gridCol w:w="60"/>
        <w:gridCol w:w="3394"/>
        <w:gridCol w:w="666"/>
        <w:gridCol w:w="668"/>
      </w:tblGrid>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[GUARANTOR[S]]</w:t>
            </w:r>
          </w:p>
        </w:tc>
      </w:tr>
      <w:tr>
        <w:trPr/>
        <w:tc>
          <w:tcPr>
            <w:tcW w:w="60" w:type="dxa"/>
            <w:tcBorders/>
            <w:vAlign w:val="center"/>
          </w:tcPr>
          <w:p>
            <w:pPr>
              <w:pStyle w:val="TableContents"/>
              <w:bidi w:val="0"/>
              <w:spacing w:before="0" w:after="283"/>
              <w:jc w:val="left"/>
              <w:rPr/>
            </w:pPr>
            <w:r>
              <w:rPr/>
              <w:t> </w:t>
            </w:r>
          </w:p>
        </w:tc>
        <w:tc>
          <w:tcPr>
            <w:tcW w:w="3394" w:type="dxa"/>
            <w:tcBorders/>
            <w:vAlign w:val="center"/>
          </w:tcPr>
          <w:p>
            <w:pPr>
              <w:pStyle w:val="TableContents"/>
              <w:bidi w:val="0"/>
              <w:spacing w:before="0" w:after="0"/>
              <w:jc w:val="both"/>
              <w:rPr/>
            </w:pPr>
            <w:r>
              <w:rPr/>
              <w:t>By:</w:t>
            </w:r>
          </w:p>
        </w:tc>
        <w:tc>
          <w:tcPr>
            <w:tcW w:w="666" w:type="dxa"/>
            <w:tcBorders>
              <w:bottom w:val="single" w:sz="12" w:space="0" w:color="000000"/>
            </w:tcBorders>
            <w:tcMar>
              <w:bottom w:w="28" w:type="dxa"/>
            </w:tcMar>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Name:</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Title:</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[COMPANY]</w:t>
            </w:r>
          </w:p>
        </w:tc>
      </w:tr>
      <w:tr>
        <w:trPr/>
        <w:tc>
          <w:tcPr>
            <w:tcW w:w="60" w:type="dxa"/>
            <w:tcBorders/>
            <w:vAlign w:val="center"/>
          </w:tcPr>
          <w:p>
            <w:pPr>
              <w:pStyle w:val="TableContents"/>
              <w:bidi w:val="0"/>
              <w:spacing w:before="0" w:after="283"/>
              <w:jc w:val="left"/>
              <w:rPr/>
            </w:pPr>
            <w:r>
              <w:rPr/>
              <w:t> </w:t>
            </w:r>
          </w:p>
        </w:tc>
        <w:tc>
          <w:tcPr>
            <w:tcW w:w="3394" w:type="dxa"/>
            <w:tcBorders/>
            <w:vAlign w:val="center"/>
          </w:tcPr>
          <w:p>
            <w:pPr>
              <w:pStyle w:val="TableContents"/>
              <w:bidi w:val="0"/>
              <w:spacing w:before="0" w:after="0"/>
              <w:jc w:val="both"/>
              <w:rPr/>
            </w:pPr>
            <w:r>
              <w:rPr/>
              <w:t>By:</w:t>
            </w:r>
          </w:p>
        </w:tc>
        <w:tc>
          <w:tcPr>
            <w:tcW w:w="666" w:type="dxa"/>
            <w:tcBorders>
              <w:bottom w:val="single" w:sz="12" w:space="0" w:color="000000"/>
            </w:tcBorders>
            <w:tcMar>
              <w:bottom w:w="28" w:type="dxa"/>
            </w:tcMar>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Name:</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Title:</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[EXISTING GUARANTORS]</w:t>
            </w:r>
          </w:p>
        </w:tc>
      </w:tr>
      <w:tr>
        <w:trPr/>
        <w:tc>
          <w:tcPr>
            <w:tcW w:w="60" w:type="dxa"/>
            <w:tcBorders/>
            <w:vAlign w:val="center"/>
          </w:tcPr>
          <w:p>
            <w:pPr>
              <w:pStyle w:val="TableContents"/>
              <w:bidi w:val="0"/>
              <w:spacing w:before="0" w:after="283"/>
              <w:jc w:val="left"/>
              <w:rPr/>
            </w:pPr>
            <w:r>
              <w:rPr/>
              <w:t> </w:t>
            </w:r>
          </w:p>
        </w:tc>
        <w:tc>
          <w:tcPr>
            <w:tcW w:w="3394" w:type="dxa"/>
            <w:tcBorders/>
            <w:vAlign w:val="center"/>
          </w:tcPr>
          <w:p>
            <w:pPr>
              <w:pStyle w:val="TableContents"/>
              <w:bidi w:val="0"/>
              <w:spacing w:before="0" w:after="0"/>
              <w:jc w:val="both"/>
              <w:rPr/>
            </w:pPr>
            <w:r>
              <w:rPr/>
              <w:t>By:</w:t>
            </w:r>
          </w:p>
        </w:tc>
        <w:tc>
          <w:tcPr>
            <w:tcW w:w="666" w:type="dxa"/>
            <w:tcBorders>
              <w:bottom w:val="single" w:sz="12" w:space="0" w:color="000000"/>
            </w:tcBorders>
            <w:tcMar>
              <w:bottom w:w="28" w:type="dxa"/>
            </w:tcMar>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Name:</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Title:</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THE BANK OF NEW YORK MELLON,</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not in its individual capacity, but solely as Trustee</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94" w:type="dxa"/>
            <w:tcBorders/>
            <w:vAlign w:val="center"/>
          </w:tcPr>
          <w:p>
            <w:pPr>
              <w:pStyle w:val="TableContents"/>
              <w:bidi w:val="0"/>
              <w:spacing w:before="0" w:after="0"/>
              <w:jc w:val="both"/>
              <w:rPr/>
            </w:pPr>
            <w:r>
              <w:rPr/>
              <w:t>By:</w:t>
            </w:r>
          </w:p>
        </w:tc>
        <w:tc>
          <w:tcPr>
            <w:tcW w:w="666" w:type="dxa"/>
            <w:tcBorders>
              <w:bottom w:val="single" w:sz="12" w:space="0" w:color="000000"/>
            </w:tcBorders>
            <w:tcMar>
              <w:bottom w:w="28" w:type="dxa"/>
            </w:tcMar>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Name:</w:t>
            </w:r>
          </w:p>
        </w:tc>
      </w:tr>
      <w:tr>
        <w:trPr/>
        <w:tc>
          <w:tcPr>
            <w:tcW w:w="60"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0"/>
              <w:jc w:val="both"/>
              <w:rPr/>
            </w:pPr>
            <w:r>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B-3</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07" w:name="ef20076340_ex5-1.htm"/>
      <w:bookmarkStart w:id="308" w:name="ksef20076340_ex51"/>
      <w:bookmarkStart w:id="309" w:name="ef20076340_ex5-1.htm"/>
      <w:bookmarkStart w:id="310" w:name="ksef20076340_ex51"/>
      <w:bookmarkEnd w:id="309"/>
      <w:bookmarkEnd w:id="31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5.1</w:t>
      </w:r>
    </w:p>
    <w:p>
      <w:pPr>
        <w:pStyle w:val="TextBody"/>
        <w:bidi w:val="0"/>
        <w:spacing w:before="0" w:after="0"/>
        <w:jc w:val="left"/>
        <w:rPr>
          <w:b/>
          <w:sz w:val="20"/>
        </w:rPr>
      </w:pPr>
      <w:r>
        <w:rPr>
          <w:b/>
          <w:sz w:val="20"/>
        </w:rPr>
      </w:r>
    </w:p>
    <w:p>
      <w:pPr>
        <w:pStyle w:val="Normal"/>
        <w:bidi w:val="0"/>
        <w:spacing w:before="0" w:after="0"/>
        <w:jc w:val="left"/>
        <w:rPr>
          <w:sz w:val="4"/>
          <w:szCs w:val="4"/>
        </w:rPr>
      </w:pPr>
      <w:r>
        <w:rPr>
          <w:sz w:val="4"/>
          <w:szCs w:val="4"/>
        </w:rPr>
      </w:r>
      <w:bookmarkStart w:id="311" w:name="z18104c831f8a437bbbfcf5ca87f52f99"/>
      <w:bookmarkStart w:id="312" w:name="z18104c831f8a437bbbfcf5ca87f52f99"/>
      <w:bookmarkEnd w:id="312"/>
    </w:p>
    <w:tbl>
      <w:tblPr>
        <w:tblW w:w="2393" w:type="dxa"/>
        <w:jc w:val="left"/>
        <w:tblInd w:w="0" w:type="dxa"/>
        <w:tblLayout w:type="fixed"/>
        <w:tblCellMar>
          <w:top w:w="0" w:type="dxa"/>
          <w:left w:w="0" w:type="dxa"/>
          <w:bottom w:w="0" w:type="dxa"/>
          <w:right w:w="0" w:type="dxa"/>
        </w:tblCellMar>
      </w:tblPr>
      <w:tblGrid>
        <w:gridCol w:w="2370"/>
        <w:gridCol w:w="23"/>
      </w:tblGrid>
      <w:tr>
        <w:trPr/>
        <w:tc>
          <w:tcPr>
            <w:tcW w:w="2370" w:type="dxa"/>
            <w:tcBorders/>
            <w:vAlign w:val="center"/>
          </w:tcPr>
          <w:p>
            <w:pPr>
              <w:pStyle w:val="TableContents"/>
              <w:bidi w:val="0"/>
              <w:spacing w:before="0" w:after="283"/>
              <w:jc w:val="left"/>
              <w:rPr/>
            </w:pPr>
            <w:r>
              <w:rPr/>
              <w:drawing>
                <wp:inline distT="0" distB="0" distL="0" distR="0">
                  <wp:extent cx="150495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04950" cy="323850"/>
                          </a:xfrm>
                          <a:prstGeom prst="rect">
                            <a:avLst/>
                          </a:prstGeom>
                        </pic:spPr>
                      </pic:pic>
                    </a:graphicData>
                  </a:graphic>
                </wp:inline>
              </w:drawing>
            </w:r>
          </w:p>
        </w:tc>
        <w:tc>
          <w:tcPr>
            <w:tcW w:w="23" w:type="dxa"/>
            <w:tcBorders/>
            <w:vAlign w:val="center"/>
          </w:tcPr>
          <w:p>
            <w:pPr>
              <w:pStyle w:val="TableContents"/>
              <w:bidi w:val="0"/>
              <w:spacing w:before="0" w:after="283"/>
              <w:jc w:val="left"/>
              <w:rPr/>
            </w:pPr>
            <w:r>
              <w:rPr/>
            </w:r>
          </w:p>
        </w:tc>
      </w:tr>
      <w:tr>
        <w:trPr/>
        <w:tc>
          <w:tcPr>
            <w:tcW w:w="2370" w:type="dxa"/>
            <w:tcBorders>
              <w:bottom w:val="single" w:sz="2" w:space="0" w:color="4F8ABD"/>
            </w:tcBorders>
            <w:tcMar>
              <w:bottom w:w="28" w:type="dxa"/>
            </w:tcMar>
            <w:vAlign w:val="center"/>
          </w:tcPr>
          <w:p>
            <w:pPr>
              <w:pStyle w:val="TableContents"/>
              <w:bidi w:val="0"/>
              <w:spacing w:before="0" w:after="283"/>
              <w:jc w:val="left"/>
              <w:rPr/>
            </w:pPr>
            <w:r>
              <w:rPr/>
            </w:r>
          </w:p>
        </w:tc>
        <w:tc>
          <w:tcPr>
            <w:tcW w:w="23" w:type="dxa"/>
            <w:tcBorders>
              <w:bottom w:val="single" w:sz="2" w:space="0" w:color="4F8ABD"/>
            </w:tcBorders>
            <w:tcMar>
              <w:bottom w:w="28" w:type="dxa"/>
            </w:tcMar>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June 17,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Viatris Inc.</w:t>
      </w:r>
    </w:p>
    <w:p>
      <w:pPr>
        <w:pStyle w:val="TextBody"/>
        <w:bidi w:val="0"/>
        <w:spacing w:before="0" w:after="0"/>
        <w:jc w:val="left"/>
        <w:rPr>
          <w:color w:val="000000"/>
        </w:rPr>
      </w:pPr>
      <w:r>
        <w:rPr>
          <w:color w:val="000000"/>
        </w:rPr>
        <w:t>€</w:t>
      </w:r>
      <w:r>
        <w:rPr>
          <w:rFonts w:ascii="Times New Roman" w:hAnsi="Times New Roman"/>
          <w:color w:val="000000"/>
          <w:sz w:val="20"/>
        </w:rPr>
        <w:t>650,000,000 Aggregate Principal Amount of 4.250% Notes due 2033</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acted as special New York counsel to Viatris Inc., a Delaware corporation (the “</w:t>
      </w:r>
      <w:r>
        <w:rPr>
          <w:rFonts w:ascii="Times New Roman" w:hAnsi="Times New Roman"/>
          <w:color w:val="000000"/>
          <w:sz w:val="20"/>
          <w:u w:val="single"/>
        </w:rPr>
        <w:t>Company</w:t>
      </w:r>
      <w:r>
        <w:rPr>
          <w:rFonts w:ascii="Times New Roman" w:hAnsi="Times New Roman"/>
          <w:color w:val="000000"/>
          <w:sz w:val="20"/>
        </w:rPr>
        <w:t>”), Utah Acquisition Sub Inc., a Delaware corporation (“</w:t>
      </w:r>
      <w:r>
        <w:rPr>
          <w:rFonts w:ascii="Times New Roman" w:hAnsi="Times New Roman"/>
          <w:color w:val="000000"/>
          <w:sz w:val="20"/>
          <w:u w:val="single"/>
        </w:rPr>
        <w:t>Utah Acquisition Sub</w:t>
      </w:r>
      <w:r>
        <w:rPr>
          <w:rFonts w:ascii="Times New Roman" w:hAnsi="Times New Roman"/>
          <w:color w:val="000000"/>
          <w:sz w:val="20"/>
        </w:rPr>
        <w:t>”), Mylan II B.V., a private limited liability company incorporated and existing under the laws of the Netherlands (“</w:t>
      </w:r>
      <w:r>
        <w:rPr>
          <w:rFonts w:ascii="Times New Roman" w:hAnsi="Times New Roman"/>
          <w:color w:val="000000"/>
          <w:sz w:val="20"/>
          <w:u w:val="single"/>
        </w:rPr>
        <w:t>Mylan II</w:t>
      </w:r>
      <w:r>
        <w:rPr>
          <w:rFonts w:ascii="Times New Roman" w:hAnsi="Times New Roman"/>
          <w:color w:val="000000"/>
          <w:sz w:val="20"/>
        </w:rPr>
        <w:t>”), and Mylan Inc., a Pennsylvania corporation (“</w:t>
      </w:r>
      <w:r>
        <w:rPr>
          <w:rFonts w:ascii="Times New Roman" w:hAnsi="Times New Roman"/>
          <w:color w:val="000000"/>
          <w:sz w:val="20"/>
          <w:u w:val="single"/>
        </w:rPr>
        <w:t>Mylan Inc.</w:t>
      </w:r>
      <w:r>
        <w:rPr>
          <w:rFonts w:ascii="Times New Roman" w:hAnsi="Times New Roman"/>
          <w:color w:val="000000"/>
          <w:sz w:val="20"/>
        </w:rPr>
        <w:t>” and, together with Utah Acquisition Sub and Mylan II, the “</w:t>
      </w:r>
      <w:r>
        <w:rPr>
          <w:rFonts w:ascii="Times New Roman" w:hAnsi="Times New Roman"/>
          <w:color w:val="000000"/>
          <w:sz w:val="20"/>
          <w:u w:val="single"/>
        </w:rPr>
        <w:t>Guarantors</w:t>
      </w:r>
      <w:r>
        <w:rPr>
          <w:rFonts w:ascii="Times New Roman" w:hAnsi="Times New Roman"/>
          <w:color w:val="000000"/>
          <w:sz w:val="20"/>
        </w:rPr>
        <w:t>”), in connection with the public offering and sale by the Company of €650,000,000 aggregate principal amount of its 4.250% Notes due 2033 (the “</w:t>
      </w:r>
      <w:r>
        <w:rPr>
          <w:rFonts w:ascii="Times New Roman" w:hAnsi="Times New Roman"/>
          <w:color w:val="000000"/>
          <w:sz w:val="20"/>
          <w:u w:val="single"/>
        </w:rPr>
        <w:t>Notes</w:t>
      </w:r>
      <w:r>
        <w:rPr>
          <w:rFonts w:ascii="Times New Roman" w:hAnsi="Times New Roman"/>
          <w:color w:val="000000"/>
          <w:sz w:val="20"/>
        </w:rPr>
        <w:t>”) issued pursuant to an Indenture dated as of June 17, 2026 (the “</w:t>
      </w:r>
      <w:r>
        <w:rPr>
          <w:rFonts w:ascii="Times New Roman" w:hAnsi="Times New Roman"/>
          <w:color w:val="000000"/>
          <w:sz w:val="20"/>
          <w:u w:val="single"/>
        </w:rPr>
        <w:t>Base Indenture</w:t>
      </w:r>
      <w:r>
        <w:rPr>
          <w:rFonts w:ascii="Times New Roman" w:hAnsi="Times New Roman"/>
          <w:color w:val="000000"/>
          <w:sz w:val="20"/>
        </w:rPr>
        <w:t>”), among the Company, the Guarantors and The Bank of New York Mellon, as Trustee (the “</w:t>
      </w:r>
      <w:r>
        <w:rPr>
          <w:rFonts w:ascii="Times New Roman" w:hAnsi="Times New Roman"/>
          <w:color w:val="000000"/>
          <w:sz w:val="20"/>
          <w:u w:val="single"/>
        </w:rPr>
        <w:t>Trustee</w:t>
      </w:r>
      <w:r>
        <w:rPr>
          <w:rFonts w:ascii="Times New Roman" w:hAnsi="Times New Roman"/>
          <w:color w:val="000000"/>
          <w:sz w:val="20"/>
        </w:rPr>
        <w:t>”), as supplemented by the First Supplemental Indenture, dated as of June 17, 2026, among the Company, the Guarantors and the Trustee establishing the terms of the Notes (the “</w:t>
      </w:r>
      <w:r>
        <w:rPr>
          <w:rFonts w:ascii="Times New Roman" w:hAnsi="Times New Roman"/>
          <w:color w:val="000000"/>
          <w:sz w:val="20"/>
          <w:u w:val="single"/>
        </w:rPr>
        <w:t>Supplemental Indenture</w:t>
      </w:r>
      <w:r>
        <w:rPr>
          <w:rFonts w:ascii="Times New Roman" w:hAnsi="Times New Roman"/>
          <w:color w:val="000000"/>
          <w:sz w:val="20"/>
        </w:rPr>
        <w:t>” and, together with the Base Indenture, the “</w:t>
      </w:r>
      <w:r>
        <w:rPr>
          <w:rFonts w:ascii="Times New Roman" w:hAnsi="Times New Roman"/>
          <w:color w:val="000000"/>
          <w:sz w:val="20"/>
          <w:u w:val="single"/>
        </w:rPr>
        <w:t>Indenture</w:t>
      </w:r>
      <w:r>
        <w:rPr>
          <w:rFonts w:ascii="Times New Roman" w:hAnsi="Times New Roman"/>
          <w:color w:val="000000"/>
          <w:sz w:val="20"/>
        </w:rPr>
        <w:t>”). The Notes will be unconditionally guaranteed (the “</w:t>
      </w:r>
      <w:r>
        <w:rPr>
          <w:rFonts w:ascii="Times New Roman" w:hAnsi="Times New Roman"/>
          <w:color w:val="000000"/>
          <w:sz w:val="20"/>
          <w:u w:val="single"/>
        </w:rPr>
        <w:t>Guarantees</w:t>
      </w:r>
      <w:r>
        <w:rPr>
          <w:rFonts w:ascii="Times New Roman" w:hAnsi="Times New Roman"/>
          <w:color w:val="000000"/>
          <w:sz w:val="20"/>
        </w:rPr>
        <w:t>”) by the Guarantors.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that connection, we have examined originals, or copies certified or otherwise identified to our satisfaction, of such documents, corporate records and other instruments as we have deemed necessary or appropriate for the purposes of this opinion, including: (a) the Indenture; (b) the Registration Statement on Form S</w:t>
        <w:noBreakHyphen/>
        <w:t>3 (Registration No. 333</w:t>
        <w:noBreakHyphen/>
        <w:t>287087), filed with the Securities and Exchange Commission (the “</w:t>
      </w:r>
      <w:r>
        <w:rPr>
          <w:rFonts w:ascii="Times New Roman" w:hAnsi="Times New Roman"/>
          <w:color w:val="000000"/>
          <w:sz w:val="20"/>
          <w:u w:val="single"/>
        </w:rPr>
        <w:t>Commission</w:t>
      </w:r>
      <w:r>
        <w:rPr>
          <w:rFonts w:ascii="Times New Roman" w:hAnsi="Times New Roman"/>
          <w:color w:val="000000"/>
          <w:sz w:val="20"/>
        </w:rPr>
        <w:t>”) on May 8, 2025 (the “</w:t>
      </w:r>
      <w:r>
        <w:rPr>
          <w:rFonts w:ascii="Times New Roman" w:hAnsi="Times New Roman"/>
          <w:color w:val="000000"/>
          <w:sz w:val="20"/>
          <w:u w:val="single"/>
        </w:rPr>
        <w:t>Registration Statement</w:t>
      </w:r>
      <w:r>
        <w:rPr>
          <w:rFonts w:ascii="Times New Roman" w:hAnsi="Times New Roman"/>
          <w:color w:val="000000"/>
          <w:sz w:val="20"/>
        </w:rPr>
        <w:t>”), with respect to registration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of an unlimited aggregate amount of various securities of the Company and the Guarantors, to be issued from time to time by the Company and the Guarantors; (c) the related Prospectus dated May 8, 2025 (together with the documents incorporated therein by reference, the “</w:t>
      </w:r>
      <w:r>
        <w:rPr>
          <w:rFonts w:ascii="Times New Roman" w:hAnsi="Times New Roman"/>
          <w:color w:val="000000"/>
          <w:sz w:val="20"/>
          <w:u w:val="single"/>
        </w:rPr>
        <w:t>Basic Prospectus</w:t>
      </w:r>
      <w:r>
        <w:rPr>
          <w:rFonts w:ascii="Times New Roman" w:hAnsi="Times New Roman"/>
          <w:color w:val="000000"/>
          <w:sz w:val="20"/>
        </w:rPr>
        <w:t>”); (d) the Prospectus Supplement dated June 12, 2026, filed with the Commission pursuant to Rule 424(b) and Rule 430B of the General Rules and Regulations under the Securities Act (together with the Basic Prospectus, the “</w:t>
      </w:r>
      <w:r>
        <w:rPr>
          <w:rFonts w:ascii="Times New Roman" w:hAnsi="Times New Roman"/>
          <w:color w:val="000000"/>
          <w:sz w:val="20"/>
          <w:u w:val="single"/>
        </w:rPr>
        <w:t>Prospectus</w:t>
      </w:r>
      <w:r>
        <w:rPr>
          <w:rFonts w:ascii="Times New Roman" w:hAnsi="Times New Roman"/>
          <w:color w:val="000000"/>
          <w:sz w:val="20"/>
        </w:rPr>
        <w:t>”); and (e) a specimen global certificate for the Notes.  As to various questions of fact material to this opinion, we have relied upon representations of officers or directors of the Company and the Guarantors and documents furnished to us by the Company and the Guarantors without independent verification of their accuracy.  We have also assumed the genuineness of all signatures, the legal capacity and competency of all natural persons, the authenticity of all documents submitted to us as originals and the conformity to authentic original documents of all documents submitted to us as copies. We also have assumed that the Indenture has been duly authorized, executed and delivered by, and represents a legal, valid and binding obligation of, the Trustee.</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115050" cy="1085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15050" cy="1085850"/>
                    </a:xfrm>
                    <a:prstGeom prst="rect">
                      <a:avLst/>
                    </a:prstGeom>
                  </pic:spPr>
                </pic:pic>
              </a:graphicData>
            </a:graphic>
          </wp:inline>
        </w:drawing>
      </w:r>
    </w:p>
    <w:p>
      <w:pPr>
        <w:pStyle w:val="TextBody"/>
        <w:bidi w:val="0"/>
        <w:spacing w:before="0" w:after="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the foregoing and subject to the qualifications set forth herein, we are of opinion that when the Notes are authenticated in accordance with the provisions of the Indenture and delivered and paid for (i) the Notes will constitute legal, valid and binding obligations of the Company, enforceable against the Company in accordance with their terms and entitled to the benefits of the Indenture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and (ii) each Guarantee will constitute a legal, valid and binding obligation of such Guarantor, enforceable against such Guarantor in accordance with its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hereby consent to the filing of this opinion with the Commission as an exhibit to the Company’s Current Report on Form 8-K filed on June 18, 2026, and to the incorporation by reference of this opinion into the Registration Statement.  We also consent to the reference to our firm under the caption “Validity of the Notes and the Guarantees” in the Prospectus Supplement dated June 12, 2026, forming a part of the Registration Statement.  In giving this consent, we do not thereby admit that we are included in the category of persons whose consent is required under Section 7 of the Securities Act or the rules and regulations of the Commission.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are admitted to practice only in the State of New York, and we express no opinion as to matters governed by any laws other than the laws of the State of New York, the General Corporation Law of the State of Delaware and the Federal laws of the United States of America. In particular, we do not purport to pass on any matter governed by the laws of the Commonwealth of Pennsylvania or the Netherlands.</w:t>
      </w:r>
    </w:p>
    <w:p>
      <w:pPr>
        <w:pStyle w:val="TextBody"/>
        <w:bidi w:val="0"/>
        <w:spacing w:before="0" w:after="0"/>
        <w:jc w:val="left"/>
        <w:rPr>
          <w:sz w:val="20"/>
        </w:rPr>
      </w:pPr>
      <w:r>
        <w:rPr>
          <w:sz w:val="20"/>
        </w:rPr>
      </w:r>
    </w:p>
    <w:p>
      <w:pPr>
        <w:pStyle w:val="TextBody"/>
        <w:bidi w:val="0"/>
        <w:spacing w:before="180" w:after="18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313" w:name="z60c152f1aea449e89ff47d87dda42166"/>
      <w:bookmarkStart w:id="314" w:name="z60c152f1aea449e89ff47d87dda42166"/>
      <w:bookmarkEnd w:id="314"/>
    </w:p>
    <w:tbl>
      <w:tblPr>
        <w:tblW w:w="5515" w:type="dxa"/>
        <w:jc w:val="left"/>
        <w:tblInd w:w="0" w:type="dxa"/>
        <w:tblLayout w:type="fixed"/>
        <w:tblCellMar>
          <w:top w:w="0" w:type="dxa"/>
          <w:left w:w="0" w:type="dxa"/>
          <w:bottom w:w="0" w:type="dxa"/>
          <w:right w:w="0" w:type="dxa"/>
        </w:tblCellMar>
      </w:tblPr>
      <w:tblGrid>
        <w:gridCol w:w="2765"/>
        <w:gridCol w:w="2750"/>
      </w:tblGrid>
      <w:tr>
        <w:trPr/>
        <w:tc>
          <w:tcPr>
            <w:tcW w:w="27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sz w:val="20"/>
              </w:rPr>
            </w:pPr>
            <w:r>
              <w:rPr>
                <w:sz w:val="20"/>
              </w:rPr>
              <w:t>Very truly yours,</w:t>
            </w:r>
          </w:p>
        </w:tc>
      </w:tr>
      <w:tr>
        <w:trPr/>
        <w:tc>
          <w:tcPr>
            <w:tcW w:w="27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sz w:val="20"/>
              </w:rPr>
            </w:pPr>
            <w:r>
              <w:rPr>
                <w:sz w:val="20"/>
              </w:rPr>
              <w:t>/s/ Cravath, Swaine &amp; Moore LLP</w:t>
            </w:r>
          </w:p>
        </w:tc>
      </w:tr>
      <w:tr>
        <w:trPr/>
        <w:tc>
          <w:tcPr>
            <w:tcW w:w="27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0"/>
              <w:jc w:val="left"/>
              <w:rPr>
                <w:sz w:val="20"/>
              </w:rPr>
            </w:pPr>
            <w:r>
              <w:rPr>
                <w:sz w:val="20"/>
              </w:rPr>
              <w:t>Viatris Inc.</w:t>
            </w:r>
          </w:p>
        </w:tc>
        <w:tc>
          <w:tcPr>
            <w:tcW w:w="2750"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0"/>
              <w:ind w:left="360" w:right="0" w:hanging="0"/>
              <w:jc w:val="left"/>
              <w:rPr>
                <w:sz w:val="20"/>
              </w:rPr>
            </w:pPr>
            <w:r>
              <w:rPr>
                <w:sz w:val="20"/>
              </w:rPr>
              <w:t>1000 Mylan Boulevard</w:t>
            </w:r>
          </w:p>
        </w:tc>
        <w:tc>
          <w:tcPr>
            <w:tcW w:w="2750"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0"/>
              <w:ind w:left="540" w:right="0" w:hanging="0"/>
              <w:jc w:val="left"/>
              <w:rPr>
                <w:sz w:val="20"/>
              </w:rPr>
            </w:pPr>
            <w:r>
              <w:rPr>
                <w:sz w:val="20"/>
              </w:rPr>
              <w:t>Canonsburg, Pennsylvania 15317</w:t>
            </w:r>
          </w:p>
        </w:tc>
        <w:tc>
          <w:tcPr>
            <w:tcW w:w="2750"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color w:val="000000"/>
          <w:sz w:val="16"/>
        </w:rPr>
      </w:pPr>
      <w:r>
        <w:rPr>
          <w:rFonts w:ascii="Times New Roman" w:hAnsi="Times New Roman"/>
          <w:b w:val="false"/>
          <w:i w:val="false"/>
          <w:caps w:val="false"/>
          <w:smallCaps w:val="false"/>
          <w:color w:val="000000"/>
          <w:sz w:val="16"/>
        </w:rPr>
        <w:t>3</w:t>
      </w:r>
      <w:r>
        <w:rPr>
          <w:rFonts w:ascii="Times New Roman" w:hAnsi="Times New Roman"/>
          <w:color w:val="000000"/>
          <w:sz w:val="16"/>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15" w:name="ef20076340_ex5-2.htm"/>
      <w:bookmarkStart w:id="316" w:name="ksef20076340_ex52"/>
      <w:bookmarkStart w:id="317" w:name="ef20076340_ex5-2.htm"/>
      <w:bookmarkStart w:id="318" w:name="ksef20076340_ex52"/>
      <w:bookmarkEnd w:id="317"/>
      <w:bookmarkEnd w:id="31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5.2</w:t>
      </w:r>
    </w:p>
    <w:p>
      <w:pPr>
        <w:pStyle w:val="TextBody"/>
        <w:bidi w:val="0"/>
        <w:spacing w:before="0" w:after="0"/>
        <w:jc w:val="left"/>
        <w:rPr/>
      </w:pPr>
      <w:r>
        <w:rPr/>
      </w:r>
    </w:p>
    <w:tbl>
      <w:tblPr>
        <w:tblW w:w="8785" w:type="dxa"/>
        <w:jc w:val="left"/>
        <w:tblInd w:w="0" w:type="dxa"/>
        <w:tblLayout w:type="fixed"/>
        <w:tblCellMar>
          <w:top w:w="0" w:type="dxa"/>
          <w:left w:w="0" w:type="dxa"/>
          <w:bottom w:w="0" w:type="dxa"/>
          <w:right w:w="0" w:type="dxa"/>
        </w:tblCellMar>
      </w:tblPr>
      <w:tblGrid>
        <w:gridCol w:w="6215"/>
        <w:gridCol w:w="60"/>
        <w:gridCol w:w="2510"/>
      </w:tblGrid>
      <w:tr>
        <w:trPr/>
        <w:tc>
          <w:tcPr>
            <w:tcW w:w="6215" w:type="dxa"/>
            <w:tcBorders/>
            <w:vAlign w:val="center"/>
          </w:tcPr>
          <w:p>
            <w:pPr>
              <w:pStyle w:val="TableContents"/>
              <w:bidi w:val="0"/>
              <w:spacing w:before="0" w:after="0"/>
              <w:jc w:val="left"/>
              <w:rPr/>
            </w:pPr>
            <w:r>
              <w:rPr/>
              <w:t>ATTORNEYS • CIVIL LAW NOTARIES • TAX ADVISERS</w:t>
            </w:r>
          </w:p>
        </w:tc>
        <w:tc>
          <w:tcPr>
            <w:tcW w:w="2570" w:type="dxa"/>
            <w:gridSpan w:val="2"/>
            <w:tcBorders/>
            <w:vAlign w:val="center"/>
          </w:tcPr>
          <w:p>
            <w:pPr>
              <w:pStyle w:val="TableContents"/>
              <w:bidi w:val="0"/>
              <w:spacing w:before="0" w:after="283"/>
              <w:jc w:val="left"/>
              <w:rPr/>
            </w:pPr>
            <w:bookmarkStart w:id="319" w:name="bmkFirmLogo1"/>
            <w:bookmarkEnd w:id="319"/>
            <w:r>
              <w:rPr/>
              <w:drawing>
                <wp:inline distT="0" distB="0" distL="0" distR="0">
                  <wp:extent cx="1266825"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6825" cy="152400"/>
                          </a:xfrm>
                          <a:prstGeom prst="rect">
                            <a:avLst/>
                          </a:prstGeom>
                        </pic:spPr>
                      </pic:pic>
                    </a:graphicData>
                  </a:graphic>
                </wp:inline>
              </w:drawing>
            </w:r>
            <w:r>
              <w:rPr/>
              <w:t xml:space="preserve"> </w:t>
            </w:r>
          </w:p>
        </w:tc>
      </w:tr>
      <w:tr>
        <w:trPr/>
        <w:tc>
          <w:tcPr>
            <w:tcW w:w="6215" w:type="dxa"/>
            <w:tcBorders/>
            <w:vAlign w:val="center"/>
          </w:tcPr>
          <w:p>
            <w:pPr>
              <w:pStyle w:val="TableContents"/>
              <w:bidi w:val="0"/>
              <w:spacing w:before="0" w:after="0"/>
              <w:jc w:val="both"/>
              <w:rPr/>
            </w:pPr>
            <w:r>
              <w:rPr/>
              <w:t>Beethovenstraat 400</w:t>
            </w:r>
          </w:p>
          <w:p>
            <w:pPr>
              <w:pStyle w:val="TableContents"/>
              <w:bidi w:val="0"/>
              <w:spacing w:before="0" w:after="0"/>
              <w:jc w:val="left"/>
              <w:rPr/>
            </w:pPr>
            <w:r>
              <w:rPr/>
              <w:t>1082 PR  Amsterdam</w:t>
            </w:r>
          </w:p>
          <w:p>
            <w:pPr>
              <w:pStyle w:val="TableContents"/>
              <w:bidi w:val="0"/>
              <w:spacing w:before="0" w:after="0"/>
              <w:jc w:val="both"/>
              <w:rPr/>
            </w:pPr>
            <w:r>
              <w:rPr/>
              <w:t>T  +31 20 71 71 000</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pPr>
            <w:r>
              <w:rPr/>
              <w:t> </w:t>
            </w:r>
          </w:p>
          <w:p>
            <w:pPr>
              <w:pStyle w:val="TableContents"/>
              <w:bidi w:val="0"/>
              <w:spacing w:before="0" w:after="0"/>
              <w:jc w:val="both"/>
              <w:rPr/>
            </w:pPr>
            <w:r>
              <w:rPr/>
              <w:t>Amsterdam, 17 June 2026</w:t>
            </w:r>
          </w:p>
        </w:tc>
      </w:tr>
    </w:tbl>
    <w:p>
      <w:pPr>
        <w:pStyle w:val="TextBody"/>
        <w:bidi w:val="0"/>
        <w:spacing w:before="0" w:after="0"/>
        <w:jc w:val="both"/>
        <w:rPr>
          <w:sz w:val="20"/>
        </w:rPr>
      </w:pPr>
      <w:r>
        <w:rPr>
          <w:sz w:val="20"/>
        </w:rPr>
      </w:r>
      <w:bookmarkStart w:id="320" w:name="bmkConcerningLINE"/>
      <w:bookmarkStart w:id="321" w:name="bmkSubjectlib"/>
      <w:bookmarkStart w:id="322" w:name="bmkConcerningLINE"/>
      <w:bookmarkStart w:id="323" w:name="bmkSubjectlib"/>
      <w:bookmarkEnd w:id="322"/>
      <w:bookmarkEnd w:id="323"/>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pPr>
            <w:r>
              <w:rPr/>
            </w:r>
          </w:p>
        </w:tc>
        <w:tc>
          <w:tcPr>
            <w:tcW w:w="10182" w:type="dxa"/>
            <w:tcBorders/>
            <w:vAlign w:val="center"/>
          </w:tcPr>
          <w:p>
            <w:pPr>
              <w:pStyle w:val="TableContents"/>
              <w:bidi w:val="0"/>
              <w:spacing w:before="0" w:after="0"/>
              <w:jc w:val="both"/>
              <w:rPr/>
            </w:pPr>
            <w:r>
              <w:rPr/>
              <w:t>To Viatris Inc.:</w:t>
            </w:r>
          </w:p>
          <w:p>
            <w:pPr>
              <w:pStyle w:val="TableContents"/>
              <w:bidi w:val="0"/>
              <w:spacing w:before="0" w:after="0"/>
              <w:jc w:val="left"/>
              <w:rPr/>
            </w:pPr>
            <w:r>
              <w:rPr/>
              <w:t> </w:t>
            </w:r>
          </w:p>
          <w:p>
            <w:pPr>
              <w:pStyle w:val="TableContents"/>
              <w:bidi w:val="0"/>
              <w:spacing w:before="0" w:after="0"/>
              <w:jc w:val="both"/>
              <w:rPr/>
            </w:pPr>
            <w:bookmarkStart w:id="324" w:name="bmkDocinfoLINE"/>
            <w:bookmarkStart w:id="325" w:name="bmkDocinfo"/>
            <w:bookmarkStart w:id="326" w:name="bmkExtrapara2"/>
            <w:bookmarkEnd w:id="324"/>
            <w:bookmarkEnd w:id="325"/>
            <w:bookmarkEnd w:id="326"/>
            <w:r>
              <w:rPr/>
              <w:t>We have acted as legal counsel as to Dutch law to Viatris Inc. and the Dutch Company in connection with the filing of the Registration Statement with the SEC. This opinion letter is rendered to you in order to be filed with the SEC as an exhibit to the Registration Statement.</w:t>
            </w:r>
          </w:p>
          <w:p>
            <w:pPr>
              <w:pStyle w:val="TableContents"/>
              <w:bidi w:val="0"/>
              <w:spacing w:before="0" w:after="0"/>
              <w:jc w:val="left"/>
              <w:rPr/>
            </w:pPr>
            <w:r>
              <w:rPr/>
              <w:t> </w:t>
            </w:r>
          </w:p>
          <w:p>
            <w:pPr>
              <w:pStyle w:val="TableContents"/>
              <w:bidi w:val="0"/>
              <w:spacing w:before="0" w:after="0"/>
              <w:jc w:val="both"/>
              <w:rPr/>
            </w:pPr>
            <w:r>
              <w:rPr/>
              <w:t>Capitalised terms used in this opinion letter have the meanings set forth in Exhibit A to this opinion letter. The headings used in this opinion letter are for convenience of reference only and are not to affect its construction or to be taken into consideration in its interpretation.</w:t>
            </w:r>
          </w:p>
          <w:p>
            <w:pPr>
              <w:pStyle w:val="TableContents"/>
              <w:bidi w:val="0"/>
              <w:spacing w:before="0" w:after="0"/>
              <w:jc w:val="left"/>
              <w:rPr/>
            </w:pPr>
            <w:r>
              <w:rPr/>
              <w:t> </w:t>
            </w:r>
          </w:p>
          <w:p>
            <w:pPr>
              <w:pStyle w:val="TableContents"/>
              <w:bidi w:val="0"/>
              <w:spacing w:before="0" w:after="0"/>
              <w:jc w:val="both"/>
              <w:rPr/>
            </w:pPr>
            <w:r>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 except as expressly confirmed in this opinion letter.</w:t>
            </w:r>
          </w:p>
          <w:p>
            <w:pPr>
              <w:pStyle w:val="TableContents"/>
              <w:bidi w:val="0"/>
              <w:spacing w:before="0" w:after="0"/>
              <w:jc w:val="left"/>
              <w:rPr/>
            </w:pPr>
            <w:r>
              <w:rPr/>
              <w:t> </w:t>
            </w:r>
          </w:p>
          <w:p>
            <w:pPr>
              <w:pStyle w:val="TableContents"/>
              <w:bidi w:val="0"/>
              <w:spacing w:before="0" w:after="0"/>
              <w:jc w:val="both"/>
              <w:rPr/>
            </w:pPr>
            <w:r>
              <w:rPr/>
              <w:t xml:space="preserve">In rendering the opinions expressed in this opinion letter, we have exclusively reviewed and relied upon pdf copies of the Opinion Documents and the Corporate Documents and we have assumed that the Opinion Documents have been entered into or filed, as the case may be, for </w:t>
            </w:r>
            <w:r>
              <w:rPr>
                <w:i/>
              </w:rPr>
              <w:t>bona fide</w:t>
            </w:r>
            <w:r>
              <w:rPr/>
              <w:t xml:space="preserve"> commercial reasons. We have not investigated or verified any factual matter disclosed to us in the course of our review.</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130"/>
        <w:gridCol w:w="9075"/>
      </w:tblGrid>
      <w:tr>
        <w:trPr/>
        <w:tc>
          <w:tcPr>
            <w:tcW w:w="1130" w:type="dxa"/>
            <w:tcBorders/>
            <w:vAlign w:val="center"/>
          </w:tcPr>
          <w:p>
            <w:pPr>
              <w:pStyle w:val="TableContents"/>
              <w:bidi w:val="0"/>
              <w:spacing w:before="0" w:after="0"/>
              <w:jc w:val="left"/>
              <w:rPr/>
            </w:pPr>
            <w:r>
              <w:rPr/>
              <w:t>Amsterdam</w:t>
            </w:r>
          </w:p>
          <w:p>
            <w:pPr>
              <w:pStyle w:val="TableContents"/>
              <w:bidi w:val="0"/>
              <w:spacing w:before="0" w:after="0"/>
              <w:jc w:val="left"/>
              <w:rPr/>
            </w:pPr>
            <w:r>
              <w:rPr/>
            </w:r>
          </w:p>
          <w:p>
            <w:pPr>
              <w:pStyle w:val="TableContents"/>
              <w:bidi w:val="0"/>
              <w:spacing w:before="0" w:after="0"/>
              <w:jc w:val="left"/>
              <w:rPr/>
            </w:pPr>
            <w:r>
              <w:rPr/>
              <w:t>Brussels</w:t>
            </w:r>
          </w:p>
          <w:p>
            <w:pPr>
              <w:pStyle w:val="TableContents"/>
              <w:bidi w:val="0"/>
              <w:spacing w:before="0" w:after="0"/>
              <w:jc w:val="left"/>
              <w:rPr/>
            </w:pPr>
            <w:r>
              <w:rPr/>
            </w:r>
          </w:p>
          <w:p>
            <w:pPr>
              <w:pStyle w:val="TableContents"/>
              <w:bidi w:val="0"/>
              <w:spacing w:before="0" w:after="0"/>
              <w:jc w:val="left"/>
              <w:rPr/>
            </w:pPr>
            <w:r>
              <w:rPr/>
              <w:t>London</w:t>
            </w:r>
          </w:p>
          <w:p>
            <w:pPr>
              <w:pStyle w:val="TableContents"/>
              <w:bidi w:val="0"/>
              <w:spacing w:before="0" w:after="0"/>
              <w:jc w:val="left"/>
              <w:rPr/>
            </w:pPr>
            <w:r>
              <w:rPr/>
            </w:r>
          </w:p>
          <w:p>
            <w:pPr>
              <w:pStyle w:val="TableContents"/>
              <w:bidi w:val="0"/>
              <w:spacing w:before="0" w:after="0"/>
              <w:jc w:val="left"/>
              <w:rPr/>
            </w:pPr>
            <w:r>
              <w:rPr/>
              <w:t>Luxemburg</w:t>
            </w:r>
          </w:p>
          <w:p>
            <w:pPr>
              <w:pStyle w:val="TableContents"/>
              <w:bidi w:val="0"/>
              <w:spacing w:before="0" w:after="0"/>
              <w:jc w:val="left"/>
              <w:rPr/>
            </w:pPr>
            <w:r>
              <w:rPr/>
            </w:r>
          </w:p>
          <w:p>
            <w:pPr>
              <w:pStyle w:val="TableContents"/>
              <w:bidi w:val="0"/>
              <w:spacing w:before="0" w:after="0"/>
              <w:jc w:val="left"/>
              <w:rPr/>
            </w:pPr>
            <w:r>
              <w:rPr/>
              <w:t>New York</w:t>
            </w:r>
          </w:p>
          <w:p>
            <w:pPr>
              <w:pStyle w:val="TableContents"/>
              <w:bidi w:val="0"/>
              <w:spacing w:before="0" w:after="0"/>
              <w:jc w:val="left"/>
              <w:rPr/>
            </w:pPr>
            <w:r>
              <w:rPr/>
            </w:r>
          </w:p>
          <w:p>
            <w:pPr>
              <w:pStyle w:val="TableContents"/>
              <w:bidi w:val="0"/>
              <w:spacing w:before="0" w:after="0"/>
              <w:jc w:val="left"/>
              <w:rPr/>
            </w:pPr>
            <w:r>
              <w:rPr/>
              <w:t>Rotterdam</w:t>
            </w:r>
          </w:p>
        </w:tc>
        <w:tc>
          <w:tcPr>
            <w:tcW w:w="9075" w:type="dxa"/>
            <w:tcBorders/>
            <w:vAlign w:val="center"/>
          </w:tcPr>
          <w:p>
            <w:pPr>
              <w:pStyle w:val="TableContents"/>
              <w:bidi w:val="0"/>
              <w:spacing w:before="0" w:after="0"/>
              <w:jc w:val="both"/>
              <w:rPr/>
            </w:pPr>
            <w:r>
              <w:rPr/>
              <w:t xml:space="preserve">This communication is confidential and may be subject to professional privilege. All legal relationships are subject to NautaDutilh N.V.’s general terms and conditions (see </w:t>
            </w:r>
            <w:r>
              <w:rPr>
                <w:u w:val="single"/>
              </w:rPr>
              <w:t>https://www.nautadutilh.com/terms</w:t>
            </w:r>
            <w:r>
              <w:rPr/>
              <w:t>),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281"/>
        <w:gridCol w:w="1714"/>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t>2</w:t>
            </w:r>
          </w:p>
        </w:tc>
      </w:tr>
    </w:tbl>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jc w:val="left"/>
              <w:rPr/>
            </w:pPr>
            <w:r>
              <w:rPr/>
              <w:t> </w:t>
            </w:r>
          </w:p>
        </w:tc>
        <w:tc>
          <w:tcPr>
            <w:tcW w:w="10145" w:type="dxa"/>
            <w:tcBorders/>
            <w:vAlign w:val="center"/>
          </w:tcPr>
          <w:p>
            <w:pPr>
              <w:pStyle w:val="TableContents"/>
              <w:bidi w:val="0"/>
              <w:spacing w:before="0" w:after="0"/>
              <w:jc w:val="both"/>
              <w:rPr/>
            </w:pPr>
            <w:r>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tax law, Dutch or European competition law, data protection law, securitization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Opinion Documents or the Corporate Documents subsequent to the date of this opinion letter.</w:t>
            </w:r>
          </w:p>
          <w:p>
            <w:pPr>
              <w:pStyle w:val="TableContents"/>
              <w:bidi w:val="0"/>
              <w:spacing w:before="0" w:after="0"/>
              <w:jc w:val="left"/>
              <w:rPr/>
            </w:pPr>
            <w:r>
              <w:rPr/>
              <w:t> </w:t>
            </w:r>
          </w:p>
          <w:p>
            <w:pPr>
              <w:pStyle w:val="TableContents"/>
              <w:bidi w:val="0"/>
              <w:spacing w:before="0" w:after="0"/>
              <w:jc w:val="both"/>
              <w:rPr/>
            </w:pPr>
            <w:r>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as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pStyle w:val="TableContents"/>
              <w:bidi w:val="0"/>
              <w:spacing w:before="0" w:after="0"/>
              <w:jc w:val="left"/>
              <w:rPr/>
            </w:pPr>
            <w:r>
              <w:rPr/>
              <w:t> </w:t>
            </w:r>
          </w:p>
          <w:p>
            <w:pPr>
              <w:pStyle w:val="TableContents"/>
              <w:bidi w:val="0"/>
              <w:spacing w:before="0" w:after="0"/>
              <w:jc w:val="both"/>
              <w:rPr/>
            </w:pPr>
            <w:r>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pStyle w:val="TableContents"/>
              <w:bidi w:val="0"/>
              <w:spacing w:before="0" w:after="0"/>
              <w:jc w:val="left"/>
              <w:rPr/>
            </w:pPr>
            <w:r>
              <w:rPr/>
              <w:t> </w:t>
            </w:r>
          </w:p>
          <w:p>
            <w:pPr>
              <w:pStyle w:val="TableContents"/>
              <w:bidi w:val="0"/>
              <w:spacing w:before="0" w:after="0"/>
              <w:jc w:val="both"/>
              <w:rPr/>
            </w:pPr>
            <w:r>
              <w:rPr/>
              <w:t>For the purposes of this opinion letter, we have assumed that:</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both"/>
              <w:rPr/>
            </w:pPr>
            <w:r>
              <w:rPr/>
              <w:t>drafts of documents reviewed by us will be signed in the form of those drafts, each copy of a document conforms to the original, each original is authentic, and each signature is the genuine signature of the individual purported to have placed that signature;</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both"/>
              <w:rPr/>
            </w:pPr>
            <w:r>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both"/>
              <w:rPr/>
            </w:pPr>
            <w:r>
              <w:rPr/>
              <w:t>the Registration Statement has been declared effective by, and the Prospectus Supplement has been filed with, the SEC in the forms reviewed by us;</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281"/>
        <w:gridCol w:w="1714"/>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t>3</w:t>
            </w:r>
          </w:p>
        </w:tc>
      </w:tr>
    </w:tbl>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both"/>
              <w:rPr/>
            </w:pPr>
            <w:r>
              <w:rPr/>
              <w:t>(i) no internal regulations (</w:t>
            </w:r>
            <w:r>
              <w:rPr>
                <w:i/>
              </w:rPr>
              <w:t>reglementen</w:t>
            </w:r>
            <w:r>
              <w:rPr/>
              <w:t>) have been adopted by any corporate body of the Dutch Company which would  affect the validity of the resolutions recorded in the Resolutions and (ii) the Articles of Association were the Dutch Company’s articles of association in force when the Opinion Documents were entered into by the Dutch Company and as they are currently in force. The Extract supports item (ii) of this assumption;</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0"/>
              <w:jc w:val="both"/>
              <w:rPr/>
            </w:pPr>
            <w:r>
              <w:rPr/>
              <w:t>the Dutch Company has not (i) been dissolved (</w:t>
            </w:r>
            <w:r>
              <w:rPr>
                <w:i/>
              </w:rPr>
              <w:t>ontbonden</w:t>
            </w:r>
            <w:r>
              <w:rPr/>
              <w:t>), (ii) ceased to exist pursuant to a merger (</w:t>
            </w:r>
            <w:r>
              <w:rPr>
                <w:i/>
              </w:rPr>
              <w:t>fusie</w:t>
            </w:r>
            <w:r>
              <w:rPr/>
              <w:t>) or a division (</w:t>
            </w:r>
            <w:r>
              <w:rPr>
                <w:i/>
              </w:rPr>
              <w:t>splitsing</w:t>
            </w:r>
            <w:r>
              <w:rPr/>
              <w:t>), (iii) been converted (</w:t>
            </w:r>
            <w:r>
              <w:rPr>
                <w:i/>
              </w:rPr>
              <w:t>omgezet</w:t>
            </w:r>
            <w:r>
              <w:rPr/>
              <w:t>) into another legal form, either national or foreign, (iv) had its assets placed under administration (</w:t>
            </w:r>
            <w:r>
              <w:rPr>
                <w:i/>
              </w:rPr>
              <w:t>onder bewind gesteld</w:t>
            </w:r>
            <w:r>
              <w:rPr/>
              <w:t>), (v) been declared bankrupt (</w:t>
            </w:r>
            <w:r>
              <w:rPr>
                <w:i/>
              </w:rPr>
              <w:t>failliet verklaard</w:t>
            </w:r>
            <w:r>
              <w:rPr/>
              <w:t>), been granted a suspension of payments (</w:t>
            </w:r>
            <w:r>
              <w:rPr>
                <w:i/>
              </w:rPr>
              <w:t>surseance van betaling verleend</w:t>
            </w:r>
            <w:r>
              <w:rPr/>
              <w:t>), or started or become subject to statutory proceedings for the restructuring of its debts (</w:t>
            </w:r>
            <w:r>
              <w:rPr>
                <w:i/>
              </w:rPr>
              <w:t>akkoordprocedure</w:t>
            </w:r>
            <w:r>
              <w:rPr/>
              <w:t>) or (vi) been made subject to similar proceedings in any jurisdiction or otherwise been limited in its power to dispose of its assets. The Extract and our inquiries of 16 June 2026 with the Insolvency Registers support the items (i) through (v) (except for any statutory proceedings for the restructuring of debts (</w:t>
            </w:r>
            <w:r>
              <w:rPr>
                <w:i/>
              </w:rPr>
              <w:t>akkoordprocedure</w:t>
            </w:r>
            <w:r>
              <w:rPr/>
              <w:t>) that have not, or not yet, been filed in the Insolvency Registers) of this assumption. However, this information does not constitute conclusive evidence that the events set out in items (i) through (v) have not occurred;</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both"/>
              <w:rPr/>
            </w:pPr>
            <w:r>
              <w:rPr/>
              <w:t>the resolutions recorded in the Resolutions are (and were at all relevant times) in full force and effect, and the factual statements made and the confirmations given in the Resolutions are (and were at all relevant times) complete and correct;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0"/>
              <w:jc w:val="both"/>
              <w:rPr/>
            </w:pPr>
            <w:r>
              <w:rPr/>
              <w:t>each Power of Attorney (i) is in full force and effect, and (ii) under any applicable law other than Dutch law, validly authorises the person or persons purported to be granted power of attorney, to represent and bind the Dutch Company for the purposes stated therein; and</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h.</w:t>
            </w:r>
          </w:p>
        </w:tc>
        <w:tc>
          <w:tcPr>
            <w:tcW w:w="9930" w:type="dxa"/>
            <w:tcBorders/>
            <w:vAlign w:val="center"/>
          </w:tcPr>
          <w:p>
            <w:pPr>
              <w:pStyle w:val="TableContents"/>
              <w:bidi w:val="0"/>
              <w:spacing w:before="0" w:after="0"/>
              <w:jc w:val="both"/>
              <w:rPr/>
            </w:pPr>
            <w:r>
              <w:rPr/>
              <w:t>the issuance of the Notes, to the extent made in the Netherlands, has been, is and will be made in conformity with the Prospectus Supplement, the Prospectus Regulation, the PRIIPS Regulation and the rules promulgated thereunder.</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jc w:val="left"/>
              <w:rPr/>
            </w:pPr>
            <w:r>
              <w:rPr/>
              <w:t> </w:t>
            </w:r>
          </w:p>
        </w:tc>
        <w:tc>
          <w:tcPr>
            <w:tcW w:w="10145" w:type="dxa"/>
            <w:tcBorders/>
            <w:vAlign w:val="center"/>
          </w:tcPr>
          <w:p>
            <w:pPr>
              <w:pStyle w:val="TableContents"/>
              <w:bidi w:val="0"/>
              <w:spacing w:before="0" w:after="283"/>
              <w:jc w:val="left"/>
              <w:rPr/>
            </w:pPr>
            <w:r>
              <w:rPr/>
              <w:t>Based upon and subject to the foregoing and subject to the qualifications set forth in this opinion letter and to any matters, documents or events not disclosed to us, we express the following opinions:</w:t>
            </w:r>
          </w:p>
        </w:tc>
      </w:tr>
    </w:tbl>
    <w:p>
      <w:pPr>
        <w:pStyle w:val="TextBody"/>
        <w:bidi w:val="0"/>
        <w:spacing w:before="0" w:after="0"/>
        <w:jc w:val="both"/>
        <w:rPr>
          <w:sz w:val="20"/>
        </w:rPr>
      </w:pPr>
      <w:r>
        <w:rPr>
          <w:sz w:val="20"/>
        </w:rPr>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281"/>
        <w:gridCol w:w="1714"/>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t>4</w:t>
            </w:r>
          </w:p>
        </w:tc>
      </w:tr>
    </w:tbl>
    <w:p>
      <w:pPr>
        <w:pStyle w:val="TextBody"/>
        <w:bidi w:val="0"/>
        <w:spacing w:before="0" w:after="0"/>
        <w:ind w:left="360" w:right="0" w:firstLine="3780"/>
        <w:jc w:val="both"/>
        <w:rPr>
          <w:rFonts w:ascii="Times New Roman" w:hAnsi="Times New Roman"/>
          <w:b/>
          <w:color w:val="000000"/>
          <w:sz w:val="20"/>
        </w:rPr>
      </w:pPr>
      <w:r>
        <w:rPr>
          <w:rFonts w:ascii="Times New Roman" w:hAnsi="Times New Roman"/>
          <w:b/>
          <w:color w:val="000000"/>
          <w:sz w:val="20"/>
        </w:rPr>
        <w:t>Incorporation and Corporate Status</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bookmarkStart w:id="327" w:name="z_Ref505262680"/>
            <w:bookmarkEnd w:id="327"/>
            <w:r>
              <w:rPr/>
              <w:t>1.</w:t>
            </w:r>
          </w:p>
        </w:tc>
        <w:tc>
          <w:tcPr>
            <w:tcW w:w="9945" w:type="dxa"/>
            <w:tcBorders/>
            <w:vAlign w:val="center"/>
          </w:tcPr>
          <w:p>
            <w:pPr>
              <w:pStyle w:val="TableContents"/>
              <w:bidi w:val="0"/>
              <w:spacing w:before="0" w:after="0"/>
              <w:jc w:val="both"/>
              <w:rPr/>
            </w:pPr>
            <w:r>
              <w:rPr/>
              <w:t xml:space="preserve">The Dutch Company has been duly incorporated and is validly existing as a </w:t>
            </w:r>
            <w:r>
              <w:rPr>
                <w:i/>
              </w:rPr>
              <w:t>besloten vennootschap met beperkte aansprakelijkheid</w:t>
            </w:r>
            <w:r>
              <w:rPr/>
              <w:t>.</w:t>
            </w:r>
          </w:p>
        </w:tc>
      </w:tr>
    </w:tbl>
    <w:p>
      <w:pPr>
        <w:pStyle w:val="TextBody"/>
        <w:bidi w:val="0"/>
        <w:spacing w:before="0" w:after="0"/>
        <w:jc w:val="left"/>
        <w:rPr>
          <w:color w:val="000000"/>
        </w:rPr>
      </w:pPr>
      <w:r>
        <w:rPr>
          <w:color w:val="000000"/>
        </w:rPr>
        <w:t> </w:t>
      </w:r>
    </w:p>
    <w:p>
      <w:pPr>
        <w:pStyle w:val="TextBody"/>
        <w:bidi w:val="0"/>
        <w:spacing w:before="0" w:after="0"/>
        <w:ind w:left="360" w:right="0" w:firstLine="3780"/>
        <w:jc w:val="both"/>
        <w:rPr>
          <w:rFonts w:ascii="Times New Roman" w:hAnsi="Times New Roman"/>
          <w:b/>
          <w:color w:val="000000"/>
          <w:sz w:val="20"/>
        </w:rPr>
      </w:pPr>
      <w:r>
        <w:rPr>
          <w:rFonts w:ascii="Times New Roman" w:hAnsi="Times New Roman"/>
          <w:b/>
          <w:color w:val="000000"/>
          <w:sz w:val="20"/>
        </w:rPr>
        <w:t>Corporate Power</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both"/>
              <w:rPr/>
            </w:pPr>
            <w:r>
              <w:rPr/>
              <w:t>The Dutch Company has the corporate power to enter into the Opinion Documents and to perform its obligations thereunder. The Dutch Company does not violate any provision of its Articles of Association by entering into the Opinion Documents or performing its obligations thereunder.</w:t>
            </w:r>
          </w:p>
        </w:tc>
      </w:tr>
    </w:tbl>
    <w:p>
      <w:pPr>
        <w:pStyle w:val="TextBody"/>
        <w:bidi w:val="0"/>
        <w:spacing w:before="0" w:after="0"/>
        <w:jc w:val="left"/>
        <w:rPr>
          <w:color w:val="000000"/>
        </w:rPr>
      </w:pPr>
      <w:r>
        <w:rPr>
          <w:color w:val="000000"/>
        </w:rPr>
        <w:t> </w:t>
      </w:r>
    </w:p>
    <w:p>
      <w:pPr>
        <w:pStyle w:val="TextBody"/>
        <w:bidi w:val="0"/>
        <w:spacing w:before="0" w:after="0"/>
        <w:ind w:left="360" w:right="0" w:firstLine="3780"/>
        <w:jc w:val="both"/>
        <w:rPr>
          <w:rFonts w:ascii="Times New Roman" w:hAnsi="Times New Roman"/>
          <w:b/>
          <w:color w:val="000000"/>
          <w:sz w:val="20"/>
        </w:rPr>
      </w:pPr>
      <w:r>
        <w:rPr>
          <w:rFonts w:ascii="Times New Roman" w:hAnsi="Times New Roman"/>
          <w:b/>
          <w:color w:val="000000"/>
          <w:sz w:val="20"/>
        </w:rPr>
        <w:t>Corporate Action</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both"/>
              <w:rPr/>
            </w:pPr>
            <w:r>
              <w:rPr/>
              <w:t>The Dutch Company has taken all corporate action required by its Articles of Association and Dutch law in connection with entering into the Opinion Documents.</w:t>
            </w:r>
          </w:p>
        </w:tc>
      </w:tr>
    </w:tbl>
    <w:p>
      <w:pPr>
        <w:pStyle w:val="TextBody"/>
        <w:bidi w:val="0"/>
        <w:spacing w:before="0" w:after="0"/>
        <w:jc w:val="left"/>
        <w:rPr>
          <w:color w:val="000000"/>
        </w:rPr>
      </w:pPr>
      <w:r>
        <w:rPr>
          <w:color w:val="000000"/>
        </w:rPr>
        <w:t> </w:t>
      </w:r>
    </w:p>
    <w:p>
      <w:pPr>
        <w:pStyle w:val="TextBody"/>
        <w:bidi w:val="0"/>
        <w:spacing w:before="0" w:after="0"/>
        <w:ind w:left="360" w:right="0" w:firstLine="3780"/>
        <w:jc w:val="both"/>
        <w:rPr>
          <w:rFonts w:ascii="Times New Roman" w:hAnsi="Times New Roman"/>
          <w:b/>
          <w:color w:val="000000"/>
          <w:sz w:val="20"/>
        </w:rPr>
      </w:pPr>
      <w:r>
        <w:rPr>
          <w:rFonts w:ascii="Times New Roman" w:hAnsi="Times New Roman"/>
          <w:b/>
          <w:color w:val="000000"/>
          <w:sz w:val="20"/>
        </w:rPr>
        <w:t>Valid Signing</w:t>
      </w:r>
    </w:p>
    <w:tbl>
      <w:tblPr>
        <w:tblW w:w="8305" w:type="dxa"/>
        <w:jc w:val="left"/>
        <w:tblInd w:w="0" w:type="dxa"/>
        <w:tblLayout w:type="fixed"/>
        <w:tblCellMar>
          <w:top w:w="0" w:type="dxa"/>
          <w:left w:w="0" w:type="dxa"/>
          <w:bottom w:w="0" w:type="dxa"/>
          <w:right w:w="0" w:type="dxa"/>
        </w:tblCellMar>
      </w:tblPr>
      <w:tblGrid>
        <w:gridCol w:w="75"/>
        <w:gridCol w:w="200"/>
        <w:gridCol w:w="80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8030" w:type="dxa"/>
            <w:tcBorders/>
            <w:vAlign w:val="center"/>
          </w:tcPr>
          <w:p>
            <w:pPr>
              <w:pStyle w:val="TableContents"/>
              <w:bidi w:val="0"/>
              <w:spacing w:before="0" w:after="0"/>
              <w:jc w:val="both"/>
              <w:rPr/>
            </w:pPr>
            <w:r>
              <w:rPr/>
              <w:t>The Opinion Documents have been validly signed on behalf of the Dutch Company.</w:t>
            </w:r>
          </w:p>
        </w:tc>
      </w:tr>
    </w:tbl>
    <w:p>
      <w:pPr>
        <w:pStyle w:val="TextBody"/>
        <w:bidi w:val="0"/>
        <w:spacing w:before="0" w:after="0"/>
        <w:jc w:val="left"/>
        <w:rPr>
          <w:color w:val="000000"/>
        </w:rPr>
      </w:pPr>
      <w:r>
        <w:rPr>
          <w:color w:val="000000"/>
        </w:rPr>
        <w:t> </w:t>
      </w:r>
    </w:p>
    <w:p>
      <w:pPr>
        <w:pStyle w:val="TextBody"/>
        <w:bidi w:val="0"/>
        <w:spacing w:before="0" w:after="0"/>
        <w:ind w:left="360" w:right="0" w:firstLine="3060"/>
        <w:jc w:val="both"/>
        <w:rPr>
          <w:rFonts w:ascii="Times New Roman" w:hAnsi="Times New Roman"/>
          <w:color w:val="000000"/>
          <w:sz w:val="20"/>
        </w:rPr>
      </w:pPr>
      <w:r>
        <w:rPr>
          <w:rFonts w:ascii="Times New Roman" w:hAnsi="Times New Roman"/>
          <w:color w:val="000000"/>
          <w:sz w:val="20"/>
        </w:rPr>
        <w:t>The opinions expressed above are subject to the following qualifications:</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bookmarkStart w:id="328" w:name="z_Ref461779814"/>
            <w:bookmarkEnd w:id="328"/>
            <w:r>
              <w:rPr/>
              <w:t>A.</w:t>
            </w:r>
          </w:p>
        </w:tc>
        <w:tc>
          <w:tcPr>
            <w:tcW w:w="9870" w:type="dxa"/>
            <w:tcBorders/>
            <w:vAlign w:val="center"/>
          </w:tcPr>
          <w:p>
            <w:pPr>
              <w:pStyle w:val="TableContents"/>
              <w:bidi w:val="0"/>
              <w:spacing w:before="0" w:after="0"/>
              <w:jc w:val="both"/>
              <w:rPr/>
            </w:pPr>
            <w:r>
              <w:rPr/>
              <w:t>As Dutch lawyers we are not qualified or able to assess the true meaning and purport of the terms of the Opinion Documents under the applicable law and the obligations of the parties to the Opinion Documents and we have made no investigation of that meaning and purport. Our review of the Opinion Documents and of any other documents subject or expressed to be subject to any law other than Dutch law has therefore been limited to the terms of these documents as they appear to us on their face.</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0"/>
              <w:jc w:val="both"/>
              <w:rPr/>
            </w:pPr>
            <w:r>
              <w:rPr/>
              <w:t>The opinion expressed in paragraph 1 (</w:t>
            </w:r>
            <w:r>
              <w:rPr>
                <w:i/>
              </w:rPr>
              <w:t>Incorporation and Corporate Status</w:t>
            </w:r>
            <w:r>
              <w:rPr/>
              <w:t>) of this opinion letter must not be read to imply that the Dutch Company cannot be dissolved (</w:t>
            </w:r>
            <w:r>
              <w:rPr>
                <w:i/>
              </w:rPr>
              <w:t>ontbonden</w:t>
            </w:r>
            <w:r>
              <w:rPr/>
              <w:t xml:space="preserve">). A company such as the Dutch Company may be dissolved, </w:t>
            </w:r>
            <w:r>
              <w:rPr>
                <w:i/>
              </w:rPr>
              <w:t>inter alia</w:t>
            </w:r>
            <w:r>
              <w:rPr/>
              <w:t xml:space="preserve"> by the competent court at the request of the company’s management board, any interested party (</w:t>
            </w:r>
            <w:r>
              <w:rPr>
                <w:i/>
              </w:rPr>
              <w:t>belanghebbende</w:t>
            </w:r>
            <w:r>
              <w:rPr/>
              <w:t>) or the public prosecution office in certain circumstances, such as when there are certain defects in the incorporation of the company. Any such dissolution will not have retro-active effect.</w:t>
            </w:r>
          </w:p>
        </w:tc>
      </w:tr>
    </w:tbl>
    <w:p>
      <w:pPr>
        <w:pStyle w:val="TextBody"/>
        <w:bidi w:val="0"/>
        <w:spacing w:before="0" w:after="0"/>
        <w:jc w:val="left"/>
        <w:rPr>
          <w:color w:val="000000"/>
        </w:rPr>
      </w:pPr>
      <w:r>
        <w:rPr>
          <w:color w:val="000000"/>
        </w:rPr>
        <w:t> </w:t>
      </w:r>
    </w:p>
    <w:tbl>
      <w:tblPr>
        <w:tblW w:w="7975" w:type="dxa"/>
        <w:jc w:val="left"/>
        <w:tblInd w:w="0" w:type="dxa"/>
        <w:tblLayout w:type="fixed"/>
        <w:tblCellMar>
          <w:top w:w="0" w:type="dxa"/>
          <w:left w:w="0" w:type="dxa"/>
          <w:bottom w:w="0" w:type="dxa"/>
          <w:right w:w="0" w:type="dxa"/>
        </w:tblCellMar>
      </w:tblPr>
      <w:tblGrid>
        <w:gridCol w:w="75"/>
        <w:gridCol w:w="245"/>
        <w:gridCol w:w="76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C.</w:t>
            </w:r>
          </w:p>
        </w:tc>
        <w:tc>
          <w:tcPr>
            <w:tcW w:w="7655" w:type="dxa"/>
            <w:tcBorders/>
            <w:vAlign w:val="center"/>
          </w:tcPr>
          <w:p>
            <w:pPr>
              <w:pStyle w:val="TableContents"/>
              <w:bidi w:val="0"/>
              <w:spacing w:before="0" w:after="0"/>
              <w:jc w:val="both"/>
              <w:rPr/>
            </w:pPr>
            <w:r>
              <w:rPr/>
              <w:t>The Extract does not constitute conclusive evidence of the facts reflected therein.</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281"/>
        <w:gridCol w:w="1714"/>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t>5</w:t>
            </w:r>
          </w:p>
        </w:tc>
      </w:tr>
    </w:tbl>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D.</w:t>
            </w:r>
          </w:p>
        </w:tc>
        <w:tc>
          <w:tcPr>
            <w:tcW w:w="9870" w:type="dxa"/>
            <w:tcBorders/>
            <w:vAlign w:val="center"/>
          </w:tcPr>
          <w:p>
            <w:pPr>
              <w:pStyle w:val="TableContents"/>
              <w:bidi w:val="0"/>
              <w:spacing w:before="0" w:after="0"/>
              <w:jc w:val="both"/>
              <w:rPr/>
            </w:pPr>
            <w:r>
              <w:rPr/>
              <w:t>Pursuant to Article 2:7 DCC, any transaction entered into by a legal entity may be nullified by the legal entity itself or its liquidator in bankruptcy proceedings (</w:t>
            </w:r>
            <w:r>
              <w:rPr>
                <w:i/>
              </w:rPr>
              <w:t>curator</w:t>
            </w:r>
            <w:r>
              <w:rPr/>
              <w:t>) if the objects of that entity were transgressed by the transaction and the other party to the transaction knew or should have known this without independent investigation (</w:t>
            </w:r>
            <w:r>
              <w:rPr>
                <w:i/>
              </w:rPr>
              <w:t>wist of zonder eigen onderzoek moest weten</w:t>
            </w:r>
            <w:r>
              <w:rPr/>
              <w:t>). The Dutch Supreme Court (</w:t>
            </w:r>
            <w:r>
              <w:rPr>
                <w:i/>
              </w:rPr>
              <w:t>Hoge Raad der Nederlanden</w:t>
            </w:r>
            <w:r>
              <w:rPr/>
              <w:t>) has ruled that in determining whether the objects of a legal entity are transgressed, not only the description of the objects in that legal entity’s articles of association (</w:t>
            </w:r>
            <w:r>
              <w:rPr>
                <w:i/>
              </w:rPr>
              <w:t>statuten</w:t>
            </w:r>
            <w:r>
              <w:rPr/>
              <w:t>) is decisive, but all (relevant) circumstances must be taken into account, in particular whether the interests of the legal entity were served by the transaction.</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E.</w:t>
            </w:r>
          </w:p>
        </w:tc>
        <w:tc>
          <w:tcPr>
            <w:tcW w:w="9900" w:type="dxa"/>
            <w:tcBorders/>
            <w:vAlign w:val="center"/>
          </w:tcPr>
          <w:p>
            <w:pPr>
              <w:pStyle w:val="TableContents"/>
              <w:bidi w:val="0"/>
              <w:spacing w:before="0" w:after="0"/>
              <w:jc w:val="both"/>
              <w:rPr/>
            </w:pPr>
            <w:r>
              <w:rPr/>
              <w:t>A power of attorney or mandate granted by the Dutch Company will terminate in the event of a bankruptcy and become ineffective upon the suspension of payments of the principal or, unless otherwise provided, the attorney.</w:t>
            </w:r>
          </w:p>
        </w:tc>
      </w:tr>
    </w:tbl>
    <w:p>
      <w:pPr>
        <w:pStyle w:val="TextBody"/>
        <w:bidi w:val="0"/>
        <w:spacing w:before="0" w:after="0"/>
        <w:jc w:val="left"/>
        <w:rPr>
          <w:color w:val="000000"/>
        </w:rPr>
      </w:pPr>
      <w:r>
        <w:rPr>
          <w:color w:val="000000"/>
        </w:rPr>
        <w:t> </w:t>
      </w:r>
    </w:p>
    <w:tbl>
      <w:tblPr>
        <w:tblW w:w="7375" w:type="dxa"/>
        <w:jc w:val="left"/>
        <w:tblInd w:w="0" w:type="dxa"/>
        <w:tblLayout w:type="fixed"/>
        <w:tblCellMar>
          <w:top w:w="0" w:type="dxa"/>
          <w:left w:w="0" w:type="dxa"/>
          <w:bottom w:w="0" w:type="dxa"/>
          <w:right w:w="0" w:type="dxa"/>
        </w:tblCellMar>
      </w:tblPr>
      <w:tblGrid>
        <w:gridCol w:w="75"/>
        <w:gridCol w:w="215"/>
        <w:gridCol w:w="70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bookmarkStart w:id="329" w:name="z_Ref493681434"/>
            <w:bookmarkEnd w:id="329"/>
            <w:r>
              <w:rPr/>
              <w:t>F.</w:t>
            </w:r>
          </w:p>
        </w:tc>
        <w:tc>
          <w:tcPr>
            <w:tcW w:w="7085" w:type="dxa"/>
            <w:tcBorders/>
            <w:vAlign w:val="center"/>
          </w:tcPr>
          <w:p>
            <w:pPr>
              <w:pStyle w:val="TableContents"/>
              <w:bidi w:val="0"/>
              <w:spacing w:before="0" w:after="0"/>
              <w:jc w:val="both"/>
              <w:rPr/>
            </w:pPr>
            <w:r>
              <w:rPr/>
              <w:t>The opinions expressed in this opinion letter may be limited or affected by:</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bookmarkStart w:id="330" w:name="z_Ref493681461"/>
            <w:bookmarkEnd w:id="330"/>
            <w:r>
              <w:rPr/>
              <w:t>a.</w:t>
            </w:r>
          </w:p>
        </w:tc>
        <w:tc>
          <w:tcPr>
            <w:tcW w:w="9982" w:type="dxa"/>
            <w:tcBorders/>
            <w:vAlign w:val="center"/>
          </w:tcPr>
          <w:p>
            <w:pPr>
              <w:pStyle w:val="TableContents"/>
              <w:bidi w:val="0"/>
              <w:spacing w:before="0" w:after="0"/>
              <w:jc w:val="both"/>
              <w:rPr/>
            </w:pPr>
            <w:r>
              <w:rPr/>
              <w:t>rules relating to Insolvency Proceedings or similar proceedings under a foreign law and other rules affecting creditors’ rights generally;</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pPr>
            <w:r>
              <w:rPr/>
              <w:t>the provisions of fraudulent preference and fraudulent conveyance (</w:t>
            </w:r>
            <w:r>
              <w:rPr>
                <w:i/>
              </w:rPr>
              <w:t>Actio Pauliana</w:t>
            </w:r>
            <w:r>
              <w:rPr/>
              <w:t>) and similar rights available in other jurisdictions to insolvency practitioners and insolvency office holders in bankruptcy proceedings or creditors;</w:t>
            </w:r>
          </w:p>
        </w:tc>
      </w:tr>
    </w:tbl>
    <w:p>
      <w:pPr>
        <w:pStyle w:val="TextBody"/>
        <w:bidi w:val="0"/>
        <w:spacing w:before="0" w:after="0"/>
        <w:jc w:val="left"/>
        <w:rPr>
          <w:color w:val="000000"/>
        </w:rPr>
      </w:pPr>
      <w:r>
        <w:rPr>
          <w:color w:val="000000"/>
        </w:rPr>
        <w:t> </w:t>
      </w:r>
    </w:p>
    <w:tbl>
      <w:tblPr>
        <w:tblW w:w="4308" w:type="dxa"/>
        <w:jc w:val="left"/>
        <w:tblInd w:w="0" w:type="dxa"/>
        <w:tblLayout w:type="fixed"/>
        <w:tblCellMar>
          <w:top w:w="0" w:type="dxa"/>
          <w:left w:w="0" w:type="dxa"/>
          <w:bottom w:w="0" w:type="dxa"/>
          <w:right w:w="0" w:type="dxa"/>
        </w:tblCellMar>
      </w:tblPr>
      <w:tblGrid>
        <w:gridCol w:w="38"/>
        <w:gridCol w:w="185"/>
        <w:gridCol w:w="4085"/>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4085" w:type="dxa"/>
            <w:tcBorders/>
            <w:vAlign w:val="center"/>
          </w:tcPr>
          <w:p>
            <w:pPr>
              <w:pStyle w:val="TableContents"/>
              <w:bidi w:val="0"/>
              <w:spacing w:before="0" w:after="0"/>
              <w:jc w:val="both"/>
              <w:rPr/>
            </w:pPr>
            <w:r>
              <w:rPr/>
              <w:t>claims based on tort (</w:t>
            </w:r>
            <w:r>
              <w:rPr>
                <w:i/>
              </w:rPr>
              <w:t>onrechtmatige daad</w:t>
            </w:r>
            <w:r>
              <w:rPr/>
              <w: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0"/>
              <w:jc w:val="both"/>
              <w:rPr/>
            </w:pPr>
            <w:r>
              <w:rPr/>
              <w:t>sanctions and measures, including but not limited to those concerning export control, pursuant to European Union regulations, under the Dutch Sanctions Act 1977 (</w:t>
            </w:r>
            <w:r>
              <w:rPr>
                <w:i/>
              </w:rPr>
              <w:t>Sanctiewet 1977</w:t>
            </w:r>
            <w:r>
              <w:rPr/>
              <w:t>) or other legislation;</w:t>
            </w:r>
          </w:p>
        </w:tc>
      </w:tr>
    </w:tbl>
    <w:p>
      <w:pPr>
        <w:pStyle w:val="TextBody"/>
        <w:bidi w:val="0"/>
        <w:spacing w:before="0" w:after="0"/>
        <w:jc w:val="left"/>
        <w:rPr>
          <w:color w:val="000000"/>
        </w:rPr>
      </w:pPr>
      <w:r>
        <w:rPr>
          <w:color w:val="000000"/>
        </w:rPr>
        <w:t> </w:t>
      </w:r>
    </w:p>
    <w:tbl>
      <w:tblPr>
        <w:tblW w:w="5118" w:type="dxa"/>
        <w:jc w:val="left"/>
        <w:tblInd w:w="0" w:type="dxa"/>
        <w:tblLayout w:type="fixed"/>
        <w:tblCellMar>
          <w:top w:w="0" w:type="dxa"/>
          <w:left w:w="0" w:type="dxa"/>
          <w:bottom w:w="0" w:type="dxa"/>
          <w:right w:w="0" w:type="dxa"/>
        </w:tblCellMar>
      </w:tblPr>
      <w:tblGrid>
        <w:gridCol w:w="38"/>
        <w:gridCol w:w="185"/>
        <w:gridCol w:w="4895"/>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e.</w:t>
            </w:r>
          </w:p>
        </w:tc>
        <w:tc>
          <w:tcPr>
            <w:tcW w:w="4895" w:type="dxa"/>
            <w:tcBorders/>
            <w:vAlign w:val="center"/>
          </w:tcPr>
          <w:p>
            <w:pPr>
              <w:pStyle w:val="TableContents"/>
              <w:bidi w:val="0"/>
              <w:spacing w:before="0" w:after="0"/>
              <w:jc w:val="both"/>
              <w:rPr/>
            </w:pPr>
            <w:r>
              <w:rPr/>
              <w:t>the Anti-Boycott Regulation and related legislation;</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pPr>
            <w:bookmarkStart w:id="331" w:name="z_Ref455503056"/>
            <w:bookmarkEnd w:id="331"/>
            <w:r>
              <w:rPr/>
              <w:t>f.</w:t>
            </w:r>
          </w:p>
        </w:tc>
        <w:tc>
          <w:tcPr>
            <w:tcW w:w="10012" w:type="dxa"/>
            <w:tcBorders/>
            <w:vAlign w:val="center"/>
          </w:tcPr>
          <w:p>
            <w:pPr>
              <w:pStyle w:val="TableContents"/>
              <w:bidi w:val="0"/>
              <w:spacing w:before="0" w:after="0"/>
              <w:jc w:val="both"/>
              <w:rPr/>
            </w:pPr>
            <w:r>
              <w:rPr/>
              <w:t>any intervention, recovery or resolution measure by any regulatory or other authority or governmental body in relation to financial enterprises or their affiliated entities; and</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281"/>
        <w:gridCol w:w="1714"/>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t>6</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g.</w:t>
            </w:r>
          </w:p>
        </w:tc>
        <w:tc>
          <w:tcPr>
            <w:tcW w:w="9967" w:type="dxa"/>
            <w:tcBorders/>
            <w:vAlign w:val="center"/>
          </w:tcPr>
          <w:p>
            <w:pPr>
              <w:pStyle w:val="TableContents"/>
              <w:bidi w:val="0"/>
              <w:spacing w:before="0" w:after="0"/>
              <w:jc w:val="both"/>
              <w:rPr/>
            </w:pPr>
            <w:r>
              <w:rPr/>
              <w:t>the rules of force majeure (</w:t>
            </w:r>
            <w:r>
              <w:rPr>
                <w:i/>
              </w:rPr>
              <w:t>niet toerekenbare tekortkoming</w:t>
            </w:r>
            <w:r>
              <w:rPr/>
              <w:t>), reasonableness and fairness (</w:t>
            </w:r>
            <w:r>
              <w:rPr>
                <w:i/>
              </w:rPr>
              <w:t>redelijkheid en billijkheid</w:t>
            </w:r>
            <w:r>
              <w:rPr/>
              <w:t>), suspension (</w:t>
            </w:r>
            <w:r>
              <w:rPr>
                <w:i/>
              </w:rPr>
              <w:t>opschorting</w:t>
            </w:r>
            <w:r>
              <w:rPr/>
              <w:t>), dissolution (</w:t>
            </w:r>
            <w:r>
              <w:rPr>
                <w:i/>
              </w:rPr>
              <w:t>ontbinding</w:t>
            </w:r>
            <w:r>
              <w:rPr/>
              <w:t>), unforeseen circumstances (</w:t>
            </w:r>
            <w:r>
              <w:rPr>
                <w:i/>
              </w:rPr>
              <w:t>onvoorziene omstandigheden</w:t>
            </w:r>
            <w:r>
              <w:rPr/>
              <w:t>) and vitiated consent (i.e., duress (</w:t>
            </w:r>
            <w:r>
              <w:rPr>
                <w:i/>
              </w:rPr>
              <w:t>bedreiging</w:t>
            </w:r>
            <w:r>
              <w:rPr/>
              <w:t>), fraud (</w:t>
            </w:r>
            <w:r>
              <w:rPr>
                <w:i/>
              </w:rPr>
              <w:t>bedrog</w:t>
            </w:r>
            <w:r>
              <w:rPr/>
              <w:t>), abuse of circumstances (</w:t>
            </w:r>
            <w:r>
              <w:rPr>
                <w:i/>
              </w:rPr>
              <w:t>misbruik van omstandigheden</w:t>
            </w:r>
            <w:r>
              <w:rPr/>
              <w:t>) and error (</w:t>
            </w:r>
            <w:r>
              <w:rPr>
                <w:i/>
              </w:rPr>
              <w:t>dwaling</w:t>
            </w:r>
            <w:r>
              <w:rPr/>
              <w:t>)) or a difference of intention (</w:t>
            </w:r>
            <w:r>
              <w:rPr>
                <w:i/>
              </w:rPr>
              <w:t>wil</w:t>
            </w:r>
            <w:r>
              <w:rPr/>
              <w:t>) and declaration (</w:t>
            </w:r>
            <w:r>
              <w:rPr>
                <w:i/>
              </w:rPr>
              <w:t>verklaring</w:t>
            </w:r>
            <w:r>
              <w:rPr/>
              <w: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G.</w:t>
            </w:r>
          </w:p>
        </w:tc>
        <w:tc>
          <w:tcPr>
            <w:tcW w:w="9870" w:type="dxa"/>
            <w:tcBorders/>
            <w:vAlign w:val="center"/>
          </w:tcPr>
          <w:p>
            <w:pPr>
              <w:pStyle w:val="TableContents"/>
              <w:bidi w:val="0"/>
              <w:spacing w:before="0" w:after="0"/>
              <w:jc w:val="both"/>
              <w:rPr/>
            </w:pPr>
            <w:r>
              <w:rPr/>
              <w:t>This opinion letter does not purport to express any opinion or view on the operational rules and procedures of any clearing or settlement system or agency.</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281"/>
        <w:gridCol w:w="1714"/>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t>7</w:t>
            </w:r>
          </w:p>
        </w:tc>
      </w:tr>
    </w:tbl>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jc w:val="left"/>
              <w:rPr/>
            </w:pPr>
            <w:r>
              <w:rPr/>
              <w:t> </w:t>
            </w:r>
          </w:p>
        </w:tc>
        <w:tc>
          <w:tcPr>
            <w:tcW w:w="10145" w:type="dxa"/>
            <w:tcBorders/>
            <w:vAlign w:val="center"/>
          </w:tcPr>
          <w:p>
            <w:pPr>
              <w:pStyle w:val="TableContents"/>
              <w:bidi w:val="0"/>
              <w:spacing w:before="0" w:after="0"/>
              <w:jc w:val="both"/>
              <w:rPr/>
            </w:pPr>
            <w:r>
              <w:rPr/>
              <w:t>We consent to the filing of this opinion letter as an exhibit to the Registration Statement and also consent to the reference to NautaDutilh in the Registration Statement under the caption “Legal Matters” and in the Prospectus</w:t>
            </w:r>
          </w:p>
          <w:p>
            <w:pPr>
              <w:pStyle w:val="TableContents"/>
              <w:bidi w:val="0"/>
              <w:spacing w:before="0" w:after="0"/>
              <w:jc w:val="both"/>
              <w:rPr/>
            </w:pPr>
            <w:r>
              <w:rPr/>
              <w:t>Supplement under the caption “Validity of the Notes and the Guarantees”. In giving this consent we do not admit or imply that we are a person whose consent is required under Section 7 of the United States Securities Act of 1933, as amended, or any rules and regulations promulgated thereunder.</w:t>
            </w:r>
          </w:p>
        </w:tc>
      </w:tr>
    </w:tbl>
    <w:p>
      <w:pPr>
        <w:pStyle w:val="TextBody"/>
        <w:bidi w:val="0"/>
        <w:spacing w:before="0" w:after="0"/>
        <w:jc w:val="both"/>
        <w:rPr/>
      </w:pPr>
      <w:r>
        <w:rPr/>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281"/>
        <w:gridCol w:w="1714"/>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t>8</w:t>
            </w:r>
          </w:p>
        </w:tc>
      </w:tr>
    </w:tbl>
    <w:p>
      <w:pPr>
        <w:pStyle w:val="Normal"/>
        <w:bidi w:val="0"/>
        <w:spacing w:before="0" w:after="0"/>
        <w:jc w:val="left"/>
        <w:rPr>
          <w:sz w:val="4"/>
          <w:szCs w:val="4"/>
        </w:rPr>
      </w:pPr>
      <w:r>
        <w:rPr>
          <w:sz w:val="4"/>
          <w:szCs w:val="4"/>
        </w:rPr>
      </w:r>
      <w:bookmarkStart w:id="332" w:name="bmkSignoffLINE"/>
      <w:bookmarkStart w:id="333" w:name="bmkSignoff"/>
      <w:bookmarkStart w:id="334" w:name="bmkSignoffLINE"/>
      <w:bookmarkStart w:id="335" w:name="bmkSignoff"/>
      <w:bookmarkEnd w:id="334"/>
      <w:bookmarkEnd w:id="335"/>
    </w:p>
    <w:tbl>
      <w:tblPr>
        <w:tblW w:w="2083" w:type="dxa"/>
        <w:jc w:val="left"/>
        <w:tblInd w:w="0" w:type="dxa"/>
        <w:tblLayout w:type="fixed"/>
        <w:tblCellMar>
          <w:top w:w="0" w:type="dxa"/>
          <w:left w:w="0" w:type="dxa"/>
          <w:bottom w:w="0" w:type="dxa"/>
          <w:right w:w="0" w:type="dxa"/>
        </w:tblCellMar>
      </w:tblPr>
      <w:tblGrid>
        <w:gridCol w:w="23"/>
        <w:gridCol w:w="2060"/>
      </w:tblGrid>
      <w:tr>
        <w:trPr/>
        <w:tc>
          <w:tcPr>
            <w:tcW w:w="23" w:type="dxa"/>
            <w:tcBorders/>
            <w:vAlign w:val="center"/>
          </w:tcPr>
          <w:p>
            <w:pPr>
              <w:pStyle w:val="TableContents"/>
              <w:bidi w:val="0"/>
              <w:spacing w:before="0" w:after="283"/>
              <w:jc w:val="left"/>
              <w:rPr/>
            </w:pPr>
            <w:r>
              <w:rPr/>
            </w:r>
          </w:p>
        </w:tc>
        <w:tc>
          <w:tcPr>
            <w:tcW w:w="2060" w:type="dxa"/>
            <w:tcBorders/>
            <w:vAlign w:val="center"/>
          </w:tcPr>
          <w:p>
            <w:pPr>
              <w:pStyle w:val="TableContents"/>
              <w:bidi w:val="0"/>
              <w:spacing w:before="0" w:after="0"/>
              <w:jc w:val="both"/>
              <w:rPr/>
            </w:pPr>
            <w:r>
              <w:rPr/>
              <w:t>Sincerely yours,</w:t>
            </w:r>
          </w:p>
          <w:p>
            <w:pPr>
              <w:pStyle w:val="TableContents"/>
              <w:bidi w:val="0"/>
              <w:spacing w:before="0" w:after="0"/>
              <w:jc w:val="both"/>
              <w:rPr/>
            </w:pPr>
            <w:r>
              <w:rPr/>
            </w:r>
          </w:p>
          <w:p>
            <w:pPr>
              <w:pStyle w:val="TableContents"/>
              <w:bidi w:val="0"/>
              <w:spacing w:before="0" w:after="0"/>
              <w:jc w:val="left"/>
              <w:rPr/>
            </w:pPr>
            <w:r>
              <w:rPr/>
              <w:t xml:space="preserve">/s/ NautaDutilh N.V. </w:t>
            </w:r>
          </w:p>
          <w:p>
            <w:pPr>
              <w:pStyle w:val="TableContents"/>
              <w:bidi w:val="0"/>
              <w:spacing w:before="0" w:after="0"/>
              <w:jc w:val="both"/>
              <w:rPr/>
            </w:pPr>
            <w:bookmarkStart w:id="336" w:name="bmkSignature"/>
            <w:bookmarkEnd w:id="336"/>
            <w:r>
              <w:rPr/>
              <w:t>NautaDutilh N.V.</w:t>
            </w:r>
          </w:p>
        </w:tc>
      </w:tr>
    </w:tbl>
    <w:p>
      <w:pPr>
        <w:pStyle w:val="TextBody"/>
        <w:bidi w:val="0"/>
        <w:spacing w:before="0" w:after="0"/>
        <w:jc w:val="both"/>
        <w:rPr>
          <w:sz w:val="20"/>
        </w:rPr>
      </w:pPr>
      <w:r>
        <w:rPr>
          <w:sz w:val="20"/>
        </w:rPr>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281"/>
        <w:gridCol w:w="1714"/>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r>
          </w:p>
        </w:tc>
        <w:tc>
          <w:tcPr>
            <w:tcW w:w="1714" w:type="dxa"/>
            <w:tcBorders/>
            <w:vAlign w:val="center"/>
          </w:tcPr>
          <w:p>
            <w:pPr>
              <w:pStyle w:val="TableContents"/>
              <w:bidi w:val="0"/>
              <w:spacing w:before="0" w:after="283"/>
              <w:jc w:val="left"/>
              <w:rPr/>
            </w:pPr>
            <w:r>
              <w:rPr/>
              <w:t>9</w:t>
            </w:r>
          </w:p>
        </w:tc>
      </w:tr>
    </w:tbl>
    <w:tbl>
      <w:tblPr>
        <w:tblW w:w="10205" w:type="dxa"/>
        <w:jc w:val="left"/>
        <w:tblInd w:w="0" w:type="dxa"/>
        <w:tblLayout w:type="fixed"/>
        <w:tblCellMar>
          <w:top w:w="0" w:type="dxa"/>
          <w:left w:w="0" w:type="dxa"/>
          <w:bottom w:w="0" w:type="dxa"/>
          <w:right w:w="0" w:type="dxa"/>
        </w:tblCellMar>
      </w:tblPr>
      <w:tblGrid>
        <w:gridCol w:w="60"/>
        <w:gridCol w:w="1994"/>
        <w:gridCol w:w="8151"/>
      </w:tblGrid>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b/>
              </w:rPr>
            </w:pPr>
            <w:r>
              <w:rPr>
                <w:b/>
              </w:rPr>
              <w:t>EXHIBIT A</w:t>
            </w:r>
          </w:p>
        </w:tc>
        <w:tc>
          <w:tcPr>
            <w:tcW w:w="8151"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b/>
              </w:rPr>
            </w:pPr>
            <w:r>
              <w:rPr>
                <w:b/>
              </w:rPr>
              <w:t>LIST OF DEFINITIONS</w:t>
            </w:r>
          </w:p>
        </w:tc>
        <w:tc>
          <w:tcPr>
            <w:tcW w:w="8151"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pPr>
            <w:r>
              <w:rPr/>
            </w:r>
          </w:p>
        </w:tc>
        <w:tc>
          <w:tcPr>
            <w:tcW w:w="8151"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pPr>
            <w:r>
              <w:rPr/>
              <w:t>“</w:t>
            </w:r>
            <w:r>
              <w:rPr>
                <w:b/>
              </w:rPr>
              <w:t>Anti-Boycott Regulation</w:t>
            </w:r>
            <w:r>
              <w:rPr/>
              <w:t>”</w:t>
            </w:r>
          </w:p>
          <w:p>
            <w:pPr>
              <w:pStyle w:val="TableContents"/>
              <w:bidi w:val="0"/>
              <w:spacing w:before="0" w:after="0"/>
              <w:jc w:val="left"/>
              <w:rPr/>
            </w:pPr>
            <w:r>
              <w:rPr/>
              <w:t> </w:t>
            </w:r>
          </w:p>
        </w:tc>
        <w:tc>
          <w:tcPr>
            <w:tcW w:w="8151" w:type="dxa"/>
            <w:tcBorders/>
            <w:vAlign w:val="center"/>
          </w:tcPr>
          <w:p>
            <w:pPr>
              <w:pStyle w:val="TableContents"/>
              <w:bidi w:val="0"/>
              <w:spacing w:before="0" w:after="0"/>
              <w:jc w:val="both"/>
              <w:rPr/>
            </w:pPr>
            <w:r>
              <w:rPr/>
              <w:t>Regulation (EC) No 2271/96 on protecting against the effects of the extra-territorial application of legislation adopted by a third country, and actions based thereon or resulting therefrom</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pPr>
            <w:r>
              <w:rPr/>
              <w:t> </w:t>
            </w:r>
          </w:p>
        </w:tc>
        <w:tc>
          <w:tcPr>
            <w:tcW w:w="81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pPr>
            <w:r>
              <w:rPr/>
              <w:t>“</w:t>
            </w:r>
            <w:r>
              <w:rPr>
                <w:b/>
              </w:rPr>
              <w:t>Articles of Association</w:t>
            </w:r>
            <w:r>
              <w:rPr/>
              <w:t>”</w:t>
            </w:r>
          </w:p>
          <w:p>
            <w:pPr>
              <w:pStyle w:val="TableContents"/>
              <w:bidi w:val="0"/>
              <w:spacing w:before="0" w:after="0"/>
              <w:jc w:val="left"/>
              <w:rPr/>
            </w:pPr>
            <w:r>
              <w:rPr/>
              <w:t> </w:t>
            </w:r>
          </w:p>
        </w:tc>
        <w:tc>
          <w:tcPr>
            <w:tcW w:w="8151" w:type="dxa"/>
            <w:tcBorders/>
            <w:vAlign w:val="center"/>
          </w:tcPr>
          <w:p>
            <w:pPr>
              <w:pStyle w:val="TableContents"/>
              <w:bidi w:val="0"/>
              <w:spacing w:before="0" w:after="0"/>
              <w:jc w:val="both"/>
              <w:rPr/>
            </w:pPr>
            <w:r>
              <w:rPr/>
              <w:t>the Dutch Company’s articles of association (</w:t>
            </w:r>
            <w:r>
              <w:rPr>
                <w:i/>
              </w:rPr>
              <w:t>statuten</w:t>
            </w:r>
            <w:r>
              <w:rPr/>
              <w:t>) as they read from time to time</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pPr>
            <w:r>
              <w:rPr/>
              <w:t> </w:t>
            </w:r>
          </w:p>
        </w:tc>
        <w:tc>
          <w:tcPr>
            <w:tcW w:w="81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pPr>
            <w:r>
              <w:rPr/>
              <w:t>“</w:t>
            </w:r>
            <w:r>
              <w:rPr>
                <w:b/>
              </w:rPr>
              <w:t>Board</w:t>
            </w:r>
            <w:r>
              <w:rPr/>
              <w:t>”</w:t>
            </w:r>
          </w:p>
        </w:tc>
        <w:tc>
          <w:tcPr>
            <w:tcW w:w="8151" w:type="dxa"/>
            <w:tcBorders/>
            <w:vAlign w:val="center"/>
          </w:tcPr>
          <w:p>
            <w:pPr>
              <w:pStyle w:val="TableContents"/>
              <w:bidi w:val="0"/>
              <w:spacing w:before="0" w:after="0"/>
              <w:jc w:val="both"/>
              <w:rPr/>
            </w:pPr>
            <w:r>
              <w:rPr/>
              <w:t>the board of directors (bestuur) of the Dutch Company.</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pPr>
            <w:r>
              <w:rPr/>
              <w:t> </w:t>
            </w:r>
          </w:p>
        </w:tc>
        <w:tc>
          <w:tcPr>
            <w:tcW w:w="81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pPr>
            <w:r>
              <w:rPr/>
              <w:t>“</w:t>
            </w:r>
            <w:r>
              <w:rPr>
                <w:b/>
              </w:rPr>
              <w:t>Commercial Register</w:t>
            </w:r>
            <w:r>
              <w:rPr/>
              <w:t>”</w:t>
            </w:r>
          </w:p>
        </w:tc>
        <w:tc>
          <w:tcPr>
            <w:tcW w:w="8151" w:type="dxa"/>
            <w:tcBorders/>
            <w:vAlign w:val="center"/>
          </w:tcPr>
          <w:p>
            <w:pPr>
              <w:pStyle w:val="TableContents"/>
              <w:bidi w:val="0"/>
              <w:spacing w:before="0" w:after="0"/>
              <w:jc w:val="both"/>
              <w:rPr/>
            </w:pPr>
            <w:r>
              <w:rPr/>
              <w:t>the Commercial Register held by the Dutch Chamber of Commerce (</w:t>
            </w:r>
            <w:r>
              <w:rPr>
                <w:i/>
              </w:rPr>
              <w:t>handelsregister gehouden door de Kamer van Koophandel</w:t>
            </w:r>
            <w:r>
              <w:rPr/>
              <w:t>)</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pPr>
            <w:r>
              <w:rPr/>
              <w:t> </w:t>
            </w:r>
          </w:p>
        </w:tc>
        <w:tc>
          <w:tcPr>
            <w:tcW w:w="81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pPr>
            <w:r>
              <w:rPr/>
              <w:t>“</w:t>
            </w:r>
            <w:r>
              <w:rPr>
                <w:b/>
              </w:rPr>
              <w:t>Corporate Documents</w:t>
            </w:r>
            <w:r>
              <w:rPr/>
              <w:t>”</w:t>
            </w:r>
          </w:p>
        </w:tc>
        <w:tc>
          <w:tcPr>
            <w:tcW w:w="8151" w:type="dxa"/>
            <w:tcBorders/>
            <w:vAlign w:val="center"/>
          </w:tcPr>
          <w:p>
            <w:pPr>
              <w:pStyle w:val="TableContents"/>
              <w:bidi w:val="0"/>
              <w:spacing w:before="0" w:after="0"/>
              <w:jc w:val="both"/>
              <w:rPr/>
            </w:pPr>
            <w:r>
              <w:rPr/>
              <w:t>the documents listed in Exhibit C.</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pPr>
            <w:r>
              <w:rPr/>
              <w:t> </w:t>
            </w:r>
          </w:p>
        </w:tc>
        <w:tc>
          <w:tcPr>
            <w:tcW w:w="81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pPr>
            <w:r>
              <w:rPr/>
              <w:t>“</w:t>
            </w:r>
            <w:r>
              <w:rPr>
                <w:b/>
              </w:rPr>
              <w:t>DCC</w:t>
            </w:r>
            <w:r>
              <w:rPr/>
              <w:t>”</w:t>
            </w:r>
          </w:p>
        </w:tc>
        <w:tc>
          <w:tcPr>
            <w:tcW w:w="8151" w:type="dxa"/>
            <w:tcBorders/>
            <w:vAlign w:val="center"/>
          </w:tcPr>
          <w:p>
            <w:pPr>
              <w:pStyle w:val="TableContents"/>
              <w:bidi w:val="0"/>
              <w:spacing w:before="0" w:after="0"/>
              <w:jc w:val="both"/>
              <w:rPr/>
            </w:pPr>
            <w:r>
              <w:rPr/>
              <w:t>the Dutch Civil Code (</w:t>
            </w:r>
            <w:r>
              <w:rPr>
                <w:i/>
              </w:rPr>
              <w:t>Burgerlijk Wetboek</w:t>
            </w:r>
            <w:r>
              <w:rPr/>
              <w:t>)</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pPr>
            <w:r>
              <w:rPr/>
              <w:t> </w:t>
            </w:r>
          </w:p>
        </w:tc>
        <w:tc>
          <w:tcPr>
            <w:tcW w:w="81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pPr>
            <w:r>
              <w:rPr/>
              <w:t>“</w:t>
            </w:r>
            <w:r>
              <w:rPr>
                <w:b/>
              </w:rPr>
              <w:t>Deed of Incorporation</w:t>
            </w:r>
            <w:r>
              <w:rPr/>
              <w:t>”</w:t>
            </w:r>
          </w:p>
        </w:tc>
        <w:tc>
          <w:tcPr>
            <w:tcW w:w="8151" w:type="dxa"/>
            <w:tcBorders/>
            <w:vAlign w:val="center"/>
          </w:tcPr>
          <w:p>
            <w:pPr>
              <w:pStyle w:val="TableContents"/>
              <w:bidi w:val="0"/>
              <w:spacing w:before="0" w:after="0"/>
              <w:jc w:val="both"/>
              <w:rPr/>
            </w:pPr>
            <w:r>
              <w:rPr/>
              <w:t>the deed of incorporation (</w:t>
            </w:r>
            <w:r>
              <w:rPr>
                <w:i/>
              </w:rPr>
              <w:t>akte van oprichting</w:t>
            </w:r>
            <w:r>
              <w:rPr/>
              <w:t>) of the Dutch Company, dated 25 July 2019</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pPr>
            <w:r>
              <w:rPr/>
              <w:t> </w:t>
            </w:r>
          </w:p>
        </w:tc>
        <w:tc>
          <w:tcPr>
            <w:tcW w:w="81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pPr>
            <w:r>
              <w:rPr/>
              <w:t>“</w:t>
            </w:r>
            <w:r>
              <w:rPr>
                <w:b/>
              </w:rPr>
              <w:t>Dutch Bankruptcy Code</w:t>
            </w:r>
            <w:r>
              <w:rPr/>
              <w:t>”</w:t>
            </w:r>
          </w:p>
        </w:tc>
        <w:tc>
          <w:tcPr>
            <w:tcW w:w="8151" w:type="dxa"/>
            <w:tcBorders/>
            <w:vAlign w:val="center"/>
          </w:tcPr>
          <w:p>
            <w:pPr>
              <w:pStyle w:val="TableContents"/>
              <w:bidi w:val="0"/>
              <w:spacing w:before="0" w:after="0"/>
              <w:jc w:val="both"/>
              <w:rPr/>
            </w:pPr>
            <w:r>
              <w:rPr/>
              <w:t>the Dutch Bankruptcy Code (</w:t>
            </w:r>
            <w:r>
              <w:rPr>
                <w:i/>
              </w:rPr>
              <w:t>Faillissementswet</w:t>
            </w:r>
            <w:r>
              <w:rPr/>
              <w:t>)</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pPr>
            <w:r>
              <w:rPr/>
              <w:t> </w:t>
            </w:r>
          </w:p>
        </w:tc>
        <w:tc>
          <w:tcPr>
            <w:tcW w:w="81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pPr>
            <w:r>
              <w:rPr/>
              <w:t>“</w:t>
            </w:r>
            <w:r>
              <w:rPr>
                <w:b/>
              </w:rPr>
              <w:t>Dutch Company</w:t>
            </w:r>
            <w:r>
              <w:rPr/>
              <w:t>”</w:t>
            </w:r>
          </w:p>
        </w:tc>
        <w:tc>
          <w:tcPr>
            <w:tcW w:w="8151" w:type="dxa"/>
            <w:tcBorders/>
            <w:vAlign w:val="center"/>
          </w:tcPr>
          <w:p>
            <w:pPr>
              <w:pStyle w:val="TableContents"/>
              <w:bidi w:val="0"/>
              <w:spacing w:before="0" w:after="0"/>
              <w:jc w:val="both"/>
              <w:rPr/>
            </w:pPr>
            <w:r>
              <w:rPr/>
              <w:t>Mylan II B.V., a private company with limited liability (</w:t>
            </w:r>
            <w:r>
              <w:rPr>
                <w:i/>
              </w:rPr>
              <w:t>besloten vennootschap met beperkte aansprakelijkheid</w:t>
            </w:r>
            <w:r>
              <w:rPr/>
              <w:t>), registered with the Commercial Register under number 75453444</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283"/>
              <w:jc w:val="left"/>
              <w:rPr/>
            </w:pPr>
            <w:r>
              <w:rPr/>
              <w:t> </w:t>
            </w:r>
          </w:p>
        </w:tc>
        <w:tc>
          <w:tcPr>
            <w:tcW w:w="81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94" w:type="dxa"/>
            <w:tcBorders/>
            <w:vAlign w:val="center"/>
          </w:tcPr>
          <w:p>
            <w:pPr>
              <w:pStyle w:val="TableContents"/>
              <w:bidi w:val="0"/>
              <w:spacing w:before="0" w:after="0"/>
              <w:jc w:val="left"/>
              <w:rPr/>
            </w:pPr>
            <w:r>
              <w:rPr/>
              <w:t>“</w:t>
            </w:r>
            <w:r>
              <w:rPr>
                <w:b/>
              </w:rPr>
              <w:t>eIDAS Regulation</w:t>
            </w:r>
            <w:r>
              <w:rPr/>
              <w:t>”</w:t>
            </w:r>
          </w:p>
        </w:tc>
        <w:tc>
          <w:tcPr>
            <w:tcW w:w="8151" w:type="dxa"/>
            <w:tcBorders/>
            <w:vAlign w:val="center"/>
          </w:tcPr>
          <w:p>
            <w:pPr>
              <w:pStyle w:val="TableContents"/>
              <w:bidi w:val="0"/>
              <w:spacing w:before="0" w:after="0"/>
              <w:jc w:val="both"/>
              <w:rPr/>
            </w:pPr>
            <w:r>
              <w:rPr/>
              <w:t>Regulation (EU) No 910/2014 of the European Parliament and of the Council of 23 July 2014 on electronic identification and trust services for electronic transactions in the internal market and repealing Directive 1999/93/EC</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162"/>
        <w:gridCol w:w="1833"/>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r>
          </w:p>
        </w:tc>
        <w:tc>
          <w:tcPr>
            <w:tcW w:w="183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r>
          </w:p>
        </w:tc>
        <w:tc>
          <w:tcPr>
            <w:tcW w:w="1833" w:type="dxa"/>
            <w:tcBorders/>
            <w:vAlign w:val="center"/>
          </w:tcPr>
          <w:p>
            <w:pPr>
              <w:pStyle w:val="TableContents"/>
              <w:bidi w:val="0"/>
              <w:spacing w:before="0" w:after="283"/>
              <w:jc w:val="left"/>
              <w:rPr/>
            </w:pPr>
            <w:r>
              <w:rPr/>
              <w:t>10</w:t>
            </w:r>
          </w:p>
        </w:tc>
      </w:tr>
    </w:tbl>
    <w:tbl>
      <w:tblPr>
        <w:tblW w:w="10205" w:type="dxa"/>
        <w:jc w:val="left"/>
        <w:tblInd w:w="0" w:type="dxa"/>
        <w:tblLayout w:type="fixed"/>
        <w:tblCellMar>
          <w:top w:w="0" w:type="dxa"/>
          <w:left w:w="0" w:type="dxa"/>
          <w:bottom w:w="0" w:type="dxa"/>
          <w:right w:w="0" w:type="dxa"/>
        </w:tblCellMar>
      </w:tblPr>
      <w:tblGrid>
        <w:gridCol w:w="75"/>
        <w:gridCol w:w="1580"/>
        <w:gridCol w:w="8550"/>
      </w:tblGrid>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pPr>
            <w:r>
              <w:rPr/>
              <w:t>“</w:t>
            </w:r>
            <w:r>
              <w:rPr>
                <w:b/>
              </w:rPr>
              <w:t>Extract</w:t>
            </w:r>
            <w:r>
              <w:rPr/>
              <w:t>”</w:t>
            </w:r>
          </w:p>
          <w:p>
            <w:pPr>
              <w:pStyle w:val="TableContents"/>
              <w:bidi w:val="0"/>
              <w:spacing w:before="0" w:after="0"/>
              <w:jc w:val="left"/>
              <w:rPr/>
            </w:pPr>
            <w:r>
              <w:rPr/>
              <w:t> </w:t>
            </w:r>
          </w:p>
        </w:tc>
        <w:tc>
          <w:tcPr>
            <w:tcW w:w="8550" w:type="dxa"/>
            <w:tcBorders/>
            <w:vAlign w:val="center"/>
          </w:tcPr>
          <w:p>
            <w:pPr>
              <w:pStyle w:val="TableContents"/>
              <w:bidi w:val="0"/>
              <w:spacing w:before="0" w:after="0"/>
              <w:jc w:val="both"/>
              <w:rPr/>
            </w:pPr>
            <w:r>
              <w:rPr/>
              <w:t>a pdf copy of an extract from the Commercial Register, received by us by email and dated 16 June 2026 with respect to the Dutch Company</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pPr>
            <w:r>
              <w:rPr/>
              <w:t>“</w:t>
            </w:r>
            <w:r>
              <w:rPr>
                <w:b/>
              </w:rPr>
              <w:t>Indentures</w:t>
            </w:r>
            <w:r>
              <w:rPr/>
              <w:t>”</w:t>
            </w:r>
          </w:p>
          <w:p>
            <w:pPr>
              <w:pStyle w:val="TableContents"/>
              <w:bidi w:val="0"/>
              <w:spacing w:before="0" w:after="0"/>
              <w:jc w:val="left"/>
              <w:rPr/>
            </w:pPr>
            <w:r>
              <w:rPr/>
              <w:t> </w:t>
            </w:r>
          </w:p>
        </w:tc>
        <w:tc>
          <w:tcPr>
            <w:tcW w:w="8550" w:type="dxa"/>
            <w:tcBorders/>
            <w:vAlign w:val="center"/>
          </w:tcPr>
          <w:p>
            <w:pPr>
              <w:pStyle w:val="TableContents"/>
              <w:bidi w:val="0"/>
              <w:spacing w:before="0" w:after="0"/>
              <w:jc w:val="both"/>
              <w:rPr/>
            </w:pPr>
            <w:r>
              <w:rPr/>
              <w:t>the indenture and first supplemental indenture entered into between Viatris Inc., the Dutch Company as Guarantor, any additional Guarantors (as defined therein) and the Trustee in respect of the issuance of Notes</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pPr>
            <w:r>
              <w:rPr/>
              <w:t>“</w:t>
            </w:r>
            <w:r>
              <w:rPr>
                <w:b/>
              </w:rPr>
              <w:t>Insolvency Proceedings</w:t>
            </w:r>
            <w:r>
              <w:rPr/>
              <w:t>”</w:t>
            </w:r>
          </w:p>
          <w:p>
            <w:pPr>
              <w:pStyle w:val="TableContents"/>
              <w:bidi w:val="0"/>
              <w:spacing w:before="0" w:after="0"/>
              <w:jc w:val="left"/>
              <w:rPr/>
            </w:pPr>
            <w:r>
              <w:rPr/>
              <w:t> </w:t>
            </w:r>
          </w:p>
        </w:tc>
        <w:tc>
          <w:tcPr>
            <w:tcW w:w="8550" w:type="dxa"/>
            <w:tcBorders/>
            <w:vAlign w:val="center"/>
          </w:tcPr>
          <w:p>
            <w:pPr>
              <w:pStyle w:val="TableContents"/>
              <w:bidi w:val="0"/>
              <w:spacing w:before="0" w:after="0"/>
              <w:jc w:val="both"/>
              <w:rPr/>
            </w:pPr>
            <w:r>
              <w:rPr/>
              <w:t>any insolvency proceedings within the meaning of Regulation (EU) 2015/848 on insolvency proceedings (recast), listed in Annex A thereto and any statutory proceedings for the restructuring of debts (</w:t>
            </w:r>
            <w:r>
              <w:rPr>
                <w:i/>
              </w:rPr>
              <w:t>akkoordprocedure</w:t>
            </w:r>
            <w:r>
              <w:rPr/>
              <w:t>) pursuant to the Dutch Bankruptcy Code</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pPr>
            <w:r>
              <w:rPr/>
              <w:t>“</w:t>
            </w:r>
            <w:r>
              <w:rPr>
                <w:b/>
              </w:rPr>
              <w:t>Insolvency Registers</w:t>
            </w:r>
            <w:r>
              <w:rPr/>
              <w:t>”</w:t>
            </w:r>
          </w:p>
          <w:p>
            <w:pPr>
              <w:pStyle w:val="TableContents"/>
              <w:bidi w:val="0"/>
              <w:spacing w:before="0" w:after="0"/>
              <w:jc w:val="left"/>
              <w:rPr/>
            </w:pPr>
            <w:r>
              <w:rPr/>
              <w:t> </w:t>
            </w:r>
          </w:p>
        </w:tc>
        <w:tc>
          <w:tcPr>
            <w:tcW w:w="8550" w:type="dxa"/>
            <w:tcBorders/>
            <w:vAlign w:val="center"/>
          </w:tcPr>
          <w:p>
            <w:pPr>
              <w:pStyle w:val="TableContents"/>
              <w:bidi w:val="0"/>
              <w:spacing w:before="0" w:after="0"/>
              <w:jc w:val="both"/>
              <w:rPr/>
            </w:pPr>
            <w:r>
              <w:rPr/>
              <w:t>the online central insolvency register (</w:t>
            </w:r>
            <w:r>
              <w:rPr>
                <w:i/>
              </w:rPr>
              <w:t>Centraal Insolventie Register</w:t>
            </w:r>
            <w:r>
              <w:rPr/>
              <w:t>), the online EU Insolvency Register (</w:t>
            </w:r>
            <w:r>
              <w:rPr>
                <w:i/>
              </w:rPr>
              <w:t>Centraal Insolventie Register - EU Registraties</w:t>
            </w:r>
            <w:r>
              <w:rPr/>
              <w:t>) and the online Register of Decisions in a WHOA Procedure (</w:t>
            </w:r>
            <w:r>
              <w:rPr>
                <w:i/>
              </w:rPr>
              <w:t>Register uitspraken in een WHOA-procedure</w:t>
            </w:r>
            <w:r>
              <w:rPr/>
              <w:t>) held by the Council for the Administration of Justice (</w:t>
            </w:r>
            <w:r>
              <w:rPr>
                <w:i/>
              </w:rPr>
              <w:t>Raad voor de Rechtspraak</w:t>
            </w:r>
            <w:r>
              <w:rPr/>
              <w:t>)</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pPr>
            <w:r>
              <w:rPr/>
              <w:t>“</w:t>
            </w:r>
            <w:r>
              <w:rPr>
                <w:b/>
              </w:rPr>
              <w:t>NautaDutilh</w:t>
            </w:r>
            <w:r>
              <w:rPr/>
              <w:t>”</w:t>
            </w:r>
          </w:p>
        </w:tc>
        <w:tc>
          <w:tcPr>
            <w:tcW w:w="8550" w:type="dxa"/>
            <w:tcBorders/>
            <w:vAlign w:val="center"/>
          </w:tcPr>
          <w:p>
            <w:pPr>
              <w:pStyle w:val="TableContents"/>
              <w:bidi w:val="0"/>
              <w:spacing w:before="0" w:after="0"/>
              <w:jc w:val="both"/>
              <w:rPr/>
            </w:pPr>
            <w:r>
              <w:rPr/>
              <w:t>NautaDutilh N.V.</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pPr>
            <w:r>
              <w:rPr/>
              <w:t>“</w:t>
            </w:r>
            <w:r>
              <w:rPr>
                <w:b/>
              </w:rPr>
              <w:t>the Netherlands</w:t>
            </w:r>
            <w:r>
              <w:rPr/>
              <w:t>”</w:t>
            </w:r>
          </w:p>
        </w:tc>
        <w:tc>
          <w:tcPr>
            <w:tcW w:w="8550" w:type="dxa"/>
            <w:tcBorders/>
            <w:vAlign w:val="center"/>
          </w:tcPr>
          <w:p>
            <w:pPr>
              <w:pStyle w:val="TableContents"/>
              <w:bidi w:val="0"/>
              <w:spacing w:before="0" w:after="0"/>
              <w:jc w:val="both"/>
              <w:rPr/>
            </w:pPr>
            <w:r>
              <w:rPr/>
              <w:t>the European territory of the Kingdom of the Netherlands and “</w:t>
            </w:r>
            <w:r>
              <w:rPr>
                <w:b/>
              </w:rPr>
              <w:t>Dutch</w:t>
            </w:r>
            <w:r>
              <w:rPr/>
              <w:t>” is in or from the Netherlands</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pPr>
            <w:r>
              <w:rPr/>
              <w:t>“</w:t>
            </w:r>
            <w:r>
              <w:rPr>
                <w:b/>
              </w:rPr>
              <w:t>Notes</w:t>
            </w:r>
            <w:r>
              <w:rPr/>
              <w:t>”</w:t>
            </w:r>
          </w:p>
          <w:p>
            <w:pPr>
              <w:pStyle w:val="TableContents"/>
              <w:bidi w:val="0"/>
              <w:spacing w:before="0" w:after="0"/>
              <w:jc w:val="left"/>
              <w:rPr/>
            </w:pPr>
            <w:r>
              <w:rPr/>
              <w:t> </w:t>
            </w:r>
          </w:p>
        </w:tc>
        <w:tc>
          <w:tcPr>
            <w:tcW w:w="8550" w:type="dxa"/>
            <w:tcBorders/>
            <w:vAlign w:val="center"/>
          </w:tcPr>
          <w:p>
            <w:pPr>
              <w:pStyle w:val="TableContents"/>
              <w:bidi w:val="0"/>
              <w:spacing w:before="0" w:after="0"/>
              <w:jc w:val="both"/>
              <w:rPr/>
            </w:pPr>
            <w:r>
              <w:rPr/>
              <w:t>the EUR 650,000,000 4.250% senior notes due 2033 issued by Viatris Inc.</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pPr>
            <w:r>
              <w:rPr/>
              <w:t>“</w:t>
            </w:r>
            <w:r>
              <w:rPr>
                <w:b/>
              </w:rPr>
              <w:t>Opinion Documents</w:t>
            </w:r>
            <w:r>
              <w:rPr/>
              <w:t>”</w:t>
            </w:r>
          </w:p>
        </w:tc>
        <w:tc>
          <w:tcPr>
            <w:tcW w:w="8550" w:type="dxa"/>
            <w:tcBorders/>
            <w:vAlign w:val="center"/>
          </w:tcPr>
          <w:p>
            <w:pPr>
              <w:pStyle w:val="TableContents"/>
              <w:bidi w:val="0"/>
              <w:spacing w:before="0" w:after="0"/>
              <w:jc w:val="both"/>
              <w:rPr/>
            </w:pPr>
            <w:r>
              <w:rPr/>
              <w:t>the documents listed in Exhibit B</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pPr>
            <w:r>
              <w:rPr/>
              <w:t>“</w:t>
            </w:r>
            <w:r>
              <w:rPr>
                <w:b/>
              </w:rPr>
              <w:t>Power of Attorney</w:t>
            </w:r>
            <w:r>
              <w:rPr/>
              <w:t>”</w:t>
            </w:r>
          </w:p>
          <w:p>
            <w:pPr>
              <w:pStyle w:val="TableContents"/>
              <w:bidi w:val="0"/>
              <w:spacing w:before="0" w:after="0"/>
              <w:jc w:val="left"/>
              <w:rPr/>
            </w:pPr>
            <w:r>
              <w:rPr/>
              <w:t> </w:t>
            </w:r>
          </w:p>
        </w:tc>
        <w:tc>
          <w:tcPr>
            <w:tcW w:w="8550" w:type="dxa"/>
            <w:tcBorders/>
            <w:vAlign w:val="center"/>
          </w:tcPr>
          <w:p>
            <w:pPr>
              <w:pStyle w:val="TableContents"/>
              <w:bidi w:val="0"/>
              <w:spacing w:before="0" w:after="0"/>
              <w:jc w:val="both"/>
              <w:rPr/>
            </w:pPr>
            <w:r>
              <w:rPr/>
              <w:t>any power of attorney granted or to be granted by the Dutch Company for the purposes of executing Opinion Documents on behalf of the Dutch Company and the performance of the Dutch Company’s obligations thereunder, as relevant</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162"/>
        <w:gridCol w:w="1833"/>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r>
          </w:p>
        </w:tc>
        <w:tc>
          <w:tcPr>
            <w:tcW w:w="183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r>
          </w:p>
        </w:tc>
        <w:tc>
          <w:tcPr>
            <w:tcW w:w="1833" w:type="dxa"/>
            <w:tcBorders/>
            <w:vAlign w:val="center"/>
          </w:tcPr>
          <w:p>
            <w:pPr>
              <w:pStyle w:val="TableContents"/>
              <w:bidi w:val="0"/>
              <w:spacing w:before="0" w:after="283"/>
              <w:jc w:val="left"/>
              <w:rPr/>
            </w:pPr>
            <w:r>
              <w:rPr/>
              <w:t>11</w:t>
            </w:r>
          </w:p>
        </w:tc>
      </w:tr>
    </w:tbl>
    <w:tbl>
      <w:tblPr>
        <w:tblW w:w="10205" w:type="dxa"/>
        <w:jc w:val="left"/>
        <w:tblInd w:w="0" w:type="dxa"/>
        <w:tblLayout w:type="fixed"/>
        <w:tblCellMar>
          <w:top w:w="0" w:type="dxa"/>
          <w:left w:w="0" w:type="dxa"/>
          <w:bottom w:w="0" w:type="dxa"/>
          <w:right w:w="0" w:type="dxa"/>
        </w:tblCellMar>
      </w:tblPr>
      <w:tblGrid>
        <w:gridCol w:w="75"/>
        <w:gridCol w:w="1701"/>
        <w:gridCol w:w="8429"/>
      </w:tblGrid>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left"/>
              <w:rPr/>
            </w:pPr>
            <w:r>
              <w:rPr/>
              <w:t>“</w:t>
            </w:r>
            <w:r>
              <w:rPr>
                <w:b/>
              </w:rPr>
              <w:t>PRIIPS Regulation</w:t>
            </w:r>
            <w:r>
              <w:rPr/>
              <w:t>”</w:t>
            </w:r>
          </w:p>
        </w:tc>
        <w:tc>
          <w:tcPr>
            <w:tcW w:w="8429" w:type="dxa"/>
            <w:tcBorders/>
            <w:vAlign w:val="center"/>
          </w:tcPr>
          <w:p>
            <w:pPr>
              <w:pStyle w:val="TableContents"/>
              <w:bidi w:val="0"/>
              <w:spacing w:before="0" w:after="0"/>
              <w:jc w:val="both"/>
              <w:rPr/>
            </w:pPr>
            <w:r>
              <w:rPr/>
              <w:t>Regulation (EU) No 1286/2014 of the European Parliament and of the Council of 26 November 2014 on key information documents for packaged retail and insurance based investment products (PRIIPs)</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left"/>
              <w:rPr/>
            </w:pPr>
            <w:r>
              <w:rPr/>
              <w:t>“</w:t>
            </w:r>
            <w:r>
              <w:rPr>
                <w:b/>
              </w:rPr>
              <w:t>Prospectus Regulation</w:t>
            </w:r>
            <w:r>
              <w:rPr/>
              <w:t>”</w:t>
            </w:r>
          </w:p>
          <w:p>
            <w:pPr>
              <w:pStyle w:val="TableContents"/>
              <w:bidi w:val="0"/>
              <w:spacing w:before="0" w:after="0"/>
              <w:jc w:val="left"/>
              <w:rPr/>
            </w:pPr>
            <w:r>
              <w:rPr/>
              <w:t> </w:t>
            </w:r>
          </w:p>
        </w:tc>
        <w:tc>
          <w:tcPr>
            <w:tcW w:w="8429" w:type="dxa"/>
            <w:tcBorders/>
            <w:vAlign w:val="center"/>
          </w:tcPr>
          <w:p>
            <w:pPr>
              <w:pStyle w:val="TableContents"/>
              <w:bidi w:val="0"/>
              <w:spacing w:before="0" w:after="0"/>
              <w:jc w:val="both"/>
              <w:rPr/>
            </w:pPr>
            <w:r>
              <w:rPr/>
              <w:t>Regulation (EU) 2017/1129 of the European Parliament and of the Council of 14 June 2017 on the prospectus to be published when securities are offered to the public or admitted to trading on a regulated market, and repealing Directive 2003/71/EC</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left"/>
              <w:rPr/>
            </w:pPr>
            <w:r>
              <w:rPr/>
              <w:t>“</w:t>
            </w:r>
            <w:r>
              <w:rPr>
                <w:b/>
              </w:rPr>
              <w:t>Prospectus Supplement</w:t>
            </w:r>
            <w:r>
              <w:rPr/>
              <w:t>”</w:t>
            </w:r>
          </w:p>
          <w:p>
            <w:pPr>
              <w:pStyle w:val="TableContents"/>
              <w:bidi w:val="0"/>
              <w:spacing w:before="0" w:after="0"/>
              <w:jc w:val="left"/>
              <w:rPr/>
            </w:pPr>
            <w:r>
              <w:rPr/>
              <w:t> </w:t>
            </w:r>
          </w:p>
        </w:tc>
        <w:tc>
          <w:tcPr>
            <w:tcW w:w="8429" w:type="dxa"/>
            <w:tcBorders/>
            <w:vAlign w:val="center"/>
          </w:tcPr>
          <w:p>
            <w:pPr>
              <w:pStyle w:val="TableContents"/>
              <w:bidi w:val="0"/>
              <w:spacing w:before="0" w:after="0"/>
              <w:jc w:val="both"/>
              <w:rPr/>
            </w:pPr>
            <w:r>
              <w:rPr/>
              <w:t>Viatris Inc.’s prospectus supplement dated 12 June 2026 to the prospectus included in the Registration Statement and filed with the SEC on 15 June 2026</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both"/>
              <w:rPr/>
            </w:pPr>
            <w:r>
              <w:rPr/>
              <w:t>“</w:t>
            </w:r>
            <w:r>
              <w:rPr>
                <w:b/>
              </w:rPr>
              <w:t>Registration Statement</w:t>
            </w:r>
            <w:r>
              <w:rPr/>
              <w:t>”</w:t>
            </w:r>
          </w:p>
        </w:tc>
        <w:tc>
          <w:tcPr>
            <w:tcW w:w="8429" w:type="dxa"/>
            <w:tcBorders/>
            <w:vAlign w:val="center"/>
          </w:tcPr>
          <w:p>
            <w:pPr>
              <w:pStyle w:val="TableContents"/>
              <w:bidi w:val="0"/>
              <w:spacing w:before="0" w:after="0"/>
              <w:jc w:val="both"/>
              <w:rPr/>
            </w:pPr>
            <w:r>
              <w:rPr/>
              <w:t>Viatris Inc.’s registration statement on Form S-3 dated 8 May 2025.</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left"/>
              <w:rPr/>
            </w:pPr>
            <w:r>
              <w:rPr/>
              <w:t>“</w:t>
            </w:r>
            <w:r>
              <w:rPr>
                <w:b/>
              </w:rPr>
              <w:t>Resolutions</w:t>
            </w:r>
            <w:r>
              <w:rPr/>
              <w:t>”</w:t>
            </w:r>
          </w:p>
        </w:tc>
        <w:tc>
          <w:tcPr>
            <w:tcW w:w="8429" w:type="dxa"/>
            <w:tcBorders/>
            <w:vAlign w:val="center"/>
          </w:tcPr>
          <w:p>
            <w:pPr>
              <w:pStyle w:val="TableContents"/>
              <w:bidi w:val="0"/>
              <w:spacing w:before="0" w:after="0"/>
              <w:jc w:val="both"/>
              <w:rPr/>
            </w:pPr>
            <w:r>
              <w:rPr/>
              <w:t>in relation to the Dutch Company, the document or documents containing the resolutions of its management board (</w:t>
            </w:r>
            <w:r>
              <w:rPr>
                <w:i/>
              </w:rPr>
              <w:t>bestuur</w:t>
            </w:r>
            <w:r>
              <w:rPr/>
              <w:t>), dated 30</w:t>
            </w:r>
          </w:p>
          <w:p>
            <w:pPr>
              <w:pStyle w:val="TableContents"/>
              <w:bidi w:val="0"/>
              <w:spacing w:before="0" w:after="0"/>
              <w:jc w:val="both"/>
              <w:rPr/>
            </w:pPr>
            <w:r>
              <w:rPr/>
              <w:t>April 2025 and 10 June 2026</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left"/>
              <w:rPr/>
            </w:pPr>
            <w:r>
              <w:rPr/>
              <w:t>“</w:t>
            </w:r>
            <w:r>
              <w:rPr>
                <w:b/>
              </w:rPr>
              <w:t>SEC</w:t>
            </w:r>
            <w:r>
              <w:rPr/>
              <w:t>”</w:t>
            </w:r>
          </w:p>
        </w:tc>
        <w:tc>
          <w:tcPr>
            <w:tcW w:w="8429" w:type="dxa"/>
            <w:tcBorders/>
            <w:vAlign w:val="center"/>
          </w:tcPr>
          <w:p>
            <w:pPr>
              <w:pStyle w:val="TableContents"/>
              <w:bidi w:val="0"/>
              <w:spacing w:before="0" w:after="0"/>
              <w:jc w:val="both"/>
              <w:rPr/>
            </w:pPr>
            <w:r>
              <w:rPr/>
              <w:t>the United States Securities and Exchange Commission</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left"/>
              <w:rPr/>
            </w:pPr>
            <w:r>
              <w:rPr/>
              <w:t>“</w:t>
            </w:r>
            <w:r>
              <w:rPr>
                <w:b/>
              </w:rPr>
              <w:t>Trustee</w:t>
            </w:r>
            <w:r>
              <w:rPr/>
              <w:t>”</w:t>
            </w:r>
          </w:p>
        </w:tc>
        <w:tc>
          <w:tcPr>
            <w:tcW w:w="8429" w:type="dxa"/>
            <w:tcBorders/>
            <w:vAlign w:val="center"/>
          </w:tcPr>
          <w:p>
            <w:pPr>
              <w:pStyle w:val="TableContents"/>
              <w:bidi w:val="0"/>
              <w:spacing w:before="0" w:after="0"/>
              <w:jc w:val="both"/>
              <w:rPr/>
            </w:pPr>
            <w:r>
              <w:rPr/>
              <w:t>The Bank of New York Mellon</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 </w:t>
            </w:r>
          </w:p>
        </w:tc>
        <w:tc>
          <w:tcPr>
            <w:tcW w:w="842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left"/>
              <w:rPr/>
            </w:pPr>
            <w:r>
              <w:rPr/>
              <w:t>“</w:t>
            </w:r>
            <w:r>
              <w:rPr>
                <w:b/>
              </w:rPr>
              <w:t>Viatris Inc.</w:t>
            </w:r>
            <w:r>
              <w:rPr/>
              <w:t>”</w:t>
            </w:r>
          </w:p>
          <w:p>
            <w:pPr>
              <w:pStyle w:val="TableContents"/>
              <w:bidi w:val="0"/>
              <w:spacing w:before="0" w:after="0"/>
              <w:jc w:val="left"/>
              <w:rPr/>
            </w:pPr>
            <w:r>
              <w:rPr/>
              <w:t> </w:t>
            </w:r>
          </w:p>
        </w:tc>
        <w:tc>
          <w:tcPr>
            <w:tcW w:w="8429" w:type="dxa"/>
            <w:tcBorders/>
            <w:vAlign w:val="center"/>
          </w:tcPr>
          <w:p>
            <w:pPr>
              <w:pStyle w:val="TableContents"/>
              <w:bidi w:val="0"/>
              <w:spacing w:before="0" w:after="0"/>
              <w:jc w:val="both"/>
              <w:rPr/>
            </w:pPr>
            <w:r>
              <w:rPr/>
              <w:t>Viatris Inc., a Delaware corporation with its address at 1000 Mylan Boulevard, Canonsburg, Pennsylvania 15317</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162"/>
        <w:gridCol w:w="1833"/>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r>
          </w:p>
        </w:tc>
        <w:tc>
          <w:tcPr>
            <w:tcW w:w="183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r>
          </w:p>
        </w:tc>
        <w:tc>
          <w:tcPr>
            <w:tcW w:w="1833" w:type="dxa"/>
            <w:tcBorders/>
            <w:vAlign w:val="center"/>
          </w:tcPr>
          <w:p>
            <w:pPr>
              <w:pStyle w:val="TableContents"/>
              <w:bidi w:val="0"/>
              <w:spacing w:before="0" w:after="283"/>
              <w:jc w:val="left"/>
              <w:rPr/>
            </w:pPr>
            <w:r>
              <w:rPr/>
              <w:t>12</w:t>
            </w:r>
          </w:p>
        </w:tc>
      </w:tr>
    </w:tbl>
    <w:tbl>
      <w:tblPr>
        <w:tblW w:w="3748" w:type="dxa"/>
        <w:jc w:val="left"/>
        <w:tblInd w:w="0" w:type="dxa"/>
        <w:tblLayout w:type="fixed"/>
        <w:tblCellMar>
          <w:top w:w="0" w:type="dxa"/>
          <w:left w:w="0" w:type="dxa"/>
          <w:bottom w:w="0" w:type="dxa"/>
          <w:right w:w="0" w:type="dxa"/>
        </w:tblCellMar>
      </w:tblPr>
      <w:tblGrid>
        <w:gridCol w:w="23"/>
        <w:gridCol w:w="3725"/>
      </w:tblGrid>
      <w:tr>
        <w:trPr/>
        <w:tc>
          <w:tcPr>
            <w:tcW w:w="23" w:type="dxa"/>
            <w:tcBorders/>
            <w:vAlign w:val="center"/>
          </w:tcPr>
          <w:p>
            <w:pPr>
              <w:pStyle w:val="TableContents"/>
              <w:bidi w:val="0"/>
              <w:spacing w:before="0" w:after="283"/>
              <w:jc w:val="left"/>
              <w:rPr/>
            </w:pPr>
            <w:r>
              <w:rPr/>
            </w:r>
          </w:p>
        </w:tc>
        <w:tc>
          <w:tcPr>
            <w:tcW w:w="3725" w:type="dxa"/>
            <w:tcBorders/>
            <w:vAlign w:val="center"/>
          </w:tcPr>
          <w:p>
            <w:pPr>
              <w:pStyle w:val="TableContents"/>
              <w:bidi w:val="0"/>
              <w:spacing w:before="0" w:after="0"/>
              <w:jc w:val="both"/>
              <w:rPr>
                <w:b/>
              </w:rPr>
            </w:pPr>
            <w:r>
              <w:rPr>
                <w:b/>
              </w:rPr>
              <w:t>EXHIBIT B</w:t>
            </w:r>
          </w:p>
          <w:p>
            <w:pPr>
              <w:pStyle w:val="TableContents"/>
              <w:bidi w:val="0"/>
              <w:spacing w:before="0" w:after="0"/>
              <w:ind w:left="706" w:right="0" w:hanging="706"/>
              <w:jc w:val="both"/>
              <w:rPr>
                <w:b/>
              </w:rPr>
            </w:pPr>
            <w:r>
              <w:rPr>
                <w:b/>
              </w:rPr>
              <w:t>LIST OF OPINION DOCUMENTS</w:t>
            </w:r>
          </w:p>
        </w:tc>
      </w:tr>
    </w:tbl>
    <w:p>
      <w:pPr>
        <w:pStyle w:val="TextBody"/>
        <w:bidi w:val="0"/>
        <w:spacing w:before="0" w:after="0"/>
        <w:jc w:val="left"/>
        <w:rPr/>
      </w:pPr>
      <w:r>
        <w:rPr/>
      </w:r>
    </w:p>
    <w:tbl>
      <w:tblPr>
        <w:tblW w:w="1705" w:type="dxa"/>
        <w:jc w:val="left"/>
        <w:tblInd w:w="0" w:type="dxa"/>
        <w:tblLayout w:type="fixed"/>
        <w:tblCellMar>
          <w:top w:w="0" w:type="dxa"/>
          <w:left w:w="0" w:type="dxa"/>
          <w:bottom w:w="0" w:type="dxa"/>
          <w:right w:w="0" w:type="dxa"/>
        </w:tblCellMar>
      </w:tblPr>
      <w:tblGrid>
        <w:gridCol w:w="75"/>
        <w:gridCol w:w="200"/>
        <w:gridCol w:w="14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1430" w:type="dxa"/>
            <w:tcBorders/>
            <w:vAlign w:val="center"/>
          </w:tcPr>
          <w:p>
            <w:pPr>
              <w:pStyle w:val="TableContents"/>
              <w:bidi w:val="0"/>
              <w:spacing w:before="0" w:after="0"/>
              <w:jc w:val="both"/>
              <w:rPr/>
            </w:pPr>
            <w:r>
              <w:rPr/>
              <w:t>the Indentures;</w:t>
            </w:r>
          </w:p>
        </w:tc>
      </w:tr>
    </w:tbl>
    <w:p>
      <w:pPr>
        <w:pStyle w:val="TextBody"/>
        <w:bidi w:val="0"/>
        <w:spacing w:before="0" w:after="0"/>
        <w:jc w:val="left"/>
        <w:rPr>
          <w:color w:val="000000"/>
        </w:rPr>
      </w:pPr>
      <w:r>
        <w:rPr>
          <w:color w:val="000000"/>
        </w:rPr>
        <w:t> </w:t>
      </w:r>
    </w:p>
    <w:tbl>
      <w:tblPr>
        <w:tblW w:w="3325" w:type="dxa"/>
        <w:jc w:val="left"/>
        <w:tblInd w:w="0" w:type="dxa"/>
        <w:tblLayout w:type="fixed"/>
        <w:tblCellMar>
          <w:top w:w="0" w:type="dxa"/>
          <w:left w:w="0" w:type="dxa"/>
          <w:bottom w:w="0" w:type="dxa"/>
          <w:right w:w="0" w:type="dxa"/>
        </w:tblCellMar>
      </w:tblPr>
      <w:tblGrid>
        <w:gridCol w:w="75"/>
        <w:gridCol w:w="200"/>
        <w:gridCol w:w="30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3050" w:type="dxa"/>
            <w:tcBorders/>
            <w:vAlign w:val="center"/>
          </w:tcPr>
          <w:p>
            <w:pPr>
              <w:pStyle w:val="TableContents"/>
              <w:bidi w:val="0"/>
              <w:spacing w:before="0" w:after="0"/>
              <w:jc w:val="both"/>
              <w:rPr/>
            </w:pPr>
            <w:r>
              <w:rPr/>
              <w:t>the Prospectus Supplement; and</w:t>
            </w:r>
          </w:p>
        </w:tc>
      </w:tr>
    </w:tbl>
    <w:p>
      <w:pPr>
        <w:pStyle w:val="TextBody"/>
        <w:bidi w:val="0"/>
        <w:spacing w:before="0" w:after="0"/>
        <w:jc w:val="left"/>
        <w:rPr>
          <w:color w:val="000000"/>
        </w:rPr>
      </w:pPr>
      <w:r>
        <w:rPr>
          <w:color w:val="000000"/>
        </w:rPr>
        <w:t> </w:t>
      </w:r>
    </w:p>
    <w:tbl>
      <w:tblPr>
        <w:tblW w:w="2845" w:type="dxa"/>
        <w:jc w:val="left"/>
        <w:tblInd w:w="0" w:type="dxa"/>
        <w:tblLayout w:type="fixed"/>
        <w:tblCellMar>
          <w:top w:w="0" w:type="dxa"/>
          <w:left w:w="0" w:type="dxa"/>
          <w:bottom w:w="0" w:type="dxa"/>
          <w:right w:w="0" w:type="dxa"/>
        </w:tblCellMar>
      </w:tblPr>
      <w:tblGrid>
        <w:gridCol w:w="75"/>
        <w:gridCol w:w="200"/>
        <w:gridCol w:w="25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2570" w:type="dxa"/>
            <w:tcBorders/>
            <w:vAlign w:val="center"/>
          </w:tcPr>
          <w:p>
            <w:pPr>
              <w:pStyle w:val="TableContents"/>
              <w:bidi w:val="0"/>
              <w:spacing w:before="0" w:after="0"/>
              <w:jc w:val="both"/>
              <w:rPr/>
            </w:pPr>
            <w:r>
              <w:rPr/>
              <w:t>the Registration Statement.</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2055" w:type="dxa"/>
        <w:jc w:val="left"/>
        <w:tblInd w:w="0" w:type="dxa"/>
        <w:tblLayout w:type="fixed"/>
        <w:tblCellMar>
          <w:top w:w="0" w:type="dxa"/>
          <w:left w:w="0" w:type="dxa"/>
          <w:bottom w:w="0" w:type="dxa"/>
          <w:right w:w="0" w:type="dxa"/>
        </w:tblCellMar>
      </w:tblPr>
      <w:tblGrid>
        <w:gridCol w:w="60"/>
        <w:gridCol w:w="162"/>
        <w:gridCol w:w="1833"/>
      </w:tblGrid>
      <w:tr>
        <w:trPr/>
        <w:tc>
          <w:tcPr>
            <w:tcW w:w="60" w:type="dxa"/>
            <w:tcBorders/>
            <w:vAlign w:val="center"/>
          </w:tcPr>
          <w:p>
            <w:pPr>
              <w:pStyle w:val="TableContents"/>
              <w:bidi w:val="0"/>
              <w:spacing w:before="0" w:after="283"/>
              <w:jc w:val="left"/>
              <w:rPr/>
            </w:pPr>
            <w:r>
              <w:rPr/>
              <w:t> </w:t>
            </w:r>
          </w:p>
        </w:tc>
        <w:tc>
          <w:tcPr>
            <w:tcW w:w="1995" w:type="dxa"/>
            <w:gridSpan w:val="2"/>
            <w:tcBorders/>
            <w:vAlign w:val="center"/>
          </w:tcPr>
          <w:p>
            <w:pPr>
              <w:pStyle w:val="TableContents"/>
              <w:bidi w:val="0"/>
              <w:spacing w:before="0" w:after="0"/>
              <w:jc w:val="left"/>
              <w:rPr/>
            </w:pPr>
            <w:r>
              <w:rPr/>
              <w:drawing>
                <wp:inline distT="0" distB="0" distL="0" distR="0">
                  <wp:extent cx="1266825" cy="15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6825" cy="152400"/>
                          </a:xfrm>
                          <a:prstGeom prst="rect">
                            <a:avLst/>
                          </a:prstGeom>
                        </pic:spPr>
                      </pic:pic>
                    </a:graphicData>
                  </a:graphic>
                </wp:inline>
              </w:drawing>
            </w:r>
          </w:p>
        </w:tc>
      </w:tr>
      <w:tr>
        <w:trPr/>
        <w:tc>
          <w:tcPr>
            <w:tcW w:w="60"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r>
          </w:p>
        </w:tc>
        <w:tc>
          <w:tcPr>
            <w:tcW w:w="1833"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r>
          </w:p>
        </w:tc>
        <w:tc>
          <w:tcPr>
            <w:tcW w:w="1833" w:type="dxa"/>
            <w:tcBorders/>
            <w:vAlign w:val="center"/>
          </w:tcPr>
          <w:p>
            <w:pPr>
              <w:pStyle w:val="TableContents"/>
              <w:bidi w:val="0"/>
              <w:spacing w:before="0" w:after="283"/>
              <w:jc w:val="left"/>
              <w:rPr/>
            </w:pPr>
            <w:r>
              <w:rPr/>
              <w:t>13</w:t>
            </w:r>
          </w:p>
        </w:tc>
      </w:tr>
    </w:tbl>
    <w:tbl>
      <w:tblPr>
        <w:tblW w:w="4295" w:type="dxa"/>
        <w:jc w:val="left"/>
        <w:tblInd w:w="0" w:type="dxa"/>
        <w:tblLayout w:type="fixed"/>
        <w:tblCellMar>
          <w:top w:w="0" w:type="dxa"/>
          <w:left w:w="0" w:type="dxa"/>
          <w:bottom w:w="0" w:type="dxa"/>
          <w:right w:w="0" w:type="dxa"/>
        </w:tblCellMar>
      </w:tblPr>
      <w:tblGrid>
        <w:gridCol w:w="60"/>
        <w:gridCol w:w="4235"/>
      </w:tblGrid>
      <w:tr>
        <w:trPr/>
        <w:tc>
          <w:tcPr>
            <w:tcW w:w="60" w:type="dxa"/>
            <w:tcBorders/>
            <w:vAlign w:val="center"/>
          </w:tcPr>
          <w:p>
            <w:pPr>
              <w:pStyle w:val="TableContents"/>
              <w:bidi w:val="0"/>
              <w:spacing w:before="0" w:after="0"/>
              <w:jc w:val="left"/>
              <w:rPr/>
            </w:pPr>
            <w:r>
              <w:rPr/>
              <w:t> </w:t>
            </w:r>
          </w:p>
        </w:tc>
        <w:tc>
          <w:tcPr>
            <w:tcW w:w="4235" w:type="dxa"/>
            <w:tcBorders/>
            <w:vAlign w:val="center"/>
          </w:tcPr>
          <w:p>
            <w:pPr>
              <w:pStyle w:val="TableContents"/>
              <w:bidi w:val="0"/>
              <w:spacing w:before="0" w:after="0"/>
              <w:jc w:val="both"/>
              <w:rPr>
                <w:b/>
              </w:rPr>
            </w:pPr>
            <w:r>
              <w:rPr>
                <w:b/>
              </w:rPr>
              <w:t>EXHIBIT C</w:t>
            </w:r>
          </w:p>
          <w:p>
            <w:pPr>
              <w:pStyle w:val="TableContents"/>
              <w:bidi w:val="0"/>
              <w:spacing w:before="0" w:after="0"/>
              <w:ind w:left="706" w:right="0" w:hanging="706"/>
              <w:jc w:val="both"/>
              <w:rPr>
                <w:b/>
              </w:rPr>
            </w:pPr>
            <w:r>
              <w:rPr>
                <w:b/>
              </w:rPr>
              <w:t>LIST OF CORPORATE DOCUMENTS</w:t>
            </w:r>
          </w:p>
        </w:tc>
      </w:tr>
    </w:tbl>
    <w:p>
      <w:pPr>
        <w:pStyle w:val="TextBody"/>
        <w:bidi w:val="0"/>
        <w:spacing w:before="0" w:after="0"/>
        <w:jc w:val="left"/>
        <w:rPr>
          <w:color w:val="000000"/>
        </w:rPr>
      </w:pPr>
      <w:r>
        <w:rPr>
          <w:color w:val="000000"/>
        </w:rPr>
        <w:t> </w:t>
      </w:r>
    </w:p>
    <w:tbl>
      <w:tblPr>
        <w:tblW w:w="2815" w:type="dxa"/>
        <w:jc w:val="left"/>
        <w:tblInd w:w="0" w:type="dxa"/>
        <w:tblLayout w:type="fixed"/>
        <w:tblCellMar>
          <w:top w:w="0" w:type="dxa"/>
          <w:left w:w="0" w:type="dxa"/>
          <w:bottom w:w="0" w:type="dxa"/>
          <w:right w:w="0" w:type="dxa"/>
        </w:tblCellMar>
      </w:tblPr>
      <w:tblGrid>
        <w:gridCol w:w="75"/>
        <w:gridCol w:w="200"/>
        <w:gridCol w:w="25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2540" w:type="dxa"/>
            <w:tcBorders/>
            <w:vAlign w:val="center"/>
          </w:tcPr>
          <w:p>
            <w:pPr>
              <w:pStyle w:val="TableContents"/>
              <w:bidi w:val="0"/>
              <w:spacing w:before="0" w:after="0"/>
              <w:jc w:val="both"/>
              <w:rPr/>
            </w:pPr>
            <w:r>
              <w:rPr/>
              <w:t>the Deed of Incorporation;</w:t>
            </w:r>
          </w:p>
        </w:tc>
      </w:tr>
    </w:tbl>
    <w:p>
      <w:pPr>
        <w:pStyle w:val="TextBody"/>
        <w:bidi w:val="0"/>
        <w:spacing w:before="0" w:after="0"/>
        <w:jc w:val="left"/>
        <w:rPr>
          <w:color w:val="000000"/>
        </w:rPr>
      </w:pPr>
      <w:r>
        <w:rPr>
          <w:color w:val="000000"/>
        </w:rPr>
        <w:t> </w:t>
      </w:r>
    </w:p>
    <w:tbl>
      <w:tblPr>
        <w:tblW w:w="1795" w:type="dxa"/>
        <w:jc w:val="left"/>
        <w:tblInd w:w="0" w:type="dxa"/>
        <w:tblLayout w:type="fixed"/>
        <w:tblCellMar>
          <w:top w:w="0" w:type="dxa"/>
          <w:left w:w="0" w:type="dxa"/>
          <w:bottom w:w="0" w:type="dxa"/>
          <w:right w:w="0" w:type="dxa"/>
        </w:tblCellMar>
      </w:tblPr>
      <w:tblGrid>
        <w:gridCol w:w="75"/>
        <w:gridCol w:w="200"/>
        <w:gridCol w:w="15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1520" w:type="dxa"/>
            <w:tcBorders/>
            <w:vAlign w:val="center"/>
          </w:tcPr>
          <w:p>
            <w:pPr>
              <w:pStyle w:val="TableContents"/>
              <w:bidi w:val="0"/>
              <w:spacing w:before="0" w:after="0"/>
              <w:jc w:val="both"/>
              <w:rPr/>
            </w:pPr>
            <w:r>
              <w:rPr/>
              <w:t>the Extract; and</w:t>
            </w:r>
          </w:p>
        </w:tc>
      </w:tr>
    </w:tbl>
    <w:p>
      <w:pPr>
        <w:pStyle w:val="TextBody"/>
        <w:bidi w:val="0"/>
        <w:spacing w:before="0" w:after="0"/>
        <w:jc w:val="left"/>
        <w:rPr>
          <w:color w:val="000000"/>
        </w:rPr>
      </w:pPr>
      <w:r>
        <w:rPr>
          <w:color w:val="000000"/>
        </w:rPr>
        <w:t> </w:t>
      </w:r>
    </w:p>
    <w:tbl>
      <w:tblPr>
        <w:tblW w:w="1825" w:type="dxa"/>
        <w:jc w:val="left"/>
        <w:tblInd w:w="0" w:type="dxa"/>
        <w:tblLayout w:type="fixed"/>
        <w:tblCellMar>
          <w:top w:w="0" w:type="dxa"/>
          <w:left w:w="0" w:type="dxa"/>
          <w:bottom w:w="0" w:type="dxa"/>
          <w:right w:w="0" w:type="dxa"/>
        </w:tblCellMar>
      </w:tblPr>
      <w:tblGrid>
        <w:gridCol w:w="75"/>
        <w:gridCol w:w="200"/>
        <w:gridCol w:w="15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1550" w:type="dxa"/>
            <w:tcBorders/>
            <w:vAlign w:val="center"/>
          </w:tcPr>
          <w:p>
            <w:pPr>
              <w:pStyle w:val="TableContents"/>
              <w:bidi w:val="0"/>
              <w:spacing w:before="0" w:after="0"/>
              <w:jc w:val="both"/>
              <w:rPr/>
            </w:pPr>
            <w:r>
              <w:rPr/>
              <w:t>the Resolutions.</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37" w:name="ef20076340_ex5-3.htm"/>
      <w:bookmarkStart w:id="338" w:name="ksef20076340_ex53"/>
      <w:bookmarkStart w:id="339" w:name="ef20076340_ex5-3.htm"/>
      <w:bookmarkStart w:id="340" w:name="ksef20076340_ex53"/>
      <w:bookmarkEnd w:id="339"/>
      <w:bookmarkEnd w:id="34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5.3</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drawing>
          <wp:inline distT="0" distB="0" distL="0" distR="0">
            <wp:extent cx="1066800" cy="714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66800" cy="714375"/>
                    </a:xfrm>
                    <a:prstGeom prst="rect">
                      <a:avLst/>
                    </a:prstGeom>
                  </pic:spPr>
                </pic:pic>
              </a:graphicData>
            </a:graphic>
          </wp:inline>
        </w:drawing>
      </w:r>
      <w:r>
        <w:rPr>
          <w:color w:val="000000"/>
        </w:rPr>
        <w:t xml:space="preserve"> </w:t>
      </w:r>
    </w:p>
    <w:p>
      <w:pPr>
        <w:pStyle w:val="TextBody"/>
        <w:bidi w:val="0"/>
        <w:spacing w:before="0" w:after="0"/>
        <w:jc w:val="center"/>
        <w:rPr>
          <w:sz w:val="20"/>
        </w:rPr>
      </w:pPr>
      <w:r>
        <w:rPr>
          <w:sz w:val="20"/>
        </w:rPr>
      </w:r>
    </w:p>
    <w:p>
      <w:pPr>
        <w:pStyle w:val="Normal"/>
        <w:bidi w:val="0"/>
        <w:spacing w:before="0" w:after="0"/>
        <w:jc w:val="left"/>
        <w:rPr>
          <w:sz w:val="4"/>
          <w:szCs w:val="4"/>
        </w:rPr>
      </w:pPr>
      <w:r>
        <w:rPr>
          <w:sz w:val="4"/>
          <w:szCs w:val="4"/>
        </w:rPr>
      </w:r>
      <w:bookmarkStart w:id="341" w:name="z2f12db61be7848c9b148d5be6052fff6"/>
      <w:bookmarkStart w:id="342" w:name="z2f12db61be7848c9b148d5be6052fff6"/>
      <w:bookmarkEnd w:id="342"/>
    </w:p>
    <w:tbl>
      <w:tblPr>
        <w:tblW w:w="1520" w:type="dxa"/>
        <w:jc w:val="left"/>
        <w:tblInd w:w="0" w:type="dxa"/>
        <w:tblLayout w:type="fixed"/>
        <w:tblCellMar>
          <w:top w:w="0" w:type="dxa"/>
          <w:left w:w="0" w:type="dxa"/>
          <w:bottom w:w="0" w:type="dxa"/>
          <w:right w:w="0" w:type="dxa"/>
        </w:tblCellMar>
      </w:tblPr>
      <w:tblGrid>
        <w:gridCol w:w="60"/>
        <w:gridCol w:w="1460"/>
      </w:tblGrid>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0"/>
              <w:jc w:val="left"/>
              <w:rPr>
                <w:sz w:val="20"/>
              </w:rPr>
            </w:pPr>
            <w:r>
              <w:rPr>
                <w:sz w:val="20"/>
              </w:rPr>
              <w:t>Atlanta, GA</w:t>
            </w:r>
          </w:p>
          <w:p>
            <w:pPr>
              <w:pStyle w:val="TableContents"/>
              <w:bidi w:val="0"/>
              <w:spacing w:before="0" w:after="20"/>
              <w:jc w:val="left"/>
              <w:rPr>
                <w:sz w:val="20"/>
              </w:rPr>
            </w:pPr>
            <w:r>
              <w:rPr>
                <w:sz w:val="20"/>
              </w:rPr>
              <w:t>Charleston, SC</w:t>
            </w:r>
          </w:p>
          <w:p>
            <w:pPr>
              <w:pStyle w:val="TableContents"/>
              <w:bidi w:val="0"/>
              <w:spacing w:before="0" w:after="20"/>
              <w:jc w:val="left"/>
              <w:rPr>
                <w:sz w:val="20"/>
              </w:rPr>
            </w:pPr>
            <w:r>
              <w:rPr>
                <w:sz w:val="20"/>
              </w:rPr>
              <w:t>Charlotte, NC</w:t>
            </w:r>
          </w:p>
          <w:p>
            <w:pPr>
              <w:pStyle w:val="TableContents"/>
              <w:bidi w:val="0"/>
              <w:spacing w:before="0" w:after="20"/>
              <w:jc w:val="left"/>
              <w:rPr>
                <w:sz w:val="20"/>
              </w:rPr>
            </w:pPr>
            <w:r>
              <w:rPr>
                <w:sz w:val="20"/>
              </w:rPr>
              <w:t>Columbia, SC</w:t>
            </w:r>
          </w:p>
          <w:p>
            <w:pPr>
              <w:pStyle w:val="TableContents"/>
              <w:bidi w:val="0"/>
              <w:spacing w:before="0" w:after="20"/>
              <w:jc w:val="left"/>
              <w:rPr>
                <w:sz w:val="20"/>
              </w:rPr>
            </w:pPr>
            <w:r>
              <w:rPr>
                <w:sz w:val="20"/>
              </w:rPr>
              <w:t>Greenville, SC</w:t>
            </w:r>
          </w:p>
          <w:p>
            <w:pPr>
              <w:pStyle w:val="TableContents"/>
              <w:bidi w:val="0"/>
              <w:spacing w:before="0" w:after="20"/>
              <w:jc w:val="left"/>
              <w:rPr>
                <w:sz w:val="20"/>
              </w:rPr>
            </w:pPr>
            <w:r>
              <w:rPr>
                <w:sz w:val="20"/>
              </w:rPr>
              <w:t>Raleigh, NC</w:t>
            </w:r>
          </w:p>
          <w:p>
            <w:pPr>
              <w:pStyle w:val="TableContents"/>
              <w:bidi w:val="0"/>
              <w:spacing w:before="0" w:after="20"/>
              <w:jc w:val="left"/>
              <w:rPr>
                <w:sz w:val="20"/>
              </w:rPr>
            </w:pPr>
            <w:r>
              <w:rPr>
                <w:sz w:val="20"/>
              </w:rPr>
              <w:t>Spartanburg, SC</w:t>
            </w:r>
          </w:p>
          <w:p>
            <w:pPr>
              <w:pStyle w:val="TableContents"/>
              <w:bidi w:val="0"/>
              <w:spacing w:before="0" w:after="20"/>
              <w:jc w:val="left"/>
              <w:rPr>
                <w:sz w:val="20"/>
              </w:rPr>
            </w:pPr>
            <w:r>
              <w:rPr>
                <w:sz w:val="20"/>
              </w:rPr>
              <w:t>Washington, D.C.</w:t>
            </w:r>
          </w:p>
        </w:tc>
      </w:tr>
    </w:tbl>
    <w:p>
      <w:pPr>
        <w:pStyle w:val="TextBody"/>
        <w:bidi w:val="0"/>
        <w:spacing w:before="0" w:after="0"/>
        <w:jc w:val="left"/>
        <w:rPr>
          <w:sz w:val="20"/>
        </w:rPr>
      </w:pPr>
      <w:r>
        <w:rPr>
          <w:sz w:val="20"/>
        </w:rPr>
      </w:r>
    </w:p>
    <w:p>
      <w:pPr>
        <w:pStyle w:val="TextBody"/>
        <w:bidi w:val="0"/>
        <w:spacing w:before="0" w:after="0"/>
        <w:ind w:left="108" w:right="0" w:hanging="0"/>
        <w:jc w:val="center"/>
        <w:rPr>
          <w:rFonts w:ascii="Times New Roman" w:hAnsi="Times New Roman"/>
          <w:color w:val="000000"/>
          <w:sz w:val="20"/>
        </w:rPr>
      </w:pPr>
      <w:r>
        <w:rPr>
          <w:rFonts w:ascii="Times New Roman" w:hAnsi="Times New Roman"/>
          <w:color w:val="000000"/>
          <w:sz w:val="20"/>
        </w:rPr>
        <w:t>June 17, 2026</w:t>
      </w:r>
    </w:p>
    <w:p>
      <w:pPr>
        <w:pStyle w:val="TextBody"/>
        <w:bidi w:val="0"/>
        <w:spacing w:before="0" w:after="0"/>
        <w:jc w:val="left"/>
        <w:rPr>
          <w:sz w:val="20"/>
        </w:rPr>
      </w:pPr>
      <w:r>
        <w:rPr>
          <w:sz w:val="20"/>
        </w:rPr>
      </w:r>
    </w:p>
    <w:p>
      <w:pPr>
        <w:pStyle w:val="TextBody"/>
        <w:bidi w:val="0"/>
        <w:spacing w:before="91" w:after="283"/>
        <w:jc w:val="left"/>
        <w:rPr>
          <w:rFonts w:ascii="Times New Roman" w:hAnsi="Times New Roman"/>
          <w:color w:val="000000"/>
          <w:sz w:val="20"/>
        </w:rPr>
      </w:pPr>
      <w:r>
        <w:rPr>
          <w:rFonts w:ascii="Times New Roman" w:hAnsi="Times New Roman"/>
          <w:color w:val="000000"/>
          <w:sz w:val="20"/>
        </w:rPr>
        <w:t>Viatris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Mylan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1000 Mylan Boulevard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Canonsburg, Pennsylvania 15317</w:t>
      </w:r>
    </w:p>
    <w:p>
      <w:pPr>
        <w:pStyle w:val="TextBody"/>
        <w:bidi w:val="0"/>
        <w:spacing w:before="10" w:after="283"/>
        <w:jc w:val="left"/>
        <w:rPr>
          <w:sz w:val="20"/>
        </w:rPr>
      </w:pPr>
      <w:r>
        <w:rPr>
          <w:sz w:val="20"/>
        </w:rPr>
      </w:r>
    </w:p>
    <w:p>
      <w:pPr>
        <w:pStyle w:val="Normal"/>
        <w:bidi w:val="0"/>
        <w:spacing w:before="0" w:after="0"/>
        <w:jc w:val="left"/>
        <w:rPr>
          <w:sz w:val="4"/>
          <w:szCs w:val="4"/>
        </w:rPr>
      </w:pPr>
      <w:r>
        <w:rPr>
          <w:sz w:val="4"/>
          <w:szCs w:val="4"/>
        </w:rPr>
      </w:r>
      <w:bookmarkStart w:id="343" w:name="z23a05947f42341faae7c05c3f054c52e"/>
      <w:bookmarkStart w:id="344" w:name="z23a05947f42341faae7c05c3f054c52e"/>
      <w:bookmarkEnd w:id="344"/>
    </w:p>
    <w:tbl>
      <w:tblPr>
        <w:tblW w:w="4105" w:type="dxa"/>
        <w:jc w:val="left"/>
        <w:tblInd w:w="0" w:type="dxa"/>
        <w:tblLayout w:type="fixed"/>
        <w:tblCellMar>
          <w:top w:w="0" w:type="dxa"/>
          <w:left w:w="0" w:type="dxa"/>
          <w:bottom w:w="0" w:type="dxa"/>
          <w:right w:w="0" w:type="dxa"/>
        </w:tblCellMar>
      </w:tblPr>
      <w:tblGrid>
        <w:gridCol w:w="320"/>
        <w:gridCol w:w="3785"/>
      </w:tblGrid>
      <w:tr>
        <w:trPr/>
        <w:tc>
          <w:tcPr>
            <w:tcW w:w="320" w:type="dxa"/>
            <w:tcBorders/>
            <w:vAlign w:val="center"/>
          </w:tcPr>
          <w:p>
            <w:pPr>
              <w:pStyle w:val="TableContents"/>
              <w:bidi w:val="0"/>
              <w:spacing w:before="91" w:after="283"/>
              <w:jc w:val="left"/>
              <w:rPr>
                <w:sz w:val="20"/>
              </w:rPr>
            </w:pPr>
            <w:r>
              <w:rPr>
                <w:sz w:val="20"/>
              </w:rPr>
              <w:t>Re:</w:t>
            </w:r>
          </w:p>
        </w:tc>
        <w:tc>
          <w:tcPr>
            <w:tcW w:w="3785" w:type="dxa"/>
            <w:tcBorders/>
            <w:vAlign w:val="center"/>
          </w:tcPr>
          <w:p>
            <w:pPr>
              <w:pStyle w:val="TableContents"/>
              <w:bidi w:val="0"/>
              <w:spacing w:before="91" w:after="283"/>
              <w:jc w:val="left"/>
              <w:rPr>
                <w:sz w:val="20"/>
              </w:rPr>
            </w:pPr>
            <w:r>
              <w:rPr>
                <w:sz w:val="20"/>
              </w:rPr>
              <w:t>The Registration Statement (as defined below)</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are Pennsylvania counsel to Mylan Inc., a Pennsylvania corporation (“</w:t>
      </w:r>
      <w:r>
        <w:rPr>
          <w:rFonts w:ascii="Times New Roman" w:hAnsi="Times New Roman"/>
          <w:b/>
          <w:i/>
          <w:color w:val="000000"/>
          <w:sz w:val="20"/>
        </w:rPr>
        <w:t>Company</w:t>
      </w:r>
      <w:r>
        <w:rPr>
          <w:rFonts w:ascii="Times New Roman" w:hAnsi="Times New Roman"/>
          <w:color w:val="000000"/>
          <w:sz w:val="20"/>
        </w:rPr>
        <w:t>”), and have been asked to prepare and deliver this opinion letter in connection with the Company’s proposed guarantees (collectively, “</w:t>
      </w:r>
      <w:r>
        <w:rPr>
          <w:rFonts w:ascii="Times New Roman" w:hAnsi="Times New Roman"/>
          <w:b/>
          <w:i/>
          <w:color w:val="000000"/>
          <w:sz w:val="20"/>
        </w:rPr>
        <w:t>Debt Securities Guarantees</w:t>
      </w:r>
      <w:r>
        <w:rPr>
          <w:rFonts w:ascii="Times New Roman" w:hAnsi="Times New Roman"/>
          <w:color w:val="000000"/>
          <w:sz w:val="20"/>
        </w:rPr>
        <w:t>”) of €650,000,000 aggregate principal amount of 4.250% senior notes due 2033 (collectively, “</w:t>
      </w:r>
      <w:r>
        <w:rPr>
          <w:rFonts w:ascii="Times New Roman" w:hAnsi="Times New Roman"/>
          <w:b/>
          <w:i/>
          <w:color w:val="000000"/>
          <w:sz w:val="20"/>
        </w:rPr>
        <w:t>Debt Securities</w:t>
      </w:r>
      <w:r>
        <w:rPr>
          <w:rFonts w:ascii="Times New Roman" w:hAnsi="Times New Roman"/>
          <w:color w:val="000000"/>
          <w:sz w:val="20"/>
        </w:rPr>
        <w:t>”) to be issued by Viatris Inc., a Delaware corporation (“</w:t>
      </w:r>
      <w:r>
        <w:rPr>
          <w:rFonts w:ascii="Times New Roman" w:hAnsi="Times New Roman"/>
          <w:b/>
          <w:i/>
          <w:color w:val="000000"/>
          <w:sz w:val="20"/>
        </w:rPr>
        <w:t>Issuer</w:t>
      </w:r>
      <w:r>
        <w:rPr>
          <w:rFonts w:ascii="Times New Roman" w:hAnsi="Times New Roman"/>
          <w:color w:val="000000"/>
          <w:sz w:val="20"/>
        </w:rPr>
        <w:t>”), pursuant to that certain indenture, dated as of June 17, 2026, by and among the Issuer, the Company, the other guarantors from time to time party thereto and The Bank of New York Mellon, as trustee (the “</w:t>
      </w:r>
      <w:r>
        <w:rPr>
          <w:rFonts w:ascii="Times New Roman" w:hAnsi="Times New Roman"/>
          <w:b/>
          <w:i/>
          <w:color w:val="000000"/>
          <w:sz w:val="20"/>
        </w:rPr>
        <w:t>Trustee</w:t>
      </w:r>
      <w:r>
        <w:rPr>
          <w:rFonts w:ascii="Times New Roman" w:hAnsi="Times New Roman"/>
          <w:color w:val="000000"/>
          <w:sz w:val="20"/>
        </w:rPr>
        <w:t>”), as supplemented by a first supplemental indenture, dated as of June 17, 2026, by and among the Issuer, the Company, the other guarantors from time to time party thereto and the Trustee (collectively, the “</w:t>
      </w:r>
      <w:r>
        <w:rPr>
          <w:rFonts w:ascii="Times New Roman" w:hAnsi="Times New Roman"/>
          <w:b/>
          <w:i/>
          <w:color w:val="000000"/>
          <w:sz w:val="20"/>
        </w:rPr>
        <w:t>Indenture</w:t>
      </w:r>
      <w:r>
        <w:rPr>
          <w:rFonts w:ascii="Times New Roman" w:hAnsi="Times New Roman"/>
          <w:color w:val="000000"/>
          <w:sz w:val="20"/>
        </w:rPr>
        <w:t>”) as contemplated under the registration statement on Form S-3 (“</w:t>
      </w:r>
      <w:r>
        <w:rPr>
          <w:rFonts w:ascii="Times New Roman" w:hAnsi="Times New Roman"/>
          <w:b/>
          <w:i/>
          <w:color w:val="000000"/>
          <w:sz w:val="20"/>
        </w:rPr>
        <w:t>Registration Statement</w:t>
      </w:r>
      <w:r>
        <w:rPr>
          <w:rFonts w:ascii="Times New Roman" w:hAnsi="Times New Roman"/>
          <w:color w:val="000000"/>
          <w:sz w:val="20"/>
        </w:rPr>
        <w:t>”) filed by the Issuer and the Company on May 8, 2025, with the United States Securities and Exchange Commission (“</w:t>
      </w:r>
      <w:r>
        <w:rPr>
          <w:rFonts w:ascii="Times New Roman" w:hAnsi="Times New Roman"/>
          <w:b/>
          <w:i/>
          <w:color w:val="000000"/>
          <w:sz w:val="20"/>
        </w:rPr>
        <w:t>SEC</w:t>
      </w:r>
      <w:r>
        <w:rPr>
          <w:rFonts w:ascii="Times New Roman" w:hAnsi="Times New Roman"/>
          <w:color w:val="000000"/>
          <w:sz w:val="20"/>
        </w:rPr>
        <w:t>”).  We have prepared this opinion letter in our narrow capacity as Pennsylvania counsel to the Company, and we have not represented the Company in connection with the negotiation, documentation or performance of the Indenture, the Registration Statement  or any other matter relating thereto.</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this opinion letter, we have examined originals, or copies certified or otherwise identified to our satisfaction, of (i) the Amended and Restated Articles of Incorporation, as Amended, of the Company, as certified by the Pennsylvania Secretary of State as of June 15, 2026 (“</w:t>
      </w:r>
      <w:r>
        <w:rPr>
          <w:rFonts w:ascii="Times New Roman" w:hAnsi="Times New Roman"/>
          <w:b/>
          <w:i/>
          <w:color w:val="000000"/>
          <w:sz w:val="20"/>
        </w:rPr>
        <w:t>Articles</w:t>
      </w:r>
      <w:r>
        <w:rPr>
          <w:rFonts w:ascii="Times New Roman" w:hAnsi="Times New Roman"/>
          <w:color w:val="000000"/>
          <w:sz w:val="20"/>
        </w:rPr>
        <w:t>”); (ii) the Third Amended and Restated Bylaws, as Amended, of the Company (“</w:t>
      </w:r>
      <w:r>
        <w:rPr>
          <w:rFonts w:ascii="Times New Roman" w:hAnsi="Times New Roman"/>
          <w:b/>
          <w:i/>
          <w:color w:val="000000"/>
          <w:sz w:val="20"/>
        </w:rPr>
        <w:t>Bylaws</w:t>
      </w:r>
      <w:r>
        <w:rPr>
          <w:rFonts w:ascii="Times New Roman" w:hAnsi="Times New Roman"/>
          <w:color w:val="000000"/>
          <w:sz w:val="20"/>
        </w:rPr>
        <w:t>” and collectively with the Articles, “</w:t>
      </w:r>
      <w:r>
        <w:rPr>
          <w:rFonts w:ascii="Times New Roman" w:hAnsi="Times New Roman"/>
          <w:b/>
          <w:i/>
          <w:color w:val="000000"/>
          <w:sz w:val="20"/>
        </w:rPr>
        <w:t>Charter Documents</w:t>
      </w:r>
      <w:r>
        <w:rPr>
          <w:rFonts w:ascii="Times New Roman" w:hAnsi="Times New Roman"/>
          <w:color w:val="000000"/>
          <w:sz w:val="20"/>
        </w:rPr>
        <w:t>”); (iii) the Registration Statement and the prospectus supplement dated June 12, 2026 filed by the Issuer and the Company on June 15, 2026 (the “</w:t>
      </w:r>
      <w:r>
        <w:rPr>
          <w:rFonts w:ascii="Times New Roman" w:hAnsi="Times New Roman"/>
          <w:b/>
          <w:i/>
          <w:color w:val="000000"/>
          <w:sz w:val="20"/>
        </w:rPr>
        <w:t>Prospectus Supplement</w:t>
      </w:r>
      <w:r>
        <w:rPr>
          <w:rFonts w:ascii="Times New Roman" w:hAnsi="Times New Roman"/>
          <w:color w:val="000000"/>
          <w:sz w:val="20"/>
        </w:rPr>
        <w:t>”) for the limited purposes of providing the opinions contained herein and confirming the statements set forth in the final paragraph of this opinion letter; (iv) the Indenture; (v) certain resolutions adopted by the Company’s Board of Directors (“</w:t>
      </w:r>
      <w:r>
        <w:rPr>
          <w:rFonts w:ascii="Times New Roman" w:hAnsi="Times New Roman"/>
          <w:b/>
          <w:i/>
          <w:color w:val="000000"/>
          <w:sz w:val="20"/>
        </w:rPr>
        <w:t>Board Resolutions</w:t>
      </w:r>
      <w:r>
        <w:rPr>
          <w:rFonts w:ascii="Times New Roman" w:hAnsi="Times New Roman"/>
          <w:color w:val="000000"/>
          <w:sz w:val="20"/>
        </w:rPr>
        <w:t>”); (vi) a certificate of subsistence (“</w:t>
      </w:r>
      <w:r>
        <w:rPr>
          <w:rFonts w:ascii="Times New Roman" w:hAnsi="Times New Roman"/>
          <w:b/>
          <w:i/>
          <w:color w:val="000000"/>
          <w:sz w:val="20"/>
        </w:rPr>
        <w:t>Certificate of Subsistence</w:t>
      </w:r>
      <w:r>
        <w:rPr>
          <w:rFonts w:ascii="Times New Roman" w:hAnsi="Times New Roman"/>
          <w:color w:val="000000"/>
          <w:sz w:val="20"/>
        </w:rPr>
        <w:t>”) with respect to the Company issued by the Pennsylvania Secretary of State as of June 15, 2026; and (vii) such other documents and records as we deemed appropriate for purposes of the opinions set forth herein.</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color w:val="000000"/>
          <w:sz w:val="16"/>
        </w:rPr>
      </w:pPr>
      <w:r>
        <w:rPr>
          <w:rFonts w:ascii="Times New Roman" w:hAnsi="Times New Roman"/>
          <w:color w:val="000000"/>
          <w:sz w:val="16"/>
        </w:rPr>
        <w:t>Parker Poe Adams &amp; Bernstein LLP   620 South Tryon  Suite 800   Charlotte, NC   28202</w:t>
      </w:r>
    </w:p>
    <w:p>
      <w:pPr>
        <w:pStyle w:val="TextBody"/>
        <w:bidi w:val="0"/>
        <w:spacing w:before="180" w:after="180"/>
        <w:jc w:val="center"/>
        <w:rPr>
          <w:rFonts w:ascii="Times New Roman" w:hAnsi="Times New Roman"/>
          <w:color w:val="000000"/>
          <w:sz w:val="16"/>
        </w:rPr>
      </w:pPr>
      <w:r>
        <w:rPr>
          <w:rFonts w:ascii="Times New Roman" w:hAnsi="Times New Roman"/>
          <w:color w:val="000000"/>
          <w:sz w:val="16"/>
        </w:rPr>
        <w:t>t 704.372.9000    f 704.334.4706     www.parkerpoe.com</w:t>
      </w:r>
    </w:p>
    <w:p>
      <w:pPr>
        <w:pStyle w:val="HorizontalLine"/>
        <w:pBdr>
          <w:bottom w:val="single" w:sz="12" w:space="0" w:color="808080"/>
        </w:pBdr>
        <w:bidi w:val="0"/>
        <w:spacing w:before="180" w:after="180"/>
        <w:jc w:val="left"/>
        <w:rPr/>
      </w:pPr>
      <w:r>
        <w:rPr/>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June 17, 2026</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Page 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have assumed the genuineness of all signatures (and the authority of all signatories), the legal capacity of natural persons, the authenticity of the documents submitted to us as originals, the conformity to the original documents of all documents submitted to us as certified, facsimile or electronic copies, and the authenticity of the originals of all documents submitted to us as copies. </w:t>
      </w:r>
    </w:p>
    <w:p>
      <w:pPr>
        <w:pStyle w:val="TextBody"/>
        <w:bidi w:val="0"/>
        <w:spacing w:before="10" w:after="283"/>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to any facts that are material to the opinions hereinafter expressed that we did not independently establish or verify, we have relied without investigation upon a certificate of the Assistant Secretary of the Company, although we advise you that nothing has come to our attention that has caused us to believe that such reliance is unwarranted.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rendering the opinions set forth herein, whenever a statement or opinion herein is qualified by “to our knowledge,” “known to us” or by words of similar import, it is intended to indicate that, during the course of our representation of the Company, no information has come to the attention of those lawyers in our firm who have rendered substantive legal services to the Company that gives us actual knowledge of the inaccuracy of such statement or opinion. Except as specifically set forth herein, we have not undertaken any independent investigation to determine the accuracy of facts material to any such statement or opinion, and no inference as to such statement or opinion should be drawn from the fact of our representation of the Company.</w:t>
      </w:r>
    </w:p>
    <w:p>
      <w:pPr>
        <w:pStyle w:val="TextBody"/>
        <w:bidi w:val="0"/>
        <w:spacing w:before="1" w:after="283"/>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upon and subject to the foregoing, and to the limitations and qualifications described below, we are of the opinion that:</w:t>
      </w:r>
    </w:p>
    <w:p>
      <w:pPr>
        <w:pStyle w:val="TextBody"/>
        <w:bidi w:val="0"/>
        <w:spacing w:before="1" w:after="283"/>
        <w:jc w:val="left"/>
        <w:rPr>
          <w:sz w:val="20"/>
        </w:rPr>
      </w:pPr>
      <w:r>
        <w:rPr>
          <w:sz w:val="20"/>
        </w:rPr>
      </w:r>
    </w:p>
    <w:p>
      <w:pPr>
        <w:pStyle w:val="TextBody"/>
        <w:bidi w:val="0"/>
        <w:spacing w:before="0" w:after="0"/>
        <w:jc w:val="left"/>
        <w:rPr>
          <w:rFonts w:ascii="Times New Roman" w:hAnsi="Times New Roman"/>
          <w:color w:val="000000"/>
          <w:sz w:val="18"/>
        </w:rPr>
      </w:pPr>
      <w:r>
        <w:rPr>
          <w:rFonts w:ascii="Times New Roman" w:hAnsi="Times New Roman"/>
          <w:color w:val="000000"/>
          <w:sz w:val="20"/>
        </w:rPr>
        <w:t>1.</w:t>
      </w:r>
      <w:r>
        <w:rPr>
          <w:rFonts w:ascii="Times New Roman" w:hAnsi="Times New Roman"/>
          <w:color w:val="000000"/>
          <w:sz w:val="18"/>
        </w:rPr>
        <w:t>            </w:t>
      </w:r>
      <w:r>
        <w:rPr>
          <w:rFonts w:ascii="Times New Roman" w:hAnsi="Times New Roman"/>
          <w:color w:val="000000"/>
          <w:sz w:val="20"/>
        </w:rPr>
        <w:t>The Company is a corporation presently subsisting under the laws of the Commonwealth  of Pennsylvania.</w:t>
      </w:r>
    </w:p>
    <w:p>
      <w:pPr>
        <w:pStyle w:val="TextBody"/>
        <w:bidi w:val="0"/>
        <w:spacing w:before="3" w:after="283"/>
        <w:jc w:val="left"/>
        <w:rPr>
          <w:sz w:val="20"/>
        </w:rPr>
      </w:pPr>
      <w:r>
        <w:rPr>
          <w:sz w:val="20"/>
        </w:rPr>
      </w:r>
    </w:p>
    <w:p>
      <w:pPr>
        <w:pStyle w:val="TextBody"/>
        <w:bidi w:val="0"/>
        <w:spacing w:before="0" w:after="0"/>
        <w:jc w:val="left"/>
        <w:rPr>
          <w:rFonts w:ascii="Times New Roman" w:hAnsi="Times New Roman"/>
          <w:color w:val="000000"/>
          <w:sz w:val="18"/>
        </w:rPr>
      </w:pPr>
      <w:r>
        <w:rPr>
          <w:rFonts w:ascii="Times New Roman" w:hAnsi="Times New Roman"/>
          <w:color w:val="000000"/>
          <w:sz w:val="20"/>
        </w:rPr>
        <w:t>2.</w:t>
      </w:r>
      <w:r>
        <w:rPr>
          <w:rFonts w:ascii="Times New Roman" w:hAnsi="Times New Roman"/>
          <w:color w:val="000000"/>
          <w:sz w:val="18"/>
        </w:rPr>
        <w:t>            </w:t>
      </w:r>
      <w:r>
        <w:rPr>
          <w:rFonts w:ascii="Times New Roman" w:hAnsi="Times New Roman"/>
          <w:color w:val="000000"/>
          <w:sz w:val="20"/>
        </w:rPr>
        <w:t>The Company has the requisite corporate power and authority to execute, deliver and  perform the Indenture, including the Debt Securities Guarantees, and to consummate the transactions contemplated thereby.</w:t>
      </w:r>
    </w:p>
    <w:p>
      <w:pPr>
        <w:pStyle w:val="TextBody"/>
        <w:bidi w:val="0"/>
        <w:spacing w:before="4" w:after="283"/>
        <w:jc w:val="left"/>
        <w:rPr>
          <w:sz w:val="20"/>
        </w:rPr>
      </w:pPr>
      <w:r>
        <w:rPr>
          <w:sz w:val="20"/>
        </w:rPr>
      </w:r>
    </w:p>
    <w:p>
      <w:pPr>
        <w:pStyle w:val="TextBody"/>
        <w:bidi w:val="0"/>
        <w:spacing w:before="1" w:after="283"/>
        <w:jc w:val="left"/>
        <w:rPr>
          <w:rFonts w:ascii="Times New Roman" w:hAnsi="Times New Roman"/>
          <w:color w:val="000000"/>
          <w:sz w:val="18"/>
        </w:rPr>
      </w:pPr>
      <w:r>
        <w:rPr>
          <w:rFonts w:ascii="Times New Roman" w:hAnsi="Times New Roman"/>
          <w:color w:val="000000"/>
          <w:sz w:val="20"/>
        </w:rPr>
        <w:t>3.</w:t>
      </w:r>
      <w:r>
        <w:rPr>
          <w:rFonts w:ascii="Times New Roman" w:hAnsi="Times New Roman"/>
          <w:color w:val="000000"/>
          <w:sz w:val="18"/>
        </w:rPr>
        <w:t>            </w:t>
      </w:r>
      <w:r>
        <w:rPr>
          <w:rFonts w:ascii="Times New Roman" w:hAnsi="Times New Roman"/>
          <w:color w:val="000000"/>
          <w:sz w:val="20"/>
        </w:rPr>
        <w:t>The execution and delivery of the Indenture, including the Debt Securities Guarantees, have been duly authorized by the Company.</w:t>
      </w:r>
    </w:p>
    <w:p>
      <w:pPr>
        <w:pStyle w:val="TextBody"/>
        <w:bidi w:val="0"/>
        <w:spacing w:before="11" w:after="283"/>
        <w:jc w:val="left"/>
        <w:rPr>
          <w:sz w:val="20"/>
        </w:rPr>
      </w:pPr>
      <w:r>
        <w:rPr>
          <w:sz w:val="20"/>
        </w:rPr>
      </w:r>
    </w:p>
    <w:p>
      <w:pPr>
        <w:pStyle w:val="TextBody"/>
        <w:bidi w:val="0"/>
        <w:spacing w:before="0" w:after="0"/>
        <w:jc w:val="left"/>
        <w:rPr>
          <w:rFonts w:ascii="Times New Roman" w:hAnsi="Times New Roman"/>
          <w:color w:val="000000"/>
          <w:sz w:val="18"/>
        </w:rPr>
      </w:pPr>
      <w:r>
        <w:rPr>
          <w:rFonts w:ascii="Times New Roman" w:hAnsi="Times New Roman"/>
          <w:color w:val="000000"/>
          <w:sz w:val="20"/>
        </w:rPr>
        <w:t>4.</w:t>
      </w:r>
      <w:r>
        <w:rPr>
          <w:rFonts w:ascii="Times New Roman" w:hAnsi="Times New Roman"/>
          <w:color w:val="000000"/>
          <w:sz w:val="18"/>
        </w:rPr>
        <w:t>            </w:t>
      </w:r>
      <w:r>
        <w:rPr>
          <w:rFonts w:ascii="Times New Roman" w:hAnsi="Times New Roman"/>
          <w:color w:val="000000"/>
          <w:sz w:val="20"/>
        </w:rPr>
        <w:t>The execution, delivery and performance by the Company of the Indenture, including the Debt Securities Guarantees, and the consummation by the Company of the transactions contemplated thereby, do not and will not result in a violation of the Charter Documents.</w:t>
      </w:r>
    </w:p>
    <w:p>
      <w:pPr>
        <w:pStyle w:val="TextBody"/>
        <w:bidi w:val="0"/>
        <w:spacing w:before="7" w:after="283"/>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opinions expressed above are subject to the following additional limitations, exceptions, qualifications and assumptions:</w:t>
      </w:r>
    </w:p>
    <w:p>
      <w:pPr>
        <w:pStyle w:val="TextBody"/>
        <w:bidi w:val="0"/>
        <w:spacing w:before="0" w:after="0"/>
        <w:jc w:val="left"/>
        <w:rPr>
          <w:sz w:val="20"/>
        </w:rPr>
      </w:pPr>
      <w:r>
        <w:rPr>
          <w:sz w:val="20"/>
        </w:rPr>
      </w:r>
    </w:p>
    <w:p>
      <w:pPr>
        <w:pStyle w:val="TextBody"/>
        <w:bidi w:val="0"/>
        <w:spacing w:before="95" w:after="283"/>
        <w:ind w:left="0" w:right="0" w:firstLine="720"/>
        <w:jc w:val="left"/>
        <w:rPr>
          <w:rFonts w:ascii="Times New Roman" w:hAnsi="Times New Roman"/>
          <w:color w:val="000000"/>
          <w:sz w:val="18"/>
        </w:rPr>
      </w:pPr>
      <w:r>
        <w:rPr>
          <w:rFonts w:ascii="Times New Roman" w:hAnsi="Times New Roman"/>
          <w:color w:val="000000"/>
          <w:sz w:val="20"/>
        </w:rPr>
        <w:t>A.</w:t>
      </w:r>
      <w:r>
        <w:rPr>
          <w:rFonts w:ascii="Times New Roman" w:hAnsi="Times New Roman"/>
          <w:color w:val="000000"/>
          <w:sz w:val="18"/>
        </w:rPr>
        <w:t xml:space="preserve">            </w:t>
      </w:r>
      <w:r>
        <w:rPr>
          <w:rFonts w:ascii="Times New Roman" w:hAnsi="Times New Roman"/>
          <w:color w:val="000000"/>
          <w:sz w:val="20"/>
        </w:rPr>
        <w:t>The opinions expressed above are limited to the laws of the Commonwealth of Pennsylvania, and we express no opinion with respect to the laws of any other state or jurisdiction.</w:t>
      </w:r>
    </w:p>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June 17, 2026</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Page 3</w:t>
      </w:r>
    </w:p>
    <w:p>
      <w:pPr>
        <w:pStyle w:val="TextBody"/>
        <w:bidi w:val="0"/>
        <w:spacing w:before="95" w:after="283"/>
        <w:ind w:left="0" w:right="0" w:firstLine="720"/>
        <w:jc w:val="left"/>
        <w:rPr>
          <w:rFonts w:ascii="Times New Roman" w:hAnsi="Times New Roman"/>
          <w:color w:val="000000"/>
          <w:sz w:val="18"/>
        </w:rPr>
      </w:pPr>
      <w:r>
        <w:rPr>
          <w:rFonts w:ascii="Times New Roman" w:hAnsi="Times New Roman"/>
          <w:color w:val="000000"/>
          <w:sz w:val="20"/>
        </w:rPr>
        <w:t>B.</w:t>
      </w:r>
      <w:r>
        <w:rPr>
          <w:rFonts w:ascii="Times New Roman" w:hAnsi="Times New Roman"/>
          <w:color w:val="000000"/>
          <w:sz w:val="18"/>
        </w:rPr>
        <w:t xml:space="preserve">            </w:t>
      </w:r>
      <w:r>
        <w:rPr>
          <w:rFonts w:ascii="Times New Roman" w:hAnsi="Times New Roman"/>
          <w:color w:val="000000"/>
          <w:sz w:val="20"/>
        </w:rPr>
        <w:t>For purposes of the opinion set forth in paragraph 1 above as to the present subsistence of the Company, we have relied solely upon the Certificate of Subsistence.</w:t>
      </w:r>
    </w:p>
    <w:p>
      <w:pPr>
        <w:pStyle w:val="TextBody"/>
        <w:bidi w:val="0"/>
        <w:spacing w:before="10" w:after="283"/>
        <w:jc w:val="left"/>
        <w:rPr>
          <w:sz w:val="20"/>
        </w:rPr>
      </w:pPr>
      <w:r>
        <w:rPr>
          <w:sz w:val="20"/>
        </w:rPr>
      </w:r>
    </w:p>
    <w:p>
      <w:pPr>
        <w:pStyle w:val="TextBody"/>
        <w:bidi w:val="0"/>
        <w:spacing w:before="95" w:after="283"/>
        <w:ind w:left="0" w:right="0" w:firstLine="720"/>
        <w:jc w:val="left"/>
        <w:rPr>
          <w:rFonts w:ascii="Times New Roman" w:hAnsi="Times New Roman"/>
          <w:color w:val="000000"/>
          <w:sz w:val="18"/>
        </w:rPr>
      </w:pPr>
      <w:r>
        <w:rPr>
          <w:rFonts w:ascii="Times New Roman" w:hAnsi="Times New Roman"/>
          <w:color w:val="000000"/>
          <w:sz w:val="20"/>
        </w:rPr>
        <w:t>C.</w:t>
      </w:r>
      <w:r>
        <w:rPr>
          <w:rFonts w:ascii="Times New Roman" w:hAnsi="Times New Roman"/>
          <w:color w:val="000000"/>
          <w:sz w:val="18"/>
        </w:rPr>
        <w:t xml:space="preserve">            </w:t>
      </w:r>
      <w:r>
        <w:rPr>
          <w:rFonts w:ascii="Times New Roman" w:hAnsi="Times New Roman"/>
          <w:color w:val="000000"/>
          <w:sz w:val="20"/>
        </w:rPr>
        <w:t>We have assumed that the members of the Company’s Board of Directors have complied with applicable fiduciary duties in connection with the authorization and performance of the Indenture, including the Debt Securities Guarantees, and the consummation by the Company of the transactions contemplated thereby.</w:t>
      </w:r>
    </w:p>
    <w:p>
      <w:pPr>
        <w:pStyle w:val="TextBody"/>
        <w:bidi w:val="0"/>
        <w:spacing w:before="0" w:after="0"/>
        <w:jc w:val="left"/>
        <w:rPr>
          <w:sz w:val="20"/>
        </w:rPr>
      </w:pPr>
      <w:r>
        <w:rPr>
          <w:sz w:val="20"/>
        </w:rPr>
      </w:r>
    </w:p>
    <w:p>
      <w:pPr>
        <w:pStyle w:val="TextBody"/>
        <w:bidi w:val="0"/>
        <w:spacing w:before="95" w:after="283"/>
        <w:ind w:left="0" w:right="0" w:firstLine="720"/>
        <w:jc w:val="left"/>
        <w:rPr>
          <w:rFonts w:ascii="Times New Roman" w:hAnsi="Times New Roman"/>
          <w:color w:val="000000"/>
          <w:sz w:val="18"/>
        </w:rPr>
      </w:pPr>
      <w:r>
        <w:rPr>
          <w:rFonts w:ascii="Times New Roman" w:hAnsi="Times New Roman"/>
          <w:color w:val="000000"/>
          <w:sz w:val="20"/>
        </w:rPr>
        <w:t>D.</w:t>
      </w:r>
      <w:r>
        <w:rPr>
          <w:rFonts w:ascii="Times New Roman" w:hAnsi="Times New Roman"/>
          <w:color w:val="000000"/>
          <w:sz w:val="18"/>
        </w:rPr>
        <w:t xml:space="preserve">            </w:t>
      </w:r>
      <w:r>
        <w:rPr>
          <w:rFonts w:ascii="Times New Roman" w:hAnsi="Times New Roman"/>
          <w:color w:val="000000"/>
          <w:sz w:val="20"/>
        </w:rPr>
        <w:t>We have assumed that at the time of execution and delivery by the Company of the Indenture and since June 15, 2026, (i) the Charter Documents will not have been amended in any way and remain in full force and effect; (ii) the Board Resolutions will not have been amended in any way and remain in full force and effect, and constitute the only resolutions of the Board of Directors of the Company with respect to the Indenture and the transactions contemplated therein; and (iii) the Certificate of Subsistence remains accurate.</w:t>
      </w:r>
    </w:p>
    <w:p>
      <w:pPr>
        <w:pStyle w:val="TextBody"/>
        <w:bidi w:val="0"/>
        <w:spacing w:before="11" w:after="283"/>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opinion letter is effective only as of the date hereof.  We do not assume responsibility for updating this opinion letter as of any date subsequent to its date, and we assume no responsibility for advising you of any changes with respect to any matters described in this opinion letter that may occur, or facts that may come to our attention, subsequent to the date hereof.</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hereby consent to the filing of this opinion with the SEC as an exhibit to the Issuer’s Current Report on Form 8-K relating to the Debt Securities and the Debt Securities Guarantees and to the references to our firm and this opinion letter under the heading “Legal Matters” in the prospectus contained in the Registration Statement and under the heading “Validity of the Notes and the Guarantees” in the Prospectus Supplement. In giving this consent, we do not hereby admit that we are in the category of persons whose consent is required under Section 7 of the Securities Act of 1933, as amended, or the rules and regulations of the SEC thereunder. This opinion letter is not to be quoted in whole or in part or otherwise referred to or used, nor is it to be filed with any governmental agency or any other person other than the SEC, without our express written consent.</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45" w:name="z22228e24c4dc4d22939c029973e1940b"/>
      <w:bookmarkStart w:id="346" w:name="z22228e24c4dc4d22939c029973e1940b"/>
      <w:bookmarkEnd w:id="346"/>
    </w:p>
    <w:tbl>
      <w:tblPr>
        <w:tblW w:w="3193" w:type="dxa"/>
        <w:jc w:val="left"/>
        <w:tblInd w:w="0" w:type="dxa"/>
        <w:tblLayout w:type="fixed"/>
        <w:tblCellMar>
          <w:top w:w="0" w:type="dxa"/>
          <w:left w:w="0" w:type="dxa"/>
          <w:bottom w:w="0" w:type="dxa"/>
          <w:right w:w="0" w:type="dxa"/>
        </w:tblCellMar>
      </w:tblPr>
      <w:tblGrid>
        <w:gridCol w:w="23"/>
        <w:gridCol w:w="3170"/>
      </w:tblGrid>
      <w:tr>
        <w:trPr/>
        <w:tc>
          <w:tcPr>
            <w:tcW w:w="23" w:type="dxa"/>
            <w:tcBorders/>
            <w:vAlign w:val="center"/>
          </w:tcPr>
          <w:p>
            <w:pPr>
              <w:pStyle w:val="TableContents"/>
              <w:bidi w:val="0"/>
              <w:spacing w:before="0" w:after="283"/>
              <w:jc w:val="left"/>
              <w:rPr>
                <w:sz w:val="20"/>
              </w:rPr>
            </w:pPr>
            <w:r>
              <w:rPr>
                <w:sz w:val="20"/>
              </w:rPr>
            </w:r>
          </w:p>
        </w:tc>
        <w:tc>
          <w:tcPr>
            <w:tcW w:w="3170" w:type="dxa"/>
            <w:tcBorders/>
            <w:vAlign w:val="center"/>
          </w:tcPr>
          <w:p>
            <w:pPr>
              <w:pStyle w:val="TableContents"/>
              <w:bidi w:val="0"/>
              <w:spacing w:before="0" w:after="283"/>
              <w:jc w:val="left"/>
              <w:rPr>
                <w:sz w:val="20"/>
              </w:rPr>
            </w:pPr>
            <w:r>
              <w:rPr>
                <w:sz w:val="20"/>
              </w:rPr>
              <w:t>Very truly yours,</w:t>
            </w:r>
          </w:p>
        </w:tc>
      </w:tr>
      <w:tr>
        <w:trPr/>
        <w:tc>
          <w:tcPr>
            <w:tcW w:w="23" w:type="dxa"/>
            <w:tcBorders/>
            <w:vAlign w:val="center"/>
          </w:tcPr>
          <w:p>
            <w:pPr>
              <w:pStyle w:val="TableContents"/>
              <w:bidi w:val="0"/>
              <w:spacing w:before="0" w:after="283"/>
              <w:jc w:val="left"/>
              <w:rPr>
                <w:sz w:val="20"/>
              </w:rPr>
            </w:pPr>
            <w:r>
              <w:rPr>
                <w:sz w:val="20"/>
              </w:rPr>
            </w:r>
          </w:p>
        </w:tc>
        <w:tc>
          <w:tcPr>
            <w:tcW w:w="3170" w:type="dxa"/>
            <w:tcBorders/>
            <w:vAlign w:val="center"/>
          </w:tcPr>
          <w:p>
            <w:pPr>
              <w:pStyle w:val="TableContents"/>
              <w:bidi w:val="0"/>
              <w:spacing w:before="0" w:after="283"/>
              <w:jc w:val="left"/>
              <w:rPr>
                <w:sz w:val="20"/>
              </w:rPr>
            </w:pPr>
            <w:r>
              <w:rPr>
                <w:sz w:val="20"/>
              </w:rPr>
            </w:r>
          </w:p>
        </w:tc>
      </w:tr>
      <w:tr>
        <w:trPr/>
        <w:tc>
          <w:tcPr>
            <w:tcW w:w="23" w:type="dxa"/>
            <w:tcBorders/>
            <w:vAlign w:val="center"/>
          </w:tcPr>
          <w:p>
            <w:pPr>
              <w:pStyle w:val="TableContents"/>
              <w:bidi w:val="0"/>
              <w:spacing w:before="0" w:after="283"/>
              <w:jc w:val="left"/>
              <w:rPr>
                <w:sz w:val="20"/>
              </w:rPr>
            </w:pPr>
            <w:r>
              <w:rPr>
                <w:sz w:val="20"/>
              </w:rPr>
            </w:r>
          </w:p>
        </w:tc>
        <w:tc>
          <w:tcPr>
            <w:tcW w:w="3170" w:type="dxa"/>
            <w:tcBorders/>
            <w:vAlign w:val="center"/>
          </w:tcPr>
          <w:p>
            <w:pPr>
              <w:pStyle w:val="TableContents"/>
              <w:bidi w:val="0"/>
              <w:spacing w:before="0" w:after="283"/>
              <w:ind w:left="0" w:right="0" w:hanging="0"/>
              <w:jc w:val="center"/>
              <w:rPr>
                <w:sz w:val="20"/>
              </w:rPr>
            </w:pPr>
            <w:r>
              <w:rPr>
                <w:sz w:val="20"/>
              </w:rPr>
              <w:t xml:space="preserve">/s/ </w:t>
            </w:r>
            <w:r>
              <w:rPr>
                <w:b w:val="false"/>
                <w:i w:val="false"/>
                <w:caps w:val="false"/>
                <w:smallCaps w:val="false"/>
                <w:color w:val="000000"/>
                <w:spacing w:val="0"/>
                <w:sz w:val="20"/>
                <w:shd w:fill="FFFFFF" w:val="clear"/>
              </w:rPr>
              <w:t>Parker Poe Adams &amp; Bernstein LLP</w:t>
            </w:r>
            <w:r>
              <w:rPr>
                <w:sz w:val="20"/>
              </w:rPr>
              <w:t xml:space="preserve">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60566</Words>
  <Characters>312419</Characters>
  <CharactersWithSpaces>374129</CharactersWithSpaces>
  <Paragraphs>3433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